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60.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5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2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8.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footer47.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E6784" w:rsidR="002D54C4" w:rsidP="004B0BBF" w:rsidRDefault="002D54C4" w14:paraId="6D217F1C" w14:textId="7617BDD1">
      <w:pPr>
        <w:pStyle w:val="Title2"/>
        <w:keepNext w:val="0"/>
        <w:suppressAutoHyphens/>
        <w:spacing w:after="0"/>
        <w:jc w:val="left"/>
        <w:outlineLvl w:val="0"/>
        <w:rPr>
          <w:rFonts w:cs="Arial"/>
          <w:caps w:val="0"/>
        </w:rPr>
      </w:pPr>
    </w:p>
    <w:p w:rsidR="002D54C4" w:rsidP="00C47182" w:rsidRDefault="002D54C4" w14:paraId="39163455" w14:textId="77777777">
      <w:pPr>
        <w:suppressAutoHyphens/>
        <w:spacing w:after="0"/>
        <w:jc w:val="center"/>
        <w:outlineLvl w:val="0"/>
        <w:rPr>
          <w:rFonts w:cs="Arial"/>
          <w:b/>
        </w:rPr>
      </w:pPr>
    </w:p>
    <w:p w:rsidR="002D54C4" w:rsidP="00C47182" w:rsidRDefault="002D54C4" w14:paraId="23E26EBB" w14:textId="77777777">
      <w:pPr>
        <w:suppressAutoHyphens/>
        <w:spacing w:after="0"/>
        <w:jc w:val="center"/>
        <w:outlineLvl w:val="0"/>
        <w:rPr>
          <w:rFonts w:cs="Arial"/>
          <w:b/>
        </w:rPr>
      </w:pPr>
    </w:p>
    <w:p w:rsidR="002D54C4" w:rsidP="00C47182" w:rsidRDefault="002D54C4" w14:paraId="40BECB35" w14:textId="77777777">
      <w:pPr>
        <w:suppressAutoHyphens/>
        <w:spacing w:after="0"/>
        <w:jc w:val="center"/>
        <w:outlineLvl w:val="0"/>
        <w:rPr>
          <w:rFonts w:cs="Arial"/>
          <w:b/>
        </w:rPr>
      </w:pPr>
    </w:p>
    <w:p w:rsidRPr="00F10071" w:rsidR="002D54C4" w:rsidP="002D54C4" w:rsidRDefault="008F5359" w14:paraId="728690D5" w14:textId="19942E5C">
      <w:pPr>
        <w:pStyle w:val="zGTitle14"/>
      </w:pPr>
      <w:r>
        <w:t xml:space="preserve">Pro Forma </w:t>
      </w:r>
      <w:r w:rsidR="008B55A2">
        <w:t>Power Purchase Agreement for</w:t>
      </w:r>
    </w:p>
    <w:p w:rsidR="002D54C4" w:rsidP="002D54C4" w:rsidRDefault="008B55A2" w14:paraId="2F6F40C1" w14:textId="77777777">
      <w:pPr>
        <w:pStyle w:val="zGTitle14"/>
      </w:pPr>
      <w:r>
        <w:t>Firm Capacity, Energy Storage Services, and Ancillary Services from a</w:t>
      </w:r>
    </w:p>
    <w:p w:rsidRPr="00F10071" w:rsidR="001406B9" w:rsidP="00515F1E" w:rsidRDefault="008B55A2" w14:paraId="5A13EBE0" w14:textId="5969E51F">
      <w:pPr>
        <w:pStyle w:val="zGTitle14"/>
      </w:pPr>
      <w:r>
        <w:t>Battery Energy Storage System</w:t>
      </w:r>
    </w:p>
    <w:p w:rsidR="005A7E2E" w:rsidP="0026294B" w:rsidRDefault="008B55A2" w14:paraId="25466B81" w14:textId="70FBBDDD">
      <w:pPr>
        <w:pStyle w:val="zGTitle14"/>
      </w:pPr>
      <w:r>
        <w:rPr>
          <w:highlight w:val="yellow"/>
        </w:rPr>
        <w:t>[Paired with a Renewable Resource</w:t>
      </w:r>
      <w:r>
        <w:t>]</w:t>
      </w:r>
    </w:p>
    <w:p w:rsidR="00FC197F" w:rsidP="00752BEC" w:rsidRDefault="00223269" w14:paraId="5BF515F4" w14:textId="77777777">
      <w:pPr>
        <w:pStyle w:val="zGTitle14"/>
      </w:pPr>
      <w:r>
        <w:t xml:space="preserve">for </w:t>
      </w:r>
      <w:r w:rsidRPr="00223269">
        <w:t>2026 All-Source Capacity Request for Proposals for</w:t>
      </w:r>
    </w:p>
    <w:p w:rsidR="00DB305A" w:rsidP="00752BEC" w:rsidRDefault="00223269" w14:paraId="1996F2CE" w14:textId="09EC69CE">
      <w:pPr>
        <w:pStyle w:val="zGTitle14"/>
      </w:pPr>
      <w:r w:rsidRPr="00223269">
        <w:t xml:space="preserve"> Need Years 2032</w:t>
      </w:r>
      <w:r w:rsidR="009D34CB">
        <w:t>-</w:t>
      </w:r>
      <w:r w:rsidRPr="00223269">
        <w:t>2033</w:t>
      </w:r>
    </w:p>
    <w:p w:rsidR="00E44803" w:rsidP="002D54C4" w:rsidRDefault="008B55A2" w14:paraId="4EED927D" w14:textId="77777777">
      <w:pPr>
        <w:pStyle w:val="zGTitle14"/>
      </w:pPr>
      <w:r>
        <w:t>at #</w:t>
      </w:r>
      <w:r>
        <w:rPr>
          <w:highlight w:val="yellow"/>
        </w:rPr>
        <w:t>FacilityName</w:t>
      </w:r>
      <w:r>
        <w:t>#</w:t>
      </w:r>
    </w:p>
    <w:p w:rsidRPr="00F10071" w:rsidR="002D54C4" w:rsidP="002D54C4" w:rsidRDefault="008B55A2" w14:paraId="0B19B475" w14:textId="77777777">
      <w:pPr>
        <w:pStyle w:val="zGTitle14"/>
      </w:pPr>
      <w:r>
        <w:t>between</w:t>
      </w:r>
    </w:p>
    <w:p w:rsidRPr="00F10071" w:rsidR="002D54C4" w:rsidP="00192105" w:rsidRDefault="00192105" w14:paraId="742CA752" w14:textId="22A3D451">
      <w:pPr>
        <w:pStyle w:val="zGTitle14"/>
        <w:tabs>
          <w:tab w:val="center" w:pos="4824"/>
          <w:tab w:val="left" w:pos="7350"/>
        </w:tabs>
        <w:jc w:val="left"/>
      </w:pPr>
      <w:r>
        <w:tab/>
      </w:r>
      <w:r w:rsidR="008B55A2">
        <w:t>Georgia Power Company</w:t>
      </w:r>
      <w:r>
        <w:tab/>
      </w:r>
    </w:p>
    <w:p w:rsidRPr="00F10071" w:rsidR="002D54C4" w:rsidP="002D54C4" w:rsidRDefault="008B55A2" w14:paraId="701BE52E" w14:textId="77777777">
      <w:pPr>
        <w:pStyle w:val="zGTitle14"/>
      </w:pPr>
      <w:r>
        <w:t>and</w:t>
      </w:r>
    </w:p>
    <w:p w:rsidRPr="004B0BBF" w:rsidR="002D54C4" w:rsidP="002D54C4" w:rsidRDefault="008B55A2" w14:paraId="7934013B" w14:textId="77777777">
      <w:pPr>
        <w:pStyle w:val="zGTitle14"/>
        <w:rPr>
          <w:i/>
          <w:caps/>
        </w:rPr>
      </w:pPr>
      <w:r>
        <w:rPr>
          <w:color w:val="000000" w:themeColor="text1"/>
          <w:highlight w:val="yellow"/>
        </w:rPr>
        <w:t>#SellerLegalName#</w:t>
      </w:r>
      <w:r>
        <w:rPr>
          <w:bCs/>
          <w:i/>
          <w:caps/>
        </w:rPr>
        <w:t xml:space="preserve"> </w:t>
      </w:r>
    </w:p>
    <w:p w:rsidRPr="004B7CF2" w:rsidR="00F57304" w:rsidP="004B0BBF" w:rsidRDefault="00F57304" w14:paraId="4A3D2E4B" w14:textId="77777777">
      <w:pPr>
        <w:pStyle w:val="zGTitle14"/>
        <w:rPr>
          <w:iCs/>
        </w:rPr>
      </w:pPr>
    </w:p>
    <w:p w:rsidR="002D54C4" w:rsidP="004B0BBF" w:rsidRDefault="002D54C4" w14:paraId="5B202772" w14:textId="77777777">
      <w:pPr>
        <w:pStyle w:val="PHPgNum"/>
        <w:suppressAutoHyphens/>
        <w:spacing w:after="720"/>
        <w:outlineLvl w:val="0"/>
        <w:rPr>
          <w:rFonts w:cs="Arial"/>
        </w:rPr>
      </w:pPr>
    </w:p>
    <w:p w:rsidR="002D54C4" w:rsidP="002D54C4" w:rsidRDefault="002D54C4" w14:paraId="7B9639B8" w14:textId="77777777">
      <w:pPr>
        <w:suppressAutoHyphens/>
        <w:spacing w:after="720"/>
        <w:jc w:val="center"/>
        <w:outlineLvl w:val="0"/>
        <w:rPr>
          <w:rFonts w:cs="Arial"/>
        </w:rPr>
      </w:pPr>
    </w:p>
    <w:p w:rsidRPr="004B0BBF" w:rsidR="002D54C4" w:rsidP="004B0BBF" w:rsidRDefault="002D54C4" w14:paraId="4D314AF8" w14:textId="77777777">
      <w:pPr>
        <w:suppressAutoHyphens/>
        <w:spacing w:after="720"/>
        <w:jc w:val="both"/>
        <w:outlineLvl w:val="0"/>
        <w:rPr>
          <w:b/>
        </w:rPr>
      </w:pPr>
    </w:p>
    <w:p w:rsidR="002D54C4" w:rsidP="002D54C4" w:rsidRDefault="002D54C4" w14:paraId="7715E122" w14:textId="77777777">
      <w:pPr>
        <w:suppressAutoHyphens/>
        <w:spacing w:after="720"/>
        <w:outlineLvl w:val="0"/>
        <w:rPr>
          <w:rFonts w:cs="Arial"/>
        </w:rPr>
      </w:pPr>
    </w:p>
    <w:p w:rsidR="002D54C4" w:rsidP="002D54C4" w:rsidRDefault="002D54C4" w14:paraId="1D6ADBC6" w14:textId="77777777">
      <w:pPr>
        <w:suppressAutoHyphens/>
        <w:spacing w:after="720"/>
        <w:outlineLvl w:val="0"/>
        <w:rPr>
          <w:rFonts w:cs="Arial"/>
        </w:rPr>
      </w:pPr>
    </w:p>
    <w:p w:rsidRPr="00C5743C" w:rsidR="000B38F2" w:rsidP="00C56662" w:rsidRDefault="008B55A2" w14:paraId="7DB3FCB4" w14:textId="50A42408">
      <w:pPr>
        <w:suppressAutoHyphens/>
        <w:spacing w:after="720"/>
        <w:jc w:val="both"/>
        <w:outlineLvl w:val="0"/>
        <w:rPr>
          <w:rFonts w:ascii="Arial" w:hAnsi="Arial" w:cs="Arial"/>
          <w:sz w:val="20"/>
          <w:szCs w:val="20"/>
        </w:rPr>
      </w:pPr>
      <w:bookmarkStart w:name="_Toc206672940" w:id="0"/>
      <w:r>
        <w:rPr>
          <w:rFonts w:ascii="Arial" w:hAnsi="Arial" w:cs="Arial"/>
          <w:i/>
          <w:sz w:val="20"/>
          <w:szCs w:val="20"/>
        </w:rPr>
        <w:t>This agreement contains confidential information for use by Georgia Power Company, Seller, or their Affiliates only; do not disclose, copy, or scan for any other purpose, except to the extent required by law or allowed by contract.</w:t>
      </w:r>
      <w:bookmarkEnd w:id="0"/>
    </w:p>
    <w:p w:rsidR="00093DF5" w:rsidP="004B0BBF" w:rsidRDefault="00093DF5" w14:paraId="2A2C2409" w14:textId="77777777">
      <w:pPr>
        <w:suppressAutoHyphens/>
        <w:spacing w:after="720"/>
        <w:jc w:val="center"/>
        <w:outlineLvl w:val="0"/>
        <w:rPr>
          <w:rFonts w:cs="Arial"/>
        </w:rPr>
        <w:sectPr w:rsidR="00093DF5" w:rsidSect="004B0BBF">
          <w:headerReference w:type="even" r:id="rId9"/>
          <w:headerReference w:type="default" r:id="rId10"/>
          <w:footerReference w:type="even" r:id="rId11"/>
          <w:footerReference w:type="default" r:id="rId12"/>
          <w:headerReference w:type="first" r:id="rId13"/>
          <w:footerReference w:type="first" r:id="rId14"/>
          <w:pgSz w:w="12240" w:h="15840" w:code="1"/>
          <w:pgMar w:top="1296" w:right="1296" w:bottom="1080" w:left="1296" w:header="432" w:footer="576" w:gutter="0"/>
          <w:pgNumType w:start="1"/>
          <w:cols w:space="720"/>
          <w:titlePg/>
          <w:docGrid w:linePitch="360"/>
        </w:sectPr>
      </w:pPr>
    </w:p>
    <w:p w:rsidRPr="00EC75C4" w:rsidR="00376ED9" w:rsidP="00376ED9" w:rsidRDefault="00376ED9" w14:paraId="4FF23E55" w14:textId="77777777">
      <w:pPr>
        <w:pStyle w:val="zGTitle11"/>
        <w:rPr>
          <w:rFonts w:ascii="Arial Bold" w:hAnsi="Arial Bold"/>
          <w:caps/>
          <w:u w:val="single"/>
        </w:rPr>
      </w:pPr>
      <w:bookmarkStart w:name="_Toc116571546" w:id="1"/>
      <w:bookmarkStart w:name="_Toc83401224" w:id="2"/>
      <w:bookmarkStart w:name="_Toc83401297" w:id="3"/>
      <w:bookmarkStart w:name="_Toc83401370" w:id="4"/>
      <w:bookmarkStart w:name="_Toc83835562" w:id="5"/>
      <w:bookmarkStart w:name="_Toc90465575" w:id="6"/>
      <w:r w:rsidRPr="00EC75C4">
        <w:rPr>
          <w:rFonts w:ascii="Arial Bold" w:hAnsi="Arial Bold"/>
          <w:caps/>
          <w:u w:val="single"/>
        </w:rPr>
        <w:lastRenderedPageBreak/>
        <w:t>Table of Contents</w:t>
      </w:r>
    </w:p>
    <w:sdt>
      <w:sdtPr>
        <w:rPr>
          <w:rFonts w:ascii="Arial" w:hAnsi="Arial" w:cs="Times New Roman"/>
          <w:b w:val="0"/>
          <w:caps w:val="0"/>
          <w:spacing w:val="-6"/>
          <w:kern w:val="0"/>
          <w:sz w:val="22"/>
          <w:szCs w:val="22"/>
        </w:rPr>
        <w:id w:val="-1443527103"/>
        <w:docPartObj>
          <w:docPartGallery w:val="Table of Contents"/>
          <w:docPartUnique/>
        </w:docPartObj>
      </w:sdtPr>
      <w:sdtEndPr>
        <w:rPr>
          <w:rFonts w:ascii="Arial Bold" w:hAnsi="Arial Bold"/>
          <w:b/>
          <w:kern w:val="14"/>
          <w:sz w:val="20"/>
          <w:szCs w:val="20"/>
        </w:rPr>
      </w:sdtEndPr>
      <w:sdtContent>
        <w:p w:rsidR="00E94928" w:rsidRDefault="00376ED9" w14:paraId="051360B4" w14:textId="24A4B4A2">
          <w:pPr>
            <w:pStyle w:val="TOC1"/>
            <w:rPr>
              <w:rFonts w:asciiTheme="minorHAnsi" w:hAnsiTheme="minorHAnsi" w:eastAsiaTheme="minorEastAsia" w:cstheme="minorBidi"/>
              <w:b w:val="0"/>
              <w:caps w:val="0"/>
              <w:noProof/>
              <w:kern w:val="2"/>
              <w:sz w:val="24"/>
              <w:szCs w:val="24"/>
              <w14:ligatures w14:val="standardContextual"/>
            </w:rPr>
          </w:pPr>
          <w:r w:rsidRPr="000247F7">
            <w:fldChar w:fldCharType="begin"/>
          </w:r>
          <w:r w:rsidRPr="000247F7">
            <w:instrText xml:space="preserve"> TOC \h \z \t "zGTC01,1,zGTC02,2,zGBody 1,1,zGBody 2,2,zGTitleExhibit,1" </w:instrText>
          </w:r>
          <w:r w:rsidRPr="000247F7">
            <w:fldChar w:fldCharType="separate"/>
          </w:r>
          <w:hyperlink w:history="1" w:anchor="_Toc227451505">
            <w:r w:rsidRPr="00A52F3A" w:rsidR="00E94928">
              <w:rPr>
                <w:rStyle w:val="Hyperlink"/>
                <w:rFonts w:ascii="Arial Bold" w:hAnsi="Arial Bold"/>
                <w:noProof/>
              </w:rPr>
              <w:t>Schedule of Defined Terms</w:t>
            </w:r>
            <w:r w:rsidR="00E94928">
              <w:rPr>
                <w:noProof/>
                <w:webHidden/>
              </w:rPr>
              <w:tab/>
            </w:r>
            <w:r w:rsidR="00E94928">
              <w:rPr>
                <w:noProof/>
                <w:webHidden/>
              </w:rPr>
              <w:fldChar w:fldCharType="begin"/>
            </w:r>
            <w:r w:rsidR="00E94928">
              <w:rPr>
                <w:noProof/>
                <w:webHidden/>
              </w:rPr>
              <w:instrText xml:space="preserve"> PAGEREF _Toc227451505 \h </w:instrText>
            </w:r>
            <w:r w:rsidR="00E94928">
              <w:rPr>
                <w:noProof/>
                <w:webHidden/>
              </w:rPr>
            </w:r>
            <w:r w:rsidR="00E94928">
              <w:rPr>
                <w:noProof/>
                <w:webHidden/>
              </w:rPr>
              <w:fldChar w:fldCharType="separate"/>
            </w:r>
            <w:r w:rsidR="00E94928">
              <w:rPr>
                <w:noProof/>
                <w:webHidden/>
              </w:rPr>
              <w:t>8</w:t>
            </w:r>
            <w:r w:rsidR="00E94928">
              <w:rPr>
                <w:noProof/>
                <w:webHidden/>
              </w:rPr>
              <w:fldChar w:fldCharType="end"/>
            </w:r>
          </w:hyperlink>
        </w:p>
        <w:p w:rsidR="00E94928" w:rsidRDefault="00E94928" w14:paraId="53719F99" w14:textId="23A21719">
          <w:pPr>
            <w:pStyle w:val="TOC1"/>
            <w:rPr>
              <w:rFonts w:asciiTheme="minorHAnsi" w:hAnsiTheme="minorHAnsi" w:eastAsiaTheme="minorEastAsia" w:cstheme="minorBidi"/>
              <w:b w:val="0"/>
              <w:caps w:val="0"/>
              <w:noProof/>
              <w:kern w:val="2"/>
              <w:sz w:val="24"/>
              <w:szCs w:val="24"/>
              <w14:ligatures w14:val="standardContextual"/>
            </w:rPr>
          </w:pPr>
          <w:hyperlink w:history="1" w:anchor="_Toc227451506">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Term of Agreement</w:t>
            </w:r>
            <w:r>
              <w:rPr>
                <w:noProof/>
                <w:webHidden/>
              </w:rPr>
              <w:tab/>
            </w:r>
            <w:r>
              <w:rPr>
                <w:noProof/>
                <w:webHidden/>
              </w:rPr>
              <w:fldChar w:fldCharType="begin"/>
            </w:r>
            <w:r>
              <w:rPr>
                <w:noProof/>
                <w:webHidden/>
              </w:rPr>
              <w:instrText xml:space="preserve"> PAGEREF _Toc227451506 \h </w:instrText>
            </w:r>
            <w:r>
              <w:rPr>
                <w:noProof/>
                <w:webHidden/>
              </w:rPr>
            </w:r>
            <w:r>
              <w:rPr>
                <w:noProof/>
                <w:webHidden/>
              </w:rPr>
              <w:fldChar w:fldCharType="separate"/>
            </w:r>
            <w:r>
              <w:rPr>
                <w:noProof/>
                <w:webHidden/>
              </w:rPr>
              <w:t>24</w:t>
            </w:r>
            <w:r>
              <w:rPr>
                <w:noProof/>
                <w:webHidden/>
              </w:rPr>
              <w:fldChar w:fldCharType="end"/>
            </w:r>
          </w:hyperlink>
        </w:p>
        <w:p w:rsidR="00E94928" w:rsidRDefault="00E94928" w14:paraId="490491FD" w14:textId="3094299F">
          <w:pPr>
            <w:pStyle w:val="TOC2"/>
            <w:rPr>
              <w:rFonts w:asciiTheme="minorHAnsi" w:hAnsiTheme="minorHAnsi" w:eastAsiaTheme="minorEastAsia"/>
              <w:noProof/>
              <w:kern w:val="2"/>
              <w:sz w:val="24"/>
              <w:szCs w:val="24"/>
              <w14:ligatures w14:val="standardContextual"/>
            </w:rPr>
          </w:pPr>
          <w:hyperlink w:history="1" w:anchor="_Toc227451507">
            <w:r w:rsidRPr="00A52F3A">
              <w:rPr>
                <w:rStyle w:val="Hyperlink"/>
                <w:noProof/>
                <w:specVanish/>
              </w:rPr>
              <w:t>1.1</w:t>
            </w:r>
            <w:r>
              <w:rPr>
                <w:rFonts w:asciiTheme="minorHAnsi" w:hAnsiTheme="minorHAnsi" w:eastAsiaTheme="minorEastAsia"/>
                <w:noProof/>
                <w:kern w:val="2"/>
                <w:sz w:val="24"/>
                <w:szCs w:val="24"/>
                <w14:ligatures w14:val="standardContextual"/>
              </w:rPr>
              <w:tab/>
            </w:r>
            <w:r w:rsidRPr="00A52F3A">
              <w:rPr>
                <w:rStyle w:val="Hyperlink"/>
                <w:noProof/>
              </w:rPr>
              <w:t>Term.</w:t>
            </w:r>
            <w:r>
              <w:rPr>
                <w:noProof/>
                <w:webHidden/>
              </w:rPr>
              <w:tab/>
            </w:r>
            <w:r>
              <w:rPr>
                <w:noProof/>
                <w:webHidden/>
              </w:rPr>
              <w:fldChar w:fldCharType="begin"/>
            </w:r>
            <w:r>
              <w:rPr>
                <w:noProof/>
                <w:webHidden/>
              </w:rPr>
              <w:instrText xml:space="preserve"> PAGEREF _Toc227451507 \h </w:instrText>
            </w:r>
            <w:r>
              <w:rPr>
                <w:noProof/>
                <w:webHidden/>
              </w:rPr>
            </w:r>
            <w:r>
              <w:rPr>
                <w:noProof/>
                <w:webHidden/>
              </w:rPr>
              <w:fldChar w:fldCharType="separate"/>
            </w:r>
            <w:r>
              <w:rPr>
                <w:noProof/>
                <w:webHidden/>
              </w:rPr>
              <w:t>24</w:t>
            </w:r>
            <w:r>
              <w:rPr>
                <w:noProof/>
                <w:webHidden/>
              </w:rPr>
              <w:fldChar w:fldCharType="end"/>
            </w:r>
          </w:hyperlink>
        </w:p>
        <w:p w:rsidR="00E94928" w:rsidRDefault="00E94928" w14:paraId="4F6175D8" w14:textId="04064EEB">
          <w:pPr>
            <w:pStyle w:val="TOC2"/>
            <w:rPr>
              <w:rFonts w:asciiTheme="minorHAnsi" w:hAnsiTheme="minorHAnsi" w:eastAsiaTheme="minorEastAsia"/>
              <w:noProof/>
              <w:kern w:val="2"/>
              <w:sz w:val="24"/>
              <w:szCs w:val="24"/>
              <w14:ligatures w14:val="standardContextual"/>
            </w:rPr>
          </w:pPr>
          <w:hyperlink w:history="1" w:anchor="_Toc227451508">
            <w:r w:rsidRPr="00A52F3A">
              <w:rPr>
                <w:rStyle w:val="Hyperlink"/>
                <w:noProof/>
                <w:specVanish/>
              </w:rPr>
              <w:t>1.2</w:t>
            </w:r>
            <w:r>
              <w:rPr>
                <w:rFonts w:asciiTheme="minorHAnsi" w:hAnsiTheme="minorHAnsi" w:eastAsiaTheme="minorEastAsia"/>
                <w:noProof/>
                <w:kern w:val="2"/>
                <w:sz w:val="24"/>
                <w:szCs w:val="24"/>
                <w14:ligatures w14:val="standardContextual"/>
              </w:rPr>
              <w:tab/>
            </w:r>
            <w:r w:rsidRPr="00A52F3A">
              <w:rPr>
                <w:rStyle w:val="Hyperlink"/>
                <w:noProof/>
              </w:rPr>
              <w:t>Survival.</w:t>
            </w:r>
            <w:r>
              <w:rPr>
                <w:noProof/>
                <w:webHidden/>
              </w:rPr>
              <w:tab/>
            </w:r>
            <w:r>
              <w:rPr>
                <w:noProof/>
                <w:webHidden/>
              </w:rPr>
              <w:fldChar w:fldCharType="begin"/>
            </w:r>
            <w:r>
              <w:rPr>
                <w:noProof/>
                <w:webHidden/>
              </w:rPr>
              <w:instrText xml:space="preserve"> PAGEREF _Toc227451508 \h </w:instrText>
            </w:r>
            <w:r>
              <w:rPr>
                <w:noProof/>
                <w:webHidden/>
              </w:rPr>
            </w:r>
            <w:r>
              <w:rPr>
                <w:noProof/>
                <w:webHidden/>
              </w:rPr>
              <w:fldChar w:fldCharType="separate"/>
            </w:r>
            <w:r>
              <w:rPr>
                <w:noProof/>
                <w:webHidden/>
              </w:rPr>
              <w:t>24</w:t>
            </w:r>
            <w:r>
              <w:rPr>
                <w:noProof/>
                <w:webHidden/>
              </w:rPr>
              <w:fldChar w:fldCharType="end"/>
            </w:r>
          </w:hyperlink>
        </w:p>
        <w:p w:rsidR="00E94928" w:rsidRDefault="00E94928" w14:paraId="68F2BEA0" w14:textId="1AC3978B">
          <w:pPr>
            <w:pStyle w:val="TOC2"/>
            <w:rPr>
              <w:rFonts w:asciiTheme="minorHAnsi" w:hAnsiTheme="minorHAnsi" w:eastAsiaTheme="minorEastAsia"/>
              <w:noProof/>
              <w:kern w:val="2"/>
              <w:sz w:val="24"/>
              <w:szCs w:val="24"/>
              <w14:ligatures w14:val="standardContextual"/>
            </w:rPr>
          </w:pPr>
          <w:hyperlink w:history="1" w:anchor="_Toc227451509">
            <w:r w:rsidRPr="00A52F3A">
              <w:rPr>
                <w:rStyle w:val="Hyperlink"/>
                <w:noProof/>
                <w:specVanish/>
              </w:rPr>
              <w:t>1.3</w:t>
            </w:r>
            <w:r>
              <w:rPr>
                <w:rFonts w:asciiTheme="minorHAnsi" w:hAnsiTheme="minorHAnsi" w:eastAsiaTheme="minorEastAsia"/>
                <w:noProof/>
                <w:kern w:val="2"/>
                <w:sz w:val="24"/>
                <w:szCs w:val="24"/>
                <w14:ligatures w14:val="standardContextual"/>
              </w:rPr>
              <w:tab/>
            </w:r>
            <w:r w:rsidRPr="00A52F3A">
              <w:rPr>
                <w:rStyle w:val="Hyperlink"/>
                <w:noProof/>
              </w:rPr>
              <w:t>Conditions Subsequent.</w:t>
            </w:r>
            <w:r>
              <w:rPr>
                <w:noProof/>
                <w:webHidden/>
              </w:rPr>
              <w:tab/>
            </w:r>
            <w:r>
              <w:rPr>
                <w:noProof/>
                <w:webHidden/>
              </w:rPr>
              <w:fldChar w:fldCharType="begin"/>
            </w:r>
            <w:r>
              <w:rPr>
                <w:noProof/>
                <w:webHidden/>
              </w:rPr>
              <w:instrText xml:space="preserve"> PAGEREF _Toc227451509 \h </w:instrText>
            </w:r>
            <w:r>
              <w:rPr>
                <w:noProof/>
                <w:webHidden/>
              </w:rPr>
            </w:r>
            <w:r>
              <w:rPr>
                <w:noProof/>
                <w:webHidden/>
              </w:rPr>
              <w:fldChar w:fldCharType="separate"/>
            </w:r>
            <w:r>
              <w:rPr>
                <w:noProof/>
                <w:webHidden/>
              </w:rPr>
              <w:t>24</w:t>
            </w:r>
            <w:r>
              <w:rPr>
                <w:noProof/>
                <w:webHidden/>
              </w:rPr>
              <w:fldChar w:fldCharType="end"/>
            </w:r>
          </w:hyperlink>
        </w:p>
        <w:p w:rsidR="00E94928" w:rsidRDefault="00E94928" w14:paraId="4387F430" w14:textId="029691B9">
          <w:pPr>
            <w:pStyle w:val="TOC1"/>
            <w:rPr>
              <w:rFonts w:asciiTheme="minorHAnsi" w:hAnsiTheme="minorHAnsi" w:eastAsiaTheme="minorEastAsia" w:cstheme="minorBidi"/>
              <w:b w:val="0"/>
              <w:caps w:val="0"/>
              <w:noProof/>
              <w:kern w:val="2"/>
              <w:sz w:val="24"/>
              <w:szCs w:val="24"/>
              <w14:ligatures w14:val="standardContextual"/>
            </w:rPr>
          </w:pPr>
          <w:hyperlink w:history="1" w:anchor="_Toc227451510">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2</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Representations, Warranties, and Covenants</w:t>
            </w:r>
            <w:r>
              <w:rPr>
                <w:noProof/>
                <w:webHidden/>
              </w:rPr>
              <w:tab/>
            </w:r>
            <w:r>
              <w:rPr>
                <w:noProof/>
                <w:webHidden/>
              </w:rPr>
              <w:fldChar w:fldCharType="begin"/>
            </w:r>
            <w:r>
              <w:rPr>
                <w:noProof/>
                <w:webHidden/>
              </w:rPr>
              <w:instrText xml:space="preserve"> PAGEREF _Toc227451510 \h </w:instrText>
            </w:r>
            <w:r>
              <w:rPr>
                <w:noProof/>
                <w:webHidden/>
              </w:rPr>
            </w:r>
            <w:r>
              <w:rPr>
                <w:noProof/>
                <w:webHidden/>
              </w:rPr>
              <w:fldChar w:fldCharType="separate"/>
            </w:r>
            <w:r>
              <w:rPr>
                <w:noProof/>
                <w:webHidden/>
              </w:rPr>
              <w:t>27</w:t>
            </w:r>
            <w:r>
              <w:rPr>
                <w:noProof/>
                <w:webHidden/>
              </w:rPr>
              <w:fldChar w:fldCharType="end"/>
            </w:r>
          </w:hyperlink>
        </w:p>
        <w:p w:rsidR="00E94928" w:rsidRDefault="00E94928" w14:paraId="51AFBD23" w14:textId="57B050EE">
          <w:pPr>
            <w:pStyle w:val="TOC2"/>
            <w:rPr>
              <w:rFonts w:asciiTheme="minorHAnsi" w:hAnsiTheme="minorHAnsi" w:eastAsiaTheme="minorEastAsia"/>
              <w:noProof/>
              <w:kern w:val="2"/>
              <w:sz w:val="24"/>
              <w:szCs w:val="24"/>
              <w14:ligatures w14:val="standardContextual"/>
            </w:rPr>
          </w:pPr>
          <w:hyperlink w:history="1" w:anchor="_Toc227451511">
            <w:r w:rsidRPr="00A52F3A">
              <w:rPr>
                <w:rStyle w:val="Hyperlink"/>
                <w:noProof/>
                <w:specVanish/>
              </w:rPr>
              <w:t>2.1</w:t>
            </w:r>
            <w:r>
              <w:rPr>
                <w:rFonts w:asciiTheme="minorHAnsi" w:hAnsiTheme="minorHAnsi" w:eastAsiaTheme="minorEastAsia"/>
                <w:noProof/>
                <w:kern w:val="2"/>
                <w:sz w:val="24"/>
                <w:szCs w:val="24"/>
                <w14:ligatures w14:val="standardContextual"/>
              </w:rPr>
              <w:tab/>
            </w:r>
            <w:r w:rsidRPr="00A52F3A">
              <w:rPr>
                <w:rStyle w:val="Hyperlink"/>
                <w:noProof/>
              </w:rPr>
              <w:t>Seller Representations, Warranties, and Covenants.</w:t>
            </w:r>
            <w:r>
              <w:rPr>
                <w:noProof/>
                <w:webHidden/>
              </w:rPr>
              <w:tab/>
            </w:r>
            <w:r>
              <w:rPr>
                <w:noProof/>
                <w:webHidden/>
              </w:rPr>
              <w:fldChar w:fldCharType="begin"/>
            </w:r>
            <w:r>
              <w:rPr>
                <w:noProof/>
                <w:webHidden/>
              </w:rPr>
              <w:instrText xml:space="preserve"> PAGEREF _Toc227451511 \h </w:instrText>
            </w:r>
            <w:r>
              <w:rPr>
                <w:noProof/>
                <w:webHidden/>
              </w:rPr>
            </w:r>
            <w:r>
              <w:rPr>
                <w:noProof/>
                <w:webHidden/>
              </w:rPr>
              <w:fldChar w:fldCharType="separate"/>
            </w:r>
            <w:r>
              <w:rPr>
                <w:noProof/>
                <w:webHidden/>
              </w:rPr>
              <w:t>27</w:t>
            </w:r>
            <w:r>
              <w:rPr>
                <w:noProof/>
                <w:webHidden/>
              </w:rPr>
              <w:fldChar w:fldCharType="end"/>
            </w:r>
          </w:hyperlink>
        </w:p>
        <w:p w:rsidR="00E94928" w:rsidRDefault="00E94928" w14:paraId="5DF7D08A" w14:textId="665E8228">
          <w:pPr>
            <w:pStyle w:val="TOC2"/>
            <w:rPr>
              <w:rFonts w:asciiTheme="minorHAnsi" w:hAnsiTheme="minorHAnsi" w:eastAsiaTheme="minorEastAsia"/>
              <w:noProof/>
              <w:kern w:val="2"/>
              <w:sz w:val="24"/>
              <w:szCs w:val="24"/>
              <w14:ligatures w14:val="standardContextual"/>
            </w:rPr>
          </w:pPr>
          <w:hyperlink w:history="1" w:anchor="_Toc227451512">
            <w:r w:rsidRPr="00A52F3A">
              <w:rPr>
                <w:rStyle w:val="Hyperlink"/>
                <w:rFonts w:cs="Arial"/>
                <w:noProof/>
                <w:specVanish/>
              </w:rPr>
              <w:t>2.2</w:t>
            </w:r>
            <w:r>
              <w:rPr>
                <w:rFonts w:asciiTheme="minorHAnsi" w:hAnsiTheme="minorHAnsi" w:eastAsiaTheme="minorEastAsia"/>
                <w:noProof/>
                <w:kern w:val="2"/>
                <w:sz w:val="24"/>
                <w:szCs w:val="24"/>
                <w14:ligatures w14:val="standardContextual"/>
              </w:rPr>
              <w:tab/>
            </w:r>
            <w:r w:rsidRPr="00A52F3A">
              <w:rPr>
                <w:rStyle w:val="Hyperlink"/>
                <w:rFonts w:cs="Arial"/>
                <w:noProof/>
              </w:rPr>
              <w:t>GPC Representations, Warranties, and Covenants.</w:t>
            </w:r>
            <w:r>
              <w:rPr>
                <w:noProof/>
                <w:webHidden/>
              </w:rPr>
              <w:tab/>
            </w:r>
            <w:r>
              <w:rPr>
                <w:noProof/>
                <w:webHidden/>
              </w:rPr>
              <w:fldChar w:fldCharType="begin"/>
            </w:r>
            <w:r>
              <w:rPr>
                <w:noProof/>
                <w:webHidden/>
              </w:rPr>
              <w:instrText xml:space="preserve"> PAGEREF _Toc227451512 \h </w:instrText>
            </w:r>
            <w:r>
              <w:rPr>
                <w:noProof/>
                <w:webHidden/>
              </w:rPr>
            </w:r>
            <w:r>
              <w:rPr>
                <w:noProof/>
                <w:webHidden/>
              </w:rPr>
              <w:fldChar w:fldCharType="separate"/>
            </w:r>
            <w:r>
              <w:rPr>
                <w:noProof/>
                <w:webHidden/>
              </w:rPr>
              <w:t>30</w:t>
            </w:r>
            <w:r>
              <w:rPr>
                <w:noProof/>
                <w:webHidden/>
              </w:rPr>
              <w:fldChar w:fldCharType="end"/>
            </w:r>
          </w:hyperlink>
        </w:p>
        <w:p w:rsidR="00E94928" w:rsidRDefault="00E94928" w14:paraId="07081C65" w14:textId="640BB755">
          <w:pPr>
            <w:pStyle w:val="TOC1"/>
            <w:rPr>
              <w:rFonts w:asciiTheme="minorHAnsi" w:hAnsiTheme="minorHAnsi" w:eastAsiaTheme="minorEastAsia" w:cstheme="minorBidi"/>
              <w:b w:val="0"/>
              <w:caps w:val="0"/>
              <w:noProof/>
              <w:kern w:val="2"/>
              <w:sz w:val="24"/>
              <w:szCs w:val="24"/>
              <w14:ligatures w14:val="standardContextual"/>
            </w:rPr>
          </w:pPr>
          <w:hyperlink w:history="1" w:anchor="_Toc227451513">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3</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Preservation of Terms; Consents; Taxes</w:t>
            </w:r>
            <w:r>
              <w:rPr>
                <w:noProof/>
                <w:webHidden/>
              </w:rPr>
              <w:tab/>
            </w:r>
            <w:r>
              <w:rPr>
                <w:noProof/>
                <w:webHidden/>
              </w:rPr>
              <w:fldChar w:fldCharType="begin"/>
            </w:r>
            <w:r>
              <w:rPr>
                <w:noProof/>
                <w:webHidden/>
              </w:rPr>
              <w:instrText xml:space="preserve"> PAGEREF _Toc227451513 \h </w:instrText>
            </w:r>
            <w:r>
              <w:rPr>
                <w:noProof/>
                <w:webHidden/>
              </w:rPr>
            </w:r>
            <w:r>
              <w:rPr>
                <w:noProof/>
                <w:webHidden/>
              </w:rPr>
              <w:fldChar w:fldCharType="separate"/>
            </w:r>
            <w:r>
              <w:rPr>
                <w:noProof/>
                <w:webHidden/>
              </w:rPr>
              <w:t>30</w:t>
            </w:r>
            <w:r>
              <w:rPr>
                <w:noProof/>
                <w:webHidden/>
              </w:rPr>
              <w:fldChar w:fldCharType="end"/>
            </w:r>
          </w:hyperlink>
        </w:p>
        <w:p w:rsidR="00E94928" w:rsidRDefault="00E94928" w14:paraId="5D36157F" w14:textId="001062F6">
          <w:pPr>
            <w:pStyle w:val="TOC2"/>
            <w:rPr>
              <w:rFonts w:asciiTheme="minorHAnsi" w:hAnsiTheme="minorHAnsi" w:eastAsiaTheme="minorEastAsia"/>
              <w:noProof/>
              <w:kern w:val="2"/>
              <w:sz w:val="24"/>
              <w:szCs w:val="24"/>
              <w14:ligatures w14:val="standardContextual"/>
            </w:rPr>
          </w:pPr>
          <w:hyperlink w:history="1" w:anchor="_Toc227451514">
            <w:r w:rsidRPr="00A52F3A">
              <w:rPr>
                <w:rStyle w:val="Hyperlink"/>
                <w:noProof/>
                <w:specVanish/>
              </w:rPr>
              <w:t>3.1</w:t>
            </w:r>
            <w:r>
              <w:rPr>
                <w:rFonts w:asciiTheme="minorHAnsi" w:hAnsiTheme="minorHAnsi" w:eastAsiaTheme="minorEastAsia"/>
                <w:noProof/>
                <w:kern w:val="2"/>
                <w:sz w:val="24"/>
                <w:szCs w:val="24"/>
                <w14:ligatures w14:val="standardContextual"/>
              </w:rPr>
              <w:tab/>
            </w:r>
            <w:r w:rsidRPr="00A52F3A">
              <w:rPr>
                <w:rStyle w:val="Hyperlink"/>
                <w:noProof/>
              </w:rPr>
              <w:t>Preservation of Terms.</w:t>
            </w:r>
            <w:r>
              <w:rPr>
                <w:noProof/>
                <w:webHidden/>
              </w:rPr>
              <w:tab/>
            </w:r>
            <w:r>
              <w:rPr>
                <w:noProof/>
                <w:webHidden/>
              </w:rPr>
              <w:fldChar w:fldCharType="begin"/>
            </w:r>
            <w:r>
              <w:rPr>
                <w:noProof/>
                <w:webHidden/>
              </w:rPr>
              <w:instrText xml:space="preserve"> PAGEREF _Toc227451514 \h </w:instrText>
            </w:r>
            <w:r>
              <w:rPr>
                <w:noProof/>
                <w:webHidden/>
              </w:rPr>
            </w:r>
            <w:r>
              <w:rPr>
                <w:noProof/>
                <w:webHidden/>
              </w:rPr>
              <w:fldChar w:fldCharType="separate"/>
            </w:r>
            <w:r>
              <w:rPr>
                <w:noProof/>
                <w:webHidden/>
              </w:rPr>
              <w:t>30</w:t>
            </w:r>
            <w:r>
              <w:rPr>
                <w:noProof/>
                <w:webHidden/>
              </w:rPr>
              <w:fldChar w:fldCharType="end"/>
            </w:r>
          </w:hyperlink>
        </w:p>
        <w:p w:rsidR="00E94928" w:rsidRDefault="00E94928" w14:paraId="7EE39BEC" w14:textId="1C971D32">
          <w:pPr>
            <w:pStyle w:val="TOC2"/>
            <w:rPr>
              <w:rFonts w:asciiTheme="minorHAnsi" w:hAnsiTheme="minorHAnsi" w:eastAsiaTheme="minorEastAsia"/>
              <w:noProof/>
              <w:kern w:val="2"/>
              <w:sz w:val="24"/>
              <w:szCs w:val="24"/>
              <w14:ligatures w14:val="standardContextual"/>
            </w:rPr>
          </w:pPr>
          <w:hyperlink w:history="1" w:anchor="_Toc227451515">
            <w:r w:rsidRPr="00A52F3A">
              <w:rPr>
                <w:rStyle w:val="Hyperlink"/>
                <w:noProof/>
                <w:specVanish/>
              </w:rPr>
              <w:t>3.2</w:t>
            </w:r>
            <w:r>
              <w:rPr>
                <w:rFonts w:asciiTheme="minorHAnsi" w:hAnsiTheme="minorHAnsi" w:eastAsiaTheme="minorEastAsia"/>
                <w:noProof/>
                <w:kern w:val="2"/>
                <w:sz w:val="24"/>
                <w:szCs w:val="24"/>
                <w14:ligatures w14:val="standardContextual"/>
              </w:rPr>
              <w:tab/>
            </w:r>
            <w:r w:rsidRPr="00A52F3A">
              <w:rPr>
                <w:rStyle w:val="Hyperlink"/>
                <w:noProof/>
              </w:rPr>
              <w:t>Other Approvals.</w:t>
            </w:r>
            <w:r>
              <w:rPr>
                <w:noProof/>
                <w:webHidden/>
              </w:rPr>
              <w:tab/>
            </w:r>
            <w:r>
              <w:rPr>
                <w:noProof/>
                <w:webHidden/>
              </w:rPr>
              <w:fldChar w:fldCharType="begin"/>
            </w:r>
            <w:r>
              <w:rPr>
                <w:noProof/>
                <w:webHidden/>
              </w:rPr>
              <w:instrText xml:space="preserve"> PAGEREF _Toc227451515 \h </w:instrText>
            </w:r>
            <w:r>
              <w:rPr>
                <w:noProof/>
                <w:webHidden/>
              </w:rPr>
            </w:r>
            <w:r>
              <w:rPr>
                <w:noProof/>
                <w:webHidden/>
              </w:rPr>
              <w:fldChar w:fldCharType="separate"/>
            </w:r>
            <w:r>
              <w:rPr>
                <w:noProof/>
                <w:webHidden/>
              </w:rPr>
              <w:t>31</w:t>
            </w:r>
            <w:r>
              <w:rPr>
                <w:noProof/>
                <w:webHidden/>
              </w:rPr>
              <w:fldChar w:fldCharType="end"/>
            </w:r>
          </w:hyperlink>
        </w:p>
        <w:p w:rsidR="00E94928" w:rsidRDefault="00E94928" w14:paraId="7CE1B76C" w14:textId="167A7315">
          <w:pPr>
            <w:pStyle w:val="TOC2"/>
            <w:rPr>
              <w:rFonts w:asciiTheme="minorHAnsi" w:hAnsiTheme="minorHAnsi" w:eastAsiaTheme="minorEastAsia"/>
              <w:noProof/>
              <w:kern w:val="2"/>
              <w:sz w:val="24"/>
              <w:szCs w:val="24"/>
              <w14:ligatures w14:val="standardContextual"/>
            </w:rPr>
          </w:pPr>
          <w:hyperlink w:history="1" w:anchor="_Toc227451516">
            <w:r w:rsidRPr="00A52F3A">
              <w:rPr>
                <w:rStyle w:val="Hyperlink"/>
                <w:noProof/>
                <w:specVanish/>
              </w:rPr>
              <w:t>3.3</w:t>
            </w:r>
            <w:r>
              <w:rPr>
                <w:rFonts w:asciiTheme="minorHAnsi" w:hAnsiTheme="minorHAnsi" w:eastAsiaTheme="minorEastAsia"/>
                <w:noProof/>
                <w:kern w:val="2"/>
                <w:sz w:val="24"/>
                <w:szCs w:val="24"/>
                <w14:ligatures w14:val="standardContextual"/>
              </w:rPr>
              <w:tab/>
            </w:r>
            <w:r w:rsidRPr="00A52F3A">
              <w:rPr>
                <w:rStyle w:val="Hyperlink"/>
                <w:noProof/>
              </w:rPr>
              <w:t>Taxes.</w:t>
            </w:r>
            <w:r>
              <w:rPr>
                <w:noProof/>
                <w:webHidden/>
              </w:rPr>
              <w:tab/>
            </w:r>
            <w:r>
              <w:rPr>
                <w:noProof/>
                <w:webHidden/>
              </w:rPr>
              <w:fldChar w:fldCharType="begin"/>
            </w:r>
            <w:r>
              <w:rPr>
                <w:noProof/>
                <w:webHidden/>
              </w:rPr>
              <w:instrText xml:space="preserve"> PAGEREF _Toc227451516 \h </w:instrText>
            </w:r>
            <w:r>
              <w:rPr>
                <w:noProof/>
                <w:webHidden/>
              </w:rPr>
            </w:r>
            <w:r>
              <w:rPr>
                <w:noProof/>
                <w:webHidden/>
              </w:rPr>
              <w:fldChar w:fldCharType="separate"/>
            </w:r>
            <w:r>
              <w:rPr>
                <w:noProof/>
                <w:webHidden/>
              </w:rPr>
              <w:t>31</w:t>
            </w:r>
            <w:r>
              <w:rPr>
                <w:noProof/>
                <w:webHidden/>
              </w:rPr>
              <w:fldChar w:fldCharType="end"/>
            </w:r>
          </w:hyperlink>
        </w:p>
        <w:p w:rsidR="00E94928" w:rsidRDefault="00E94928" w14:paraId="7A46B2D3" w14:textId="24E2F42C">
          <w:pPr>
            <w:pStyle w:val="TOC1"/>
            <w:rPr>
              <w:rFonts w:asciiTheme="minorHAnsi" w:hAnsiTheme="minorHAnsi" w:eastAsiaTheme="minorEastAsia" w:cstheme="minorBidi"/>
              <w:b w:val="0"/>
              <w:caps w:val="0"/>
              <w:noProof/>
              <w:kern w:val="2"/>
              <w:sz w:val="24"/>
              <w:szCs w:val="24"/>
              <w14:ligatures w14:val="standardContextual"/>
            </w:rPr>
          </w:pPr>
          <w:hyperlink w:history="1" w:anchor="_Toc227451517">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4</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Sale and Delivery of Capacity</w:t>
            </w:r>
            <w:r>
              <w:rPr>
                <w:noProof/>
                <w:webHidden/>
              </w:rPr>
              <w:tab/>
            </w:r>
            <w:r>
              <w:rPr>
                <w:noProof/>
                <w:webHidden/>
              </w:rPr>
              <w:fldChar w:fldCharType="begin"/>
            </w:r>
            <w:r>
              <w:rPr>
                <w:noProof/>
                <w:webHidden/>
              </w:rPr>
              <w:instrText xml:space="preserve"> PAGEREF _Toc227451517 \h </w:instrText>
            </w:r>
            <w:r>
              <w:rPr>
                <w:noProof/>
                <w:webHidden/>
              </w:rPr>
            </w:r>
            <w:r>
              <w:rPr>
                <w:noProof/>
                <w:webHidden/>
              </w:rPr>
              <w:fldChar w:fldCharType="separate"/>
            </w:r>
            <w:r>
              <w:rPr>
                <w:noProof/>
                <w:webHidden/>
              </w:rPr>
              <w:t>31</w:t>
            </w:r>
            <w:r>
              <w:rPr>
                <w:noProof/>
                <w:webHidden/>
              </w:rPr>
              <w:fldChar w:fldCharType="end"/>
            </w:r>
          </w:hyperlink>
        </w:p>
        <w:p w:rsidR="00E94928" w:rsidRDefault="00E94928" w14:paraId="05474DF4" w14:textId="6013C277">
          <w:pPr>
            <w:pStyle w:val="TOC2"/>
            <w:rPr>
              <w:rFonts w:asciiTheme="minorHAnsi" w:hAnsiTheme="minorHAnsi" w:eastAsiaTheme="minorEastAsia"/>
              <w:noProof/>
              <w:kern w:val="2"/>
              <w:sz w:val="24"/>
              <w:szCs w:val="24"/>
              <w14:ligatures w14:val="standardContextual"/>
            </w:rPr>
          </w:pPr>
          <w:hyperlink w:history="1" w:anchor="_Toc227451518">
            <w:r w:rsidRPr="00A52F3A">
              <w:rPr>
                <w:rStyle w:val="Hyperlink"/>
                <w:noProof/>
                <w:specVanish/>
              </w:rPr>
              <w:t>4.1</w:t>
            </w:r>
            <w:r>
              <w:rPr>
                <w:rFonts w:asciiTheme="minorHAnsi" w:hAnsiTheme="minorHAnsi" w:eastAsiaTheme="minorEastAsia"/>
                <w:noProof/>
                <w:kern w:val="2"/>
                <w:sz w:val="24"/>
                <w:szCs w:val="24"/>
                <w14:ligatures w14:val="standardContextual"/>
              </w:rPr>
              <w:tab/>
            </w:r>
            <w:r w:rsidRPr="00A52F3A">
              <w:rPr>
                <w:rStyle w:val="Hyperlink"/>
                <w:noProof/>
              </w:rPr>
              <w:t>Agreement to Sell and Purchase.</w:t>
            </w:r>
            <w:r>
              <w:rPr>
                <w:noProof/>
                <w:webHidden/>
              </w:rPr>
              <w:tab/>
            </w:r>
            <w:r>
              <w:rPr>
                <w:noProof/>
                <w:webHidden/>
              </w:rPr>
              <w:fldChar w:fldCharType="begin"/>
            </w:r>
            <w:r>
              <w:rPr>
                <w:noProof/>
                <w:webHidden/>
              </w:rPr>
              <w:instrText xml:space="preserve"> PAGEREF _Toc227451518 \h </w:instrText>
            </w:r>
            <w:r>
              <w:rPr>
                <w:noProof/>
                <w:webHidden/>
              </w:rPr>
            </w:r>
            <w:r>
              <w:rPr>
                <w:noProof/>
                <w:webHidden/>
              </w:rPr>
              <w:fldChar w:fldCharType="separate"/>
            </w:r>
            <w:r>
              <w:rPr>
                <w:noProof/>
                <w:webHidden/>
              </w:rPr>
              <w:t>31</w:t>
            </w:r>
            <w:r>
              <w:rPr>
                <w:noProof/>
                <w:webHidden/>
              </w:rPr>
              <w:fldChar w:fldCharType="end"/>
            </w:r>
          </w:hyperlink>
        </w:p>
        <w:p w:rsidR="00E94928" w:rsidRDefault="00E94928" w14:paraId="1B864284" w14:textId="4B9273AB">
          <w:pPr>
            <w:pStyle w:val="TOC2"/>
            <w:rPr>
              <w:rFonts w:asciiTheme="minorHAnsi" w:hAnsiTheme="minorHAnsi" w:eastAsiaTheme="minorEastAsia"/>
              <w:noProof/>
              <w:kern w:val="2"/>
              <w:sz w:val="24"/>
              <w:szCs w:val="24"/>
              <w14:ligatures w14:val="standardContextual"/>
            </w:rPr>
          </w:pPr>
          <w:hyperlink w:history="1" w:anchor="_Toc227451519">
            <w:r w:rsidRPr="00A52F3A">
              <w:rPr>
                <w:rStyle w:val="Hyperlink"/>
                <w:noProof/>
                <w:specVanish/>
              </w:rPr>
              <w:t>4.2</w:t>
            </w:r>
            <w:r>
              <w:rPr>
                <w:rFonts w:asciiTheme="minorHAnsi" w:hAnsiTheme="minorHAnsi" w:eastAsiaTheme="minorEastAsia"/>
                <w:noProof/>
                <w:kern w:val="2"/>
                <w:sz w:val="24"/>
                <w:szCs w:val="24"/>
                <w14:ligatures w14:val="standardContextual"/>
              </w:rPr>
              <w:tab/>
            </w:r>
            <w:r w:rsidRPr="00A52F3A">
              <w:rPr>
                <w:rStyle w:val="Hyperlink"/>
                <w:noProof/>
              </w:rPr>
              <w:t>Calculation of Monthly Capacity Payments.</w:t>
            </w:r>
            <w:r>
              <w:rPr>
                <w:noProof/>
                <w:webHidden/>
              </w:rPr>
              <w:tab/>
            </w:r>
            <w:r>
              <w:rPr>
                <w:noProof/>
                <w:webHidden/>
              </w:rPr>
              <w:fldChar w:fldCharType="begin"/>
            </w:r>
            <w:r>
              <w:rPr>
                <w:noProof/>
                <w:webHidden/>
              </w:rPr>
              <w:instrText xml:space="preserve"> PAGEREF _Toc227451519 \h </w:instrText>
            </w:r>
            <w:r>
              <w:rPr>
                <w:noProof/>
                <w:webHidden/>
              </w:rPr>
            </w:r>
            <w:r>
              <w:rPr>
                <w:noProof/>
                <w:webHidden/>
              </w:rPr>
              <w:fldChar w:fldCharType="separate"/>
            </w:r>
            <w:r>
              <w:rPr>
                <w:noProof/>
                <w:webHidden/>
              </w:rPr>
              <w:t>33</w:t>
            </w:r>
            <w:r>
              <w:rPr>
                <w:noProof/>
                <w:webHidden/>
              </w:rPr>
              <w:fldChar w:fldCharType="end"/>
            </w:r>
          </w:hyperlink>
        </w:p>
        <w:p w:rsidR="00E94928" w:rsidRDefault="00E94928" w14:paraId="08B27043" w14:textId="72FBCCE5">
          <w:pPr>
            <w:pStyle w:val="TOC2"/>
            <w:rPr>
              <w:rFonts w:asciiTheme="minorHAnsi" w:hAnsiTheme="minorHAnsi" w:eastAsiaTheme="minorEastAsia"/>
              <w:noProof/>
              <w:kern w:val="2"/>
              <w:sz w:val="24"/>
              <w:szCs w:val="24"/>
              <w14:ligatures w14:val="standardContextual"/>
            </w:rPr>
          </w:pPr>
          <w:hyperlink w:history="1" w:anchor="_Toc227451520">
            <w:r w:rsidRPr="00A52F3A">
              <w:rPr>
                <w:rStyle w:val="Hyperlink"/>
                <w:noProof/>
                <w:specVanish/>
              </w:rPr>
              <w:t>4.3</w:t>
            </w:r>
            <w:r>
              <w:rPr>
                <w:rFonts w:asciiTheme="minorHAnsi" w:hAnsiTheme="minorHAnsi" w:eastAsiaTheme="minorEastAsia"/>
                <w:noProof/>
                <w:kern w:val="2"/>
                <w:sz w:val="24"/>
                <w:szCs w:val="24"/>
                <w14:ligatures w14:val="standardContextual"/>
              </w:rPr>
              <w:tab/>
            </w:r>
            <w:r w:rsidRPr="00A52F3A">
              <w:rPr>
                <w:rStyle w:val="Hyperlink"/>
                <w:noProof/>
              </w:rPr>
              <w:t>Paired Renewable Resource.</w:t>
            </w:r>
            <w:r>
              <w:rPr>
                <w:noProof/>
                <w:webHidden/>
              </w:rPr>
              <w:tab/>
            </w:r>
            <w:r>
              <w:rPr>
                <w:noProof/>
                <w:webHidden/>
              </w:rPr>
              <w:fldChar w:fldCharType="begin"/>
            </w:r>
            <w:r>
              <w:rPr>
                <w:noProof/>
                <w:webHidden/>
              </w:rPr>
              <w:instrText xml:space="preserve"> PAGEREF _Toc227451520 \h </w:instrText>
            </w:r>
            <w:r>
              <w:rPr>
                <w:noProof/>
                <w:webHidden/>
              </w:rPr>
            </w:r>
            <w:r>
              <w:rPr>
                <w:noProof/>
                <w:webHidden/>
              </w:rPr>
              <w:fldChar w:fldCharType="separate"/>
            </w:r>
            <w:r>
              <w:rPr>
                <w:noProof/>
                <w:webHidden/>
              </w:rPr>
              <w:t>33</w:t>
            </w:r>
            <w:r>
              <w:rPr>
                <w:noProof/>
                <w:webHidden/>
              </w:rPr>
              <w:fldChar w:fldCharType="end"/>
            </w:r>
          </w:hyperlink>
        </w:p>
        <w:p w:rsidR="00E94928" w:rsidRDefault="00E94928" w14:paraId="4089778E" w14:textId="607F6602">
          <w:pPr>
            <w:pStyle w:val="TOC1"/>
            <w:rPr>
              <w:rFonts w:asciiTheme="minorHAnsi" w:hAnsiTheme="minorHAnsi" w:eastAsiaTheme="minorEastAsia" w:cstheme="minorBidi"/>
              <w:b w:val="0"/>
              <w:caps w:val="0"/>
              <w:noProof/>
              <w:kern w:val="2"/>
              <w:sz w:val="24"/>
              <w:szCs w:val="24"/>
              <w14:ligatures w14:val="standardContextual"/>
            </w:rPr>
          </w:pPr>
          <w:hyperlink w:history="1" w:anchor="_Toc227451521">
            <w:r w:rsidRPr="00A52F3A">
              <w:rPr>
                <w:rStyle w:val="Hyperlink"/>
                <w:rFonts w:eastAsia="PMingLiU" w:cs="Times New Roman"/>
                <w:noProof/>
                <w14:scene3d>
                  <w14:camera w14:prst="orthographicFront"/>
                  <w14:lightRig w14:rig="threePt" w14:dir="t">
                    <w14:rot w14:lat="0" w14:lon="0" w14:rev="0"/>
                  </w14:lightRig>
                </w14:scene3d>
                <w14:props3d w14:extrusionH="0" w14:contourW="0" w14:prstMaterial="warmMatte"/>
              </w:rPr>
              <w:t>Part 5</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Billing and Collections</w:t>
            </w:r>
            <w:r>
              <w:rPr>
                <w:noProof/>
                <w:webHidden/>
              </w:rPr>
              <w:tab/>
            </w:r>
            <w:r>
              <w:rPr>
                <w:noProof/>
                <w:webHidden/>
              </w:rPr>
              <w:fldChar w:fldCharType="begin"/>
            </w:r>
            <w:r>
              <w:rPr>
                <w:noProof/>
                <w:webHidden/>
              </w:rPr>
              <w:instrText xml:space="preserve"> PAGEREF _Toc227451521 \h </w:instrText>
            </w:r>
            <w:r>
              <w:rPr>
                <w:noProof/>
                <w:webHidden/>
              </w:rPr>
            </w:r>
            <w:r>
              <w:rPr>
                <w:noProof/>
                <w:webHidden/>
              </w:rPr>
              <w:fldChar w:fldCharType="separate"/>
            </w:r>
            <w:r>
              <w:rPr>
                <w:noProof/>
                <w:webHidden/>
              </w:rPr>
              <w:t>33</w:t>
            </w:r>
            <w:r>
              <w:rPr>
                <w:noProof/>
                <w:webHidden/>
              </w:rPr>
              <w:fldChar w:fldCharType="end"/>
            </w:r>
          </w:hyperlink>
        </w:p>
        <w:p w:rsidR="00E94928" w:rsidRDefault="00E94928" w14:paraId="74BC6BC8" w14:textId="523829F0">
          <w:pPr>
            <w:pStyle w:val="TOC2"/>
            <w:rPr>
              <w:rFonts w:asciiTheme="minorHAnsi" w:hAnsiTheme="minorHAnsi" w:eastAsiaTheme="minorEastAsia"/>
              <w:noProof/>
              <w:kern w:val="2"/>
              <w:sz w:val="24"/>
              <w:szCs w:val="24"/>
              <w14:ligatures w14:val="standardContextual"/>
            </w:rPr>
          </w:pPr>
          <w:hyperlink w:history="1" w:anchor="_Toc227451522">
            <w:r w:rsidRPr="00A52F3A">
              <w:rPr>
                <w:rStyle w:val="Hyperlink"/>
                <w:noProof/>
                <w:specVanish/>
              </w:rPr>
              <w:t>5.1</w:t>
            </w:r>
            <w:r>
              <w:rPr>
                <w:rFonts w:asciiTheme="minorHAnsi" w:hAnsiTheme="minorHAnsi" w:eastAsiaTheme="minorEastAsia"/>
                <w:noProof/>
                <w:kern w:val="2"/>
                <w:sz w:val="24"/>
                <w:szCs w:val="24"/>
                <w14:ligatures w14:val="standardContextual"/>
              </w:rPr>
              <w:tab/>
            </w:r>
            <w:r w:rsidRPr="00A52F3A">
              <w:rPr>
                <w:rStyle w:val="Hyperlink"/>
                <w:noProof/>
              </w:rPr>
              <w:t>Capacity Billing and Payment.</w:t>
            </w:r>
            <w:r>
              <w:rPr>
                <w:noProof/>
                <w:webHidden/>
              </w:rPr>
              <w:tab/>
            </w:r>
            <w:r>
              <w:rPr>
                <w:noProof/>
                <w:webHidden/>
              </w:rPr>
              <w:fldChar w:fldCharType="begin"/>
            </w:r>
            <w:r>
              <w:rPr>
                <w:noProof/>
                <w:webHidden/>
              </w:rPr>
              <w:instrText xml:space="preserve"> PAGEREF _Toc227451522 \h </w:instrText>
            </w:r>
            <w:r>
              <w:rPr>
                <w:noProof/>
                <w:webHidden/>
              </w:rPr>
            </w:r>
            <w:r>
              <w:rPr>
                <w:noProof/>
                <w:webHidden/>
              </w:rPr>
              <w:fldChar w:fldCharType="separate"/>
            </w:r>
            <w:r>
              <w:rPr>
                <w:noProof/>
                <w:webHidden/>
              </w:rPr>
              <w:t>33</w:t>
            </w:r>
            <w:r>
              <w:rPr>
                <w:noProof/>
                <w:webHidden/>
              </w:rPr>
              <w:fldChar w:fldCharType="end"/>
            </w:r>
          </w:hyperlink>
        </w:p>
        <w:p w:rsidR="00E94928" w:rsidRDefault="00E94928" w14:paraId="7B7FD8C1" w14:textId="56A896A7">
          <w:pPr>
            <w:pStyle w:val="TOC2"/>
            <w:rPr>
              <w:rFonts w:asciiTheme="minorHAnsi" w:hAnsiTheme="minorHAnsi" w:eastAsiaTheme="minorEastAsia"/>
              <w:noProof/>
              <w:kern w:val="2"/>
              <w:sz w:val="24"/>
              <w:szCs w:val="24"/>
              <w14:ligatures w14:val="standardContextual"/>
            </w:rPr>
          </w:pPr>
          <w:hyperlink w:history="1" w:anchor="_Toc227451523">
            <w:r w:rsidRPr="00A52F3A">
              <w:rPr>
                <w:rStyle w:val="Hyperlink"/>
                <w:noProof/>
                <w:specVanish/>
              </w:rPr>
              <w:t>5.2</w:t>
            </w:r>
            <w:r>
              <w:rPr>
                <w:rFonts w:asciiTheme="minorHAnsi" w:hAnsiTheme="minorHAnsi" w:eastAsiaTheme="minorEastAsia"/>
                <w:noProof/>
                <w:kern w:val="2"/>
                <w:sz w:val="24"/>
                <w:szCs w:val="24"/>
                <w14:ligatures w14:val="standardContextual"/>
              </w:rPr>
              <w:tab/>
            </w:r>
            <w:r w:rsidRPr="00A52F3A">
              <w:rPr>
                <w:rStyle w:val="Hyperlink"/>
                <w:noProof/>
              </w:rPr>
              <w:t>Billing Disputes and Final Accounting.</w:t>
            </w:r>
            <w:r>
              <w:rPr>
                <w:noProof/>
                <w:webHidden/>
              </w:rPr>
              <w:tab/>
            </w:r>
            <w:r>
              <w:rPr>
                <w:noProof/>
                <w:webHidden/>
              </w:rPr>
              <w:fldChar w:fldCharType="begin"/>
            </w:r>
            <w:r>
              <w:rPr>
                <w:noProof/>
                <w:webHidden/>
              </w:rPr>
              <w:instrText xml:space="preserve"> PAGEREF _Toc227451523 \h </w:instrText>
            </w:r>
            <w:r>
              <w:rPr>
                <w:noProof/>
                <w:webHidden/>
              </w:rPr>
            </w:r>
            <w:r>
              <w:rPr>
                <w:noProof/>
                <w:webHidden/>
              </w:rPr>
              <w:fldChar w:fldCharType="separate"/>
            </w:r>
            <w:r>
              <w:rPr>
                <w:noProof/>
                <w:webHidden/>
              </w:rPr>
              <w:t>34</w:t>
            </w:r>
            <w:r>
              <w:rPr>
                <w:noProof/>
                <w:webHidden/>
              </w:rPr>
              <w:fldChar w:fldCharType="end"/>
            </w:r>
          </w:hyperlink>
        </w:p>
        <w:p w:rsidR="00E94928" w:rsidRDefault="00E94928" w14:paraId="72AB631D" w14:textId="045DBA76">
          <w:pPr>
            <w:pStyle w:val="TOC2"/>
            <w:rPr>
              <w:rFonts w:asciiTheme="minorHAnsi" w:hAnsiTheme="minorHAnsi" w:eastAsiaTheme="minorEastAsia"/>
              <w:noProof/>
              <w:kern w:val="2"/>
              <w:sz w:val="24"/>
              <w:szCs w:val="24"/>
              <w14:ligatures w14:val="standardContextual"/>
            </w:rPr>
          </w:pPr>
          <w:hyperlink w:history="1" w:anchor="_Toc227451524">
            <w:r w:rsidRPr="00A52F3A">
              <w:rPr>
                <w:rStyle w:val="Hyperlink"/>
                <w:noProof/>
                <w:specVanish/>
              </w:rPr>
              <w:t>5.3</w:t>
            </w:r>
            <w:r>
              <w:rPr>
                <w:rFonts w:asciiTheme="minorHAnsi" w:hAnsiTheme="minorHAnsi" w:eastAsiaTheme="minorEastAsia"/>
                <w:noProof/>
                <w:kern w:val="2"/>
                <w:sz w:val="24"/>
                <w:szCs w:val="24"/>
                <w14:ligatures w14:val="standardContextual"/>
              </w:rPr>
              <w:tab/>
            </w:r>
            <w:r w:rsidRPr="00A52F3A">
              <w:rPr>
                <w:rStyle w:val="Hyperlink"/>
                <w:noProof/>
              </w:rPr>
              <w:t>Interest.</w:t>
            </w:r>
            <w:r>
              <w:rPr>
                <w:noProof/>
                <w:webHidden/>
              </w:rPr>
              <w:tab/>
            </w:r>
            <w:r>
              <w:rPr>
                <w:noProof/>
                <w:webHidden/>
              </w:rPr>
              <w:fldChar w:fldCharType="begin"/>
            </w:r>
            <w:r>
              <w:rPr>
                <w:noProof/>
                <w:webHidden/>
              </w:rPr>
              <w:instrText xml:space="preserve"> PAGEREF _Toc227451524 \h </w:instrText>
            </w:r>
            <w:r>
              <w:rPr>
                <w:noProof/>
                <w:webHidden/>
              </w:rPr>
            </w:r>
            <w:r>
              <w:rPr>
                <w:noProof/>
                <w:webHidden/>
              </w:rPr>
              <w:fldChar w:fldCharType="separate"/>
            </w:r>
            <w:r>
              <w:rPr>
                <w:noProof/>
                <w:webHidden/>
              </w:rPr>
              <w:t>35</w:t>
            </w:r>
            <w:r>
              <w:rPr>
                <w:noProof/>
                <w:webHidden/>
              </w:rPr>
              <w:fldChar w:fldCharType="end"/>
            </w:r>
          </w:hyperlink>
        </w:p>
        <w:p w:rsidR="00E94928" w:rsidRDefault="00E94928" w14:paraId="34064B3E" w14:textId="5BC9DA76">
          <w:pPr>
            <w:pStyle w:val="TOC2"/>
            <w:rPr>
              <w:rFonts w:asciiTheme="minorHAnsi" w:hAnsiTheme="minorHAnsi" w:eastAsiaTheme="minorEastAsia"/>
              <w:noProof/>
              <w:kern w:val="2"/>
              <w:sz w:val="24"/>
              <w:szCs w:val="24"/>
              <w14:ligatures w14:val="standardContextual"/>
            </w:rPr>
          </w:pPr>
          <w:hyperlink w:history="1" w:anchor="_Toc227451525">
            <w:r w:rsidRPr="00A52F3A">
              <w:rPr>
                <w:rStyle w:val="Hyperlink"/>
                <w:noProof/>
                <w:specVanish/>
              </w:rPr>
              <w:t>5.4</w:t>
            </w:r>
            <w:r>
              <w:rPr>
                <w:rFonts w:asciiTheme="minorHAnsi" w:hAnsiTheme="minorHAnsi" w:eastAsiaTheme="minorEastAsia"/>
                <w:noProof/>
                <w:kern w:val="2"/>
                <w:sz w:val="24"/>
                <w:szCs w:val="24"/>
                <w14:ligatures w14:val="standardContextual"/>
              </w:rPr>
              <w:tab/>
            </w:r>
            <w:r w:rsidRPr="00A52F3A">
              <w:rPr>
                <w:rStyle w:val="Hyperlink"/>
                <w:noProof/>
              </w:rPr>
              <w:t>Billing and Payment Records.</w:t>
            </w:r>
            <w:r>
              <w:rPr>
                <w:noProof/>
                <w:webHidden/>
              </w:rPr>
              <w:tab/>
            </w:r>
            <w:r>
              <w:rPr>
                <w:noProof/>
                <w:webHidden/>
              </w:rPr>
              <w:fldChar w:fldCharType="begin"/>
            </w:r>
            <w:r>
              <w:rPr>
                <w:noProof/>
                <w:webHidden/>
              </w:rPr>
              <w:instrText xml:space="preserve"> PAGEREF _Toc227451525 \h </w:instrText>
            </w:r>
            <w:r>
              <w:rPr>
                <w:noProof/>
                <w:webHidden/>
              </w:rPr>
            </w:r>
            <w:r>
              <w:rPr>
                <w:noProof/>
                <w:webHidden/>
              </w:rPr>
              <w:fldChar w:fldCharType="separate"/>
            </w:r>
            <w:r>
              <w:rPr>
                <w:noProof/>
                <w:webHidden/>
              </w:rPr>
              <w:t>35</w:t>
            </w:r>
            <w:r>
              <w:rPr>
                <w:noProof/>
                <w:webHidden/>
              </w:rPr>
              <w:fldChar w:fldCharType="end"/>
            </w:r>
          </w:hyperlink>
        </w:p>
        <w:p w:rsidR="00E94928" w:rsidRDefault="00E94928" w14:paraId="70815F2A" w14:textId="3C7E50AD">
          <w:pPr>
            <w:pStyle w:val="TOC1"/>
            <w:rPr>
              <w:rFonts w:asciiTheme="minorHAnsi" w:hAnsiTheme="minorHAnsi" w:eastAsiaTheme="minorEastAsia" w:cstheme="minorBidi"/>
              <w:b w:val="0"/>
              <w:caps w:val="0"/>
              <w:noProof/>
              <w:kern w:val="2"/>
              <w:sz w:val="24"/>
              <w:szCs w:val="24"/>
              <w14:ligatures w14:val="standardContextual"/>
            </w:rPr>
          </w:pPr>
          <w:hyperlink w:history="1" w:anchor="_Toc227451526">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6</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Performance Security</w:t>
            </w:r>
            <w:r>
              <w:rPr>
                <w:noProof/>
                <w:webHidden/>
              </w:rPr>
              <w:tab/>
            </w:r>
            <w:r>
              <w:rPr>
                <w:noProof/>
                <w:webHidden/>
              </w:rPr>
              <w:fldChar w:fldCharType="begin"/>
            </w:r>
            <w:r>
              <w:rPr>
                <w:noProof/>
                <w:webHidden/>
              </w:rPr>
              <w:instrText xml:space="preserve"> PAGEREF _Toc227451526 \h </w:instrText>
            </w:r>
            <w:r>
              <w:rPr>
                <w:noProof/>
                <w:webHidden/>
              </w:rPr>
            </w:r>
            <w:r>
              <w:rPr>
                <w:noProof/>
                <w:webHidden/>
              </w:rPr>
              <w:fldChar w:fldCharType="separate"/>
            </w:r>
            <w:r>
              <w:rPr>
                <w:noProof/>
                <w:webHidden/>
              </w:rPr>
              <w:t>35</w:t>
            </w:r>
            <w:r>
              <w:rPr>
                <w:noProof/>
                <w:webHidden/>
              </w:rPr>
              <w:fldChar w:fldCharType="end"/>
            </w:r>
          </w:hyperlink>
        </w:p>
        <w:p w:rsidR="00E94928" w:rsidRDefault="00E94928" w14:paraId="2E2CBFB3" w14:textId="267CB68A">
          <w:pPr>
            <w:pStyle w:val="TOC2"/>
            <w:rPr>
              <w:rFonts w:asciiTheme="minorHAnsi" w:hAnsiTheme="minorHAnsi" w:eastAsiaTheme="minorEastAsia"/>
              <w:noProof/>
              <w:kern w:val="2"/>
              <w:sz w:val="24"/>
              <w:szCs w:val="24"/>
              <w14:ligatures w14:val="standardContextual"/>
            </w:rPr>
          </w:pPr>
          <w:hyperlink w:history="1" w:anchor="_Toc227451527">
            <w:r w:rsidRPr="00A52F3A">
              <w:rPr>
                <w:rStyle w:val="Hyperlink"/>
                <w:noProof/>
                <w:specVanish/>
              </w:rPr>
              <w:t>6.1</w:t>
            </w:r>
            <w:r>
              <w:rPr>
                <w:rFonts w:asciiTheme="minorHAnsi" w:hAnsiTheme="minorHAnsi" w:eastAsiaTheme="minorEastAsia"/>
                <w:noProof/>
                <w:kern w:val="2"/>
                <w:sz w:val="24"/>
                <w:szCs w:val="24"/>
                <w14:ligatures w14:val="standardContextual"/>
              </w:rPr>
              <w:tab/>
            </w:r>
            <w:r w:rsidRPr="00A52F3A">
              <w:rPr>
                <w:rStyle w:val="Hyperlink"/>
                <w:noProof/>
              </w:rPr>
              <w:t>Performance Security.</w:t>
            </w:r>
            <w:r>
              <w:rPr>
                <w:noProof/>
                <w:webHidden/>
              </w:rPr>
              <w:tab/>
            </w:r>
            <w:r>
              <w:rPr>
                <w:noProof/>
                <w:webHidden/>
              </w:rPr>
              <w:fldChar w:fldCharType="begin"/>
            </w:r>
            <w:r>
              <w:rPr>
                <w:noProof/>
                <w:webHidden/>
              </w:rPr>
              <w:instrText xml:space="preserve"> PAGEREF _Toc227451527 \h </w:instrText>
            </w:r>
            <w:r>
              <w:rPr>
                <w:noProof/>
                <w:webHidden/>
              </w:rPr>
            </w:r>
            <w:r>
              <w:rPr>
                <w:noProof/>
                <w:webHidden/>
              </w:rPr>
              <w:fldChar w:fldCharType="separate"/>
            </w:r>
            <w:r>
              <w:rPr>
                <w:noProof/>
                <w:webHidden/>
              </w:rPr>
              <w:t>35</w:t>
            </w:r>
            <w:r>
              <w:rPr>
                <w:noProof/>
                <w:webHidden/>
              </w:rPr>
              <w:fldChar w:fldCharType="end"/>
            </w:r>
          </w:hyperlink>
        </w:p>
        <w:p w:rsidR="00E94928" w:rsidRDefault="00E94928" w14:paraId="05C3102C" w14:textId="00CDA002">
          <w:pPr>
            <w:pStyle w:val="TOC2"/>
            <w:rPr>
              <w:rFonts w:asciiTheme="minorHAnsi" w:hAnsiTheme="minorHAnsi" w:eastAsiaTheme="minorEastAsia"/>
              <w:noProof/>
              <w:kern w:val="2"/>
              <w:sz w:val="24"/>
              <w:szCs w:val="24"/>
              <w14:ligatures w14:val="standardContextual"/>
            </w:rPr>
          </w:pPr>
          <w:hyperlink w:history="1" w:anchor="_Toc227451528">
            <w:r w:rsidRPr="00A52F3A">
              <w:rPr>
                <w:rStyle w:val="Hyperlink"/>
                <w:noProof/>
                <w:specVanish/>
              </w:rPr>
              <w:t>6.2</w:t>
            </w:r>
            <w:r>
              <w:rPr>
                <w:rFonts w:asciiTheme="minorHAnsi" w:hAnsiTheme="minorHAnsi" w:eastAsiaTheme="minorEastAsia"/>
                <w:noProof/>
                <w:kern w:val="2"/>
                <w:sz w:val="24"/>
                <w:szCs w:val="24"/>
                <w14:ligatures w14:val="standardContextual"/>
              </w:rPr>
              <w:tab/>
            </w:r>
            <w:r w:rsidRPr="00A52F3A">
              <w:rPr>
                <w:rStyle w:val="Hyperlink"/>
                <w:noProof/>
              </w:rPr>
              <w:t>Replacement Collateral; Substituted Collateral; Release of Collateral.</w:t>
            </w:r>
            <w:r>
              <w:rPr>
                <w:noProof/>
                <w:webHidden/>
              </w:rPr>
              <w:tab/>
            </w:r>
            <w:r>
              <w:rPr>
                <w:noProof/>
                <w:webHidden/>
              </w:rPr>
              <w:fldChar w:fldCharType="begin"/>
            </w:r>
            <w:r>
              <w:rPr>
                <w:noProof/>
                <w:webHidden/>
              </w:rPr>
              <w:instrText xml:space="preserve"> PAGEREF _Toc227451528 \h </w:instrText>
            </w:r>
            <w:r>
              <w:rPr>
                <w:noProof/>
                <w:webHidden/>
              </w:rPr>
            </w:r>
            <w:r>
              <w:rPr>
                <w:noProof/>
                <w:webHidden/>
              </w:rPr>
              <w:fldChar w:fldCharType="separate"/>
            </w:r>
            <w:r>
              <w:rPr>
                <w:noProof/>
                <w:webHidden/>
              </w:rPr>
              <w:t>36</w:t>
            </w:r>
            <w:r>
              <w:rPr>
                <w:noProof/>
                <w:webHidden/>
              </w:rPr>
              <w:fldChar w:fldCharType="end"/>
            </w:r>
          </w:hyperlink>
        </w:p>
        <w:p w:rsidR="00E94928" w:rsidRDefault="00E94928" w14:paraId="275008CE" w14:textId="2EE44B1B">
          <w:pPr>
            <w:pStyle w:val="TOC2"/>
            <w:rPr>
              <w:rFonts w:asciiTheme="minorHAnsi" w:hAnsiTheme="minorHAnsi" w:eastAsiaTheme="minorEastAsia"/>
              <w:noProof/>
              <w:kern w:val="2"/>
              <w:sz w:val="24"/>
              <w:szCs w:val="24"/>
              <w14:ligatures w14:val="standardContextual"/>
            </w:rPr>
          </w:pPr>
          <w:hyperlink w:history="1" w:anchor="_Toc227451529">
            <w:r w:rsidRPr="00A52F3A">
              <w:rPr>
                <w:rStyle w:val="Hyperlink"/>
                <w:noProof/>
                <w:specVanish/>
              </w:rPr>
              <w:t>6.3</w:t>
            </w:r>
            <w:r>
              <w:rPr>
                <w:rFonts w:asciiTheme="minorHAnsi" w:hAnsiTheme="minorHAnsi" w:eastAsiaTheme="minorEastAsia"/>
                <w:noProof/>
                <w:kern w:val="2"/>
                <w:sz w:val="24"/>
                <w:szCs w:val="24"/>
                <w14:ligatures w14:val="standardContextual"/>
              </w:rPr>
              <w:tab/>
            </w:r>
            <w:r w:rsidRPr="00A52F3A">
              <w:rPr>
                <w:rStyle w:val="Hyperlink"/>
                <w:noProof/>
              </w:rPr>
              <w:t>Draws; Replenishment.</w:t>
            </w:r>
            <w:r>
              <w:rPr>
                <w:noProof/>
                <w:webHidden/>
              </w:rPr>
              <w:tab/>
            </w:r>
            <w:r>
              <w:rPr>
                <w:noProof/>
                <w:webHidden/>
              </w:rPr>
              <w:fldChar w:fldCharType="begin"/>
            </w:r>
            <w:r>
              <w:rPr>
                <w:noProof/>
                <w:webHidden/>
              </w:rPr>
              <w:instrText xml:space="preserve"> PAGEREF _Toc227451529 \h </w:instrText>
            </w:r>
            <w:r>
              <w:rPr>
                <w:noProof/>
                <w:webHidden/>
              </w:rPr>
            </w:r>
            <w:r>
              <w:rPr>
                <w:noProof/>
                <w:webHidden/>
              </w:rPr>
              <w:fldChar w:fldCharType="separate"/>
            </w:r>
            <w:r>
              <w:rPr>
                <w:noProof/>
                <w:webHidden/>
              </w:rPr>
              <w:t>36</w:t>
            </w:r>
            <w:r>
              <w:rPr>
                <w:noProof/>
                <w:webHidden/>
              </w:rPr>
              <w:fldChar w:fldCharType="end"/>
            </w:r>
          </w:hyperlink>
        </w:p>
        <w:p w:rsidR="00E94928" w:rsidRDefault="00E94928" w14:paraId="446E8FBE" w14:textId="42AE53F2">
          <w:pPr>
            <w:pStyle w:val="TOC2"/>
            <w:rPr>
              <w:rFonts w:asciiTheme="minorHAnsi" w:hAnsiTheme="minorHAnsi" w:eastAsiaTheme="minorEastAsia"/>
              <w:noProof/>
              <w:kern w:val="2"/>
              <w:sz w:val="24"/>
              <w:szCs w:val="24"/>
              <w14:ligatures w14:val="standardContextual"/>
            </w:rPr>
          </w:pPr>
          <w:hyperlink w:history="1" w:anchor="_Toc227451530">
            <w:r w:rsidRPr="00A52F3A">
              <w:rPr>
                <w:rStyle w:val="Hyperlink"/>
                <w:noProof/>
                <w:specVanish/>
              </w:rPr>
              <w:t>6.4</w:t>
            </w:r>
            <w:r>
              <w:rPr>
                <w:rFonts w:asciiTheme="minorHAnsi" w:hAnsiTheme="minorHAnsi" w:eastAsiaTheme="minorEastAsia"/>
                <w:noProof/>
                <w:kern w:val="2"/>
                <w:sz w:val="24"/>
                <w:szCs w:val="24"/>
                <w14:ligatures w14:val="standardContextual"/>
              </w:rPr>
              <w:tab/>
            </w:r>
            <w:r w:rsidRPr="00A52F3A">
              <w:rPr>
                <w:rStyle w:val="Hyperlink"/>
                <w:noProof/>
              </w:rPr>
              <w:t>Reporting.</w:t>
            </w:r>
            <w:r>
              <w:rPr>
                <w:noProof/>
                <w:webHidden/>
              </w:rPr>
              <w:tab/>
            </w:r>
            <w:r>
              <w:rPr>
                <w:noProof/>
                <w:webHidden/>
              </w:rPr>
              <w:fldChar w:fldCharType="begin"/>
            </w:r>
            <w:r>
              <w:rPr>
                <w:noProof/>
                <w:webHidden/>
              </w:rPr>
              <w:instrText xml:space="preserve"> PAGEREF _Toc227451530 \h </w:instrText>
            </w:r>
            <w:r>
              <w:rPr>
                <w:noProof/>
                <w:webHidden/>
              </w:rPr>
            </w:r>
            <w:r>
              <w:rPr>
                <w:noProof/>
                <w:webHidden/>
              </w:rPr>
              <w:fldChar w:fldCharType="separate"/>
            </w:r>
            <w:r>
              <w:rPr>
                <w:noProof/>
                <w:webHidden/>
              </w:rPr>
              <w:t>36</w:t>
            </w:r>
            <w:r>
              <w:rPr>
                <w:noProof/>
                <w:webHidden/>
              </w:rPr>
              <w:fldChar w:fldCharType="end"/>
            </w:r>
          </w:hyperlink>
        </w:p>
        <w:p w:rsidR="00E94928" w:rsidRDefault="00E94928" w14:paraId="608D3BBF" w14:textId="3F19CCF2">
          <w:pPr>
            <w:pStyle w:val="TOC2"/>
            <w:rPr>
              <w:rFonts w:asciiTheme="minorHAnsi" w:hAnsiTheme="minorHAnsi" w:eastAsiaTheme="minorEastAsia"/>
              <w:noProof/>
              <w:kern w:val="2"/>
              <w:sz w:val="24"/>
              <w:szCs w:val="24"/>
              <w14:ligatures w14:val="standardContextual"/>
            </w:rPr>
          </w:pPr>
          <w:hyperlink w:history="1" w:anchor="_Toc227451531">
            <w:r w:rsidRPr="00A52F3A">
              <w:rPr>
                <w:rStyle w:val="Hyperlink"/>
                <w:noProof/>
                <w:specVanish/>
              </w:rPr>
              <w:t>6.5</w:t>
            </w:r>
            <w:r>
              <w:rPr>
                <w:rFonts w:asciiTheme="minorHAnsi" w:hAnsiTheme="minorHAnsi" w:eastAsiaTheme="minorEastAsia"/>
                <w:noProof/>
                <w:kern w:val="2"/>
                <w:sz w:val="24"/>
                <w:szCs w:val="24"/>
                <w14:ligatures w14:val="standardContextual"/>
              </w:rPr>
              <w:tab/>
            </w:r>
            <w:r w:rsidRPr="00A52F3A">
              <w:rPr>
                <w:rStyle w:val="Hyperlink"/>
                <w:noProof/>
              </w:rPr>
              <w:t>Pre-Approval of Non-Cash Eligible Collateral.</w:t>
            </w:r>
            <w:r>
              <w:rPr>
                <w:noProof/>
                <w:webHidden/>
              </w:rPr>
              <w:tab/>
            </w:r>
            <w:r>
              <w:rPr>
                <w:noProof/>
                <w:webHidden/>
              </w:rPr>
              <w:fldChar w:fldCharType="begin"/>
            </w:r>
            <w:r>
              <w:rPr>
                <w:noProof/>
                <w:webHidden/>
              </w:rPr>
              <w:instrText xml:space="preserve"> PAGEREF _Toc227451531 \h </w:instrText>
            </w:r>
            <w:r>
              <w:rPr>
                <w:noProof/>
                <w:webHidden/>
              </w:rPr>
            </w:r>
            <w:r>
              <w:rPr>
                <w:noProof/>
                <w:webHidden/>
              </w:rPr>
              <w:fldChar w:fldCharType="separate"/>
            </w:r>
            <w:r>
              <w:rPr>
                <w:noProof/>
                <w:webHidden/>
              </w:rPr>
              <w:t>36</w:t>
            </w:r>
            <w:r>
              <w:rPr>
                <w:noProof/>
                <w:webHidden/>
              </w:rPr>
              <w:fldChar w:fldCharType="end"/>
            </w:r>
          </w:hyperlink>
        </w:p>
        <w:p w:rsidR="00E94928" w:rsidRDefault="00E94928" w14:paraId="2539F26B" w14:textId="0E9190CB">
          <w:pPr>
            <w:pStyle w:val="TOC2"/>
            <w:rPr>
              <w:rFonts w:asciiTheme="minorHAnsi" w:hAnsiTheme="minorHAnsi" w:eastAsiaTheme="minorEastAsia"/>
              <w:noProof/>
              <w:kern w:val="2"/>
              <w:sz w:val="24"/>
              <w:szCs w:val="24"/>
              <w14:ligatures w14:val="standardContextual"/>
            </w:rPr>
          </w:pPr>
          <w:hyperlink w:history="1" w:anchor="_Toc227451532">
            <w:r w:rsidRPr="00A52F3A">
              <w:rPr>
                <w:rStyle w:val="Hyperlink"/>
                <w:noProof/>
                <w:specVanish/>
              </w:rPr>
              <w:t>6.6</w:t>
            </w:r>
            <w:r>
              <w:rPr>
                <w:rFonts w:asciiTheme="minorHAnsi" w:hAnsiTheme="minorHAnsi" w:eastAsiaTheme="minorEastAsia"/>
                <w:noProof/>
                <w:kern w:val="2"/>
                <w:sz w:val="24"/>
                <w:szCs w:val="24"/>
                <w14:ligatures w14:val="standardContextual"/>
              </w:rPr>
              <w:tab/>
            </w:r>
            <w:r w:rsidRPr="00A52F3A">
              <w:rPr>
                <w:rStyle w:val="Hyperlink"/>
                <w:noProof/>
              </w:rPr>
              <w:t>Delivery of Eligible Collateral for Performance Security.</w:t>
            </w:r>
            <w:r>
              <w:rPr>
                <w:noProof/>
                <w:webHidden/>
              </w:rPr>
              <w:tab/>
            </w:r>
            <w:r>
              <w:rPr>
                <w:noProof/>
                <w:webHidden/>
              </w:rPr>
              <w:fldChar w:fldCharType="begin"/>
            </w:r>
            <w:r>
              <w:rPr>
                <w:noProof/>
                <w:webHidden/>
              </w:rPr>
              <w:instrText xml:space="preserve"> PAGEREF _Toc227451532 \h </w:instrText>
            </w:r>
            <w:r>
              <w:rPr>
                <w:noProof/>
                <w:webHidden/>
              </w:rPr>
            </w:r>
            <w:r>
              <w:rPr>
                <w:noProof/>
                <w:webHidden/>
              </w:rPr>
              <w:fldChar w:fldCharType="separate"/>
            </w:r>
            <w:r>
              <w:rPr>
                <w:noProof/>
                <w:webHidden/>
              </w:rPr>
              <w:t>37</w:t>
            </w:r>
            <w:r>
              <w:rPr>
                <w:noProof/>
                <w:webHidden/>
              </w:rPr>
              <w:fldChar w:fldCharType="end"/>
            </w:r>
          </w:hyperlink>
        </w:p>
        <w:p w:rsidR="00E94928" w:rsidRDefault="00E94928" w14:paraId="3B15B928" w14:textId="376F7554">
          <w:pPr>
            <w:pStyle w:val="TOC1"/>
            <w:rPr>
              <w:rFonts w:asciiTheme="minorHAnsi" w:hAnsiTheme="minorHAnsi" w:eastAsiaTheme="minorEastAsia" w:cstheme="minorBidi"/>
              <w:b w:val="0"/>
              <w:caps w:val="0"/>
              <w:noProof/>
              <w:kern w:val="2"/>
              <w:sz w:val="24"/>
              <w:szCs w:val="24"/>
              <w14:ligatures w14:val="standardContextual"/>
            </w:rPr>
          </w:pPr>
          <w:hyperlink w:history="1" w:anchor="_Toc227451533">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7</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Facility Design and Construction; Achieving Commercial Operation</w:t>
            </w:r>
            <w:r>
              <w:rPr>
                <w:noProof/>
                <w:webHidden/>
              </w:rPr>
              <w:tab/>
            </w:r>
            <w:r>
              <w:rPr>
                <w:noProof/>
                <w:webHidden/>
              </w:rPr>
              <w:fldChar w:fldCharType="begin"/>
            </w:r>
            <w:r>
              <w:rPr>
                <w:noProof/>
                <w:webHidden/>
              </w:rPr>
              <w:instrText xml:space="preserve"> PAGEREF _Toc227451533 \h </w:instrText>
            </w:r>
            <w:r>
              <w:rPr>
                <w:noProof/>
                <w:webHidden/>
              </w:rPr>
            </w:r>
            <w:r>
              <w:rPr>
                <w:noProof/>
                <w:webHidden/>
              </w:rPr>
              <w:fldChar w:fldCharType="separate"/>
            </w:r>
            <w:r>
              <w:rPr>
                <w:noProof/>
                <w:webHidden/>
              </w:rPr>
              <w:t>37</w:t>
            </w:r>
            <w:r>
              <w:rPr>
                <w:noProof/>
                <w:webHidden/>
              </w:rPr>
              <w:fldChar w:fldCharType="end"/>
            </w:r>
          </w:hyperlink>
        </w:p>
        <w:p w:rsidR="00E94928" w:rsidRDefault="00E94928" w14:paraId="4B6CF58B" w14:textId="547491D9">
          <w:pPr>
            <w:pStyle w:val="TOC2"/>
            <w:rPr>
              <w:rFonts w:asciiTheme="minorHAnsi" w:hAnsiTheme="minorHAnsi" w:eastAsiaTheme="minorEastAsia"/>
              <w:noProof/>
              <w:kern w:val="2"/>
              <w:sz w:val="24"/>
              <w:szCs w:val="24"/>
              <w14:ligatures w14:val="standardContextual"/>
            </w:rPr>
          </w:pPr>
          <w:hyperlink w:history="1" w:anchor="_Toc227451534">
            <w:r w:rsidRPr="00A52F3A">
              <w:rPr>
                <w:rStyle w:val="Hyperlink"/>
                <w:noProof/>
              </w:rPr>
              <w:t>7.1</w:t>
            </w:r>
            <w:r>
              <w:rPr>
                <w:rFonts w:asciiTheme="minorHAnsi" w:hAnsiTheme="minorHAnsi" w:eastAsiaTheme="minorEastAsia"/>
                <w:noProof/>
                <w:kern w:val="2"/>
                <w:sz w:val="24"/>
                <w:szCs w:val="24"/>
                <w14:ligatures w14:val="standardContextual"/>
              </w:rPr>
              <w:tab/>
            </w:r>
            <w:r w:rsidRPr="00A52F3A">
              <w:rPr>
                <w:rStyle w:val="Hyperlink"/>
                <w:noProof/>
              </w:rPr>
              <w:t>Design and Construction of the Facility.</w:t>
            </w:r>
            <w:r>
              <w:rPr>
                <w:noProof/>
                <w:webHidden/>
              </w:rPr>
              <w:tab/>
            </w:r>
            <w:r>
              <w:rPr>
                <w:noProof/>
                <w:webHidden/>
              </w:rPr>
              <w:fldChar w:fldCharType="begin"/>
            </w:r>
            <w:r>
              <w:rPr>
                <w:noProof/>
                <w:webHidden/>
              </w:rPr>
              <w:instrText xml:space="preserve"> PAGEREF _Toc227451534 \h </w:instrText>
            </w:r>
            <w:r>
              <w:rPr>
                <w:noProof/>
                <w:webHidden/>
              </w:rPr>
            </w:r>
            <w:r>
              <w:rPr>
                <w:noProof/>
                <w:webHidden/>
              </w:rPr>
              <w:fldChar w:fldCharType="separate"/>
            </w:r>
            <w:r>
              <w:rPr>
                <w:noProof/>
                <w:webHidden/>
              </w:rPr>
              <w:t>37</w:t>
            </w:r>
            <w:r>
              <w:rPr>
                <w:noProof/>
                <w:webHidden/>
              </w:rPr>
              <w:fldChar w:fldCharType="end"/>
            </w:r>
          </w:hyperlink>
        </w:p>
        <w:p w:rsidR="00E94928" w:rsidRDefault="00E94928" w14:paraId="2E14B050" w14:textId="47E00C59">
          <w:pPr>
            <w:pStyle w:val="TOC2"/>
            <w:rPr>
              <w:rFonts w:asciiTheme="minorHAnsi" w:hAnsiTheme="minorHAnsi" w:eastAsiaTheme="minorEastAsia"/>
              <w:noProof/>
              <w:kern w:val="2"/>
              <w:sz w:val="24"/>
              <w:szCs w:val="24"/>
              <w14:ligatures w14:val="standardContextual"/>
            </w:rPr>
          </w:pPr>
          <w:hyperlink w:history="1" w:anchor="_Toc227451535">
            <w:r w:rsidRPr="00A52F3A">
              <w:rPr>
                <w:rStyle w:val="Hyperlink"/>
                <w:noProof/>
                <w:specVanish/>
              </w:rPr>
              <w:t>7.2</w:t>
            </w:r>
            <w:r>
              <w:rPr>
                <w:rFonts w:asciiTheme="minorHAnsi" w:hAnsiTheme="minorHAnsi" w:eastAsiaTheme="minorEastAsia"/>
                <w:noProof/>
                <w:kern w:val="2"/>
                <w:sz w:val="24"/>
                <w:szCs w:val="24"/>
                <w14:ligatures w14:val="standardContextual"/>
              </w:rPr>
              <w:tab/>
            </w:r>
            <w:r w:rsidRPr="00A52F3A">
              <w:rPr>
                <w:rStyle w:val="Hyperlink"/>
                <w:noProof/>
              </w:rPr>
              <w:t>Key Milestones and Milestone Schedule.</w:t>
            </w:r>
            <w:r>
              <w:rPr>
                <w:noProof/>
                <w:webHidden/>
              </w:rPr>
              <w:tab/>
            </w:r>
            <w:r>
              <w:rPr>
                <w:noProof/>
                <w:webHidden/>
              </w:rPr>
              <w:fldChar w:fldCharType="begin"/>
            </w:r>
            <w:r>
              <w:rPr>
                <w:noProof/>
                <w:webHidden/>
              </w:rPr>
              <w:instrText xml:space="preserve"> PAGEREF _Toc227451535 \h </w:instrText>
            </w:r>
            <w:r>
              <w:rPr>
                <w:noProof/>
                <w:webHidden/>
              </w:rPr>
            </w:r>
            <w:r>
              <w:rPr>
                <w:noProof/>
                <w:webHidden/>
              </w:rPr>
              <w:fldChar w:fldCharType="separate"/>
            </w:r>
            <w:r>
              <w:rPr>
                <w:noProof/>
                <w:webHidden/>
              </w:rPr>
              <w:t>39</w:t>
            </w:r>
            <w:r>
              <w:rPr>
                <w:noProof/>
                <w:webHidden/>
              </w:rPr>
              <w:fldChar w:fldCharType="end"/>
            </w:r>
          </w:hyperlink>
        </w:p>
        <w:p w:rsidR="00E94928" w:rsidRDefault="00E94928" w14:paraId="6ABCA63B" w14:textId="24F78914">
          <w:pPr>
            <w:pStyle w:val="TOC2"/>
            <w:rPr>
              <w:rFonts w:asciiTheme="minorHAnsi" w:hAnsiTheme="minorHAnsi" w:eastAsiaTheme="minorEastAsia"/>
              <w:noProof/>
              <w:kern w:val="2"/>
              <w:sz w:val="24"/>
              <w:szCs w:val="24"/>
              <w14:ligatures w14:val="standardContextual"/>
            </w:rPr>
          </w:pPr>
          <w:hyperlink w:history="1" w:anchor="_Toc227451536">
            <w:r w:rsidRPr="00A52F3A">
              <w:rPr>
                <w:rStyle w:val="Hyperlink"/>
                <w:noProof/>
                <w:specVanish/>
              </w:rPr>
              <w:t>7.3</w:t>
            </w:r>
            <w:r>
              <w:rPr>
                <w:rFonts w:asciiTheme="minorHAnsi" w:hAnsiTheme="minorHAnsi" w:eastAsiaTheme="minorEastAsia"/>
                <w:noProof/>
                <w:kern w:val="2"/>
                <w:sz w:val="24"/>
                <w:szCs w:val="24"/>
                <w14:ligatures w14:val="standardContextual"/>
              </w:rPr>
              <w:tab/>
            </w:r>
            <w:r w:rsidRPr="00A52F3A">
              <w:rPr>
                <w:rStyle w:val="Hyperlink"/>
                <w:noProof/>
              </w:rPr>
              <w:t>Failure to Achieve Commercial Operation by RCOD.</w:t>
            </w:r>
            <w:r>
              <w:rPr>
                <w:noProof/>
                <w:webHidden/>
              </w:rPr>
              <w:tab/>
            </w:r>
            <w:r>
              <w:rPr>
                <w:noProof/>
                <w:webHidden/>
              </w:rPr>
              <w:fldChar w:fldCharType="begin"/>
            </w:r>
            <w:r>
              <w:rPr>
                <w:noProof/>
                <w:webHidden/>
              </w:rPr>
              <w:instrText xml:space="preserve"> PAGEREF _Toc227451536 \h </w:instrText>
            </w:r>
            <w:r>
              <w:rPr>
                <w:noProof/>
                <w:webHidden/>
              </w:rPr>
            </w:r>
            <w:r>
              <w:rPr>
                <w:noProof/>
                <w:webHidden/>
              </w:rPr>
              <w:fldChar w:fldCharType="separate"/>
            </w:r>
            <w:r>
              <w:rPr>
                <w:noProof/>
                <w:webHidden/>
              </w:rPr>
              <w:t>40</w:t>
            </w:r>
            <w:r>
              <w:rPr>
                <w:noProof/>
                <w:webHidden/>
              </w:rPr>
              <w:fldChar w:fldCharType="end"/>
            </w:r>
          </w:hyperlink>
        </w:p>
        <w:p w:rsidR="00E94928" w:rsidRDefault="00E94928" w14:paraId="624215F9" w14:textId="43387524">
          <w:pPr>
            <w:pStyle w:val="TOC1"/>
            <w:rPr>
              <w:rFonts w:asciiTheme="minorHAnsi" w:hAnsiTheme="minorHAnsi" w:eastAsiaTheme="minorEastAsia" w:cstheme="minorBidi"/>
              <w:b w:val="0"/>
              <w:caps w:val="0"/>
              <w:noProof/>
              <w:kern w:val="2"/>
              <w:sz w:val="24"/>
              <w:szCs w:val="24"/>
              <w14:ligatures w14:val="standardContextual"/>
            </w:rPr>
          </w:pPr>
          <w:hyperlink w:history="1" w:anchor="_Toc227451537">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8</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Interconnection and Metering</w:t>
            </w:r>
            <w:r>
              <w:rPr>
                <w:noProof/>
                <w:webHidden/>
              </w:rPr>
              <w:tab/>
            </w:r>
            <w:r>
              <w:rPr>
                <w:noProof/>
                <w:webHidden/>
              </w:rPr>
              <w:fldChar w:fldCharType="begin"/>
            </w:r>
            <w:r>
              <w:rPr>
                <w:noProof/>
                <w:webHidden/>
              </w:rPr>
              <w:instrText xml:space="preserve"> PAGEREF _Toc227451537 \h </w:instrText>
            </w:r>
            <w:r>
              <w:rPr>
                <w:noProof/>
                <w:webHidden/>
              </w:rPr>
            </w:r>
            <w:r>
              <w:rPr>
                <w:noProof/>
                <w:webHidden/>
              </w:rPr>
              <w:fldChar w:fldCharType="separate"/>
            </w:r>
            <w:r>
              <w:rPr>
                <w:noProof/>
                <w:webHidden/>
              </w:rPr>
              <w:t>41</w:t>
            </w:r>
            <w:r>
              <w:rPr>
                <w:noProof/>
                <w:webHidden/>
              </w:rPr>
              <w:fldChar w:fldCharType="end"/>
            </w:r>
          </w:hyperlink>
        </w:p>
        <w:p w:rsidR="00E94928" w:rsidRDefault="00E94928" w14:paraId="1C51EAEB" w14:textId="68181C43">
          <w:pPr>
            <w:pStyle w:val="TOC2"/>
            <w:rPr>
              <w:rFonts w:asciiTheme="minorHAnsi" w:hAnsiTheme="minorHAnsi" w:eastAsiaTheme="minorEastAsia"/>
              <w:noProof/>
              <w:kern w:val="2"/>
              <w:sz w:val="24"/>
              <w:szCs w:val="24"/>
              <w14:ligatures w14:val="standardContextual"/>
            </w:rPr>
          </w:pPr>
          <w:hyperlink w:history="1" w:anchor="_Toc227451538">
            <w:r w:rsidRPr="00A52F3A">
              <w:rPr>
                <w:rStyle w:val="Hyperlink"/>
                <w:noProof/>
                <w:specVanish/>
              </w:rPr>
              <w:t>8.1</w:t>
            </w:r>
            <w:r>
              <w:rPr>
                <w:rFonts w:asciiTheme="minorHAnsi" w:hAnsiTheme="minorHAnsi" w:eastAsiaTheme="minorEastAsia"/>
                <w:noProof/>
                <w:kern w:val="2"/>
                <w:sz w:val="24"/>
                <w:szCs w:val="24"/>
                <w14:ligatures w14:val="standardContextual"/>
              </w:rPr>
              <w:tab/>
            </w:r>
            <w:r w:rsidRPr="00A52F3A">
              <w:rPr>
                <w:rStyle w:val="Hyperlink"/>
                <w:noProof/>
              </w:rPr>
              <w:t>Interconnection.</w:t>
            </w:r>
            <w:r>
              <w:rPr>
                <w:noProof/>
                <w:webHidden/>
              </w:rPr>
              <w:tab/>
            </w:r>
            <w:r>
              <w:rPr>
                <w:noProof/>
                <w:webHidden/>
              </w:rPr>
              <w:fldChar w:fldCharType="begin"/>
            </w:r>
            <w:r>
              <w:rPr>
                <w:noProof/>
                <w:webHidden/>
              </w:rPr>
              <w:instrText xml:space="preserve"> PAGEREF _Toc227451538 \h </w:instrText>
            </w:r>
            <w:r>
              <w:rPr>
                <w:noProof/>
                <w:webHidden/>
              </w:rPr>
            </w:r>
            <w:r>
              <w:rPr>
                <w:noProof/>
                <w:webHidden/>
              </w:rPr>
              <w:fldChar w:fldCharType="separate"/>
            </w:r>
            <w:r>
              <w:rPr>
                <w:noProof/>
                <w:webHidden/>
              </w:rPr>
              <w:t>41</w:t>
            </w:r>
            <w:r>
              <w:rPr>
                <w:noProof/>
                <w:webHidden/>
              </w:rPr>
              <w:fldChar w:fldCharType="end"/>
            </w:r>
          </w:hyperlink>
        </w:p>
        <w:p w:rsidR="00E94928" w:rsidRDefault="00E94928" w14:paraId="0DADFDB6" w14:textId="48E9CBED">
          <w:pPr>
            <w:pStyle w:val="TOC2"/>
            <w:rPr>
              <w:rFonts w:asciiTheme="minorHAnsi" w:hAnsiTheme="minorHAnsi" w:eastAsiaTheme="minorEastAsia"/>
              <w:noProof/>
              <w:kern w:val="2"/>
              <w:sz w:val="24"/>
              <w:szCs w:val="24"/>
              <w14:ligatures w14:val="standardContextual"/>
            </w:rPr>
          </w:pPr>
          <w:hyperlink w:history="1" w:anchor="_Toc227451539">
            <w:r w:rsidRPr="00A52F3A">
              <w:rPr>
                <w:rStyle w:val="Hyperlink"/>
                <w:noProof/>
                <w:specVanish/>
              </w:rPr>
              <w:t>8.2</w:t>
            </w:r>
            <w:r>
              <w:rPr>
                <w:rFonts w:asciiTheme="minorHAnsi" w:hAnsiTheme="minorHAnsi" w:eastAsiaTheme="minorEastAsia"/>
                <w:noProof/>
                <w:kern w:val="2"/>
                <w:sz w:val="24"/>
                <w:szCs w:val="24"/>
                <w14:ligatures w14:val="standardContextual"/>
              </w:rPr>
              <w:tab/>
            </w:r>
            <w:r w:rsidRPr="00A52F3A">
              <w:rPr>
                <w:rStyle w:val="Hyperlink"/>
                <w:noProof/>
              </w:rPr>
              <w:t>Metering and Telemetry.</w:t>
            </w:r>
            <w:r>
              <w:rPr>
                <w:noProof/>
                <w:webHidden/>
              </w:rPr>
              <w:tab/>
            </w:r>
            <w:r>
              <w:rPr>
                <w:noProof/>
                <w:webHidden/>
              </w:rPr>
              <w:fldChar w:fldCharType="begin"/>
            </w:r>
            <w:r>
              <w:rPr>
                <w:noProof/>
                <w:webHidden/>
              </w:rPr>
              <w:instrText xml:space="preserve"> PAGEREF _Toc227451539 \h </w:instrText>
            </w:r>
            <w:r>
              <w:rPr>
                <w:noProof/>
                <w:webHidden/>
              </w:rPr>
            </w:r>
            <w:r>
              <w:rPr>
                <w:noProof/>
                <w:webHidden/>
              </w:rPr>
              <w:fldChar w:fldCharType="separate"/>
            </w:r>
            <w:r>
              <w:rPr>
                <w:noProof/>
                <w:webHidden/>
              </w:rPr>
              <w:t>42</w:t>
            </w:r>
            <w:r>
              <w:rPr>
                <w:noProof/>
                <w:webHidden/>
              </w:rPr>
              <w:fldChar w:fldCharType="end"/>
            </w:r>
          </w:hyperlink>
        </w:p>
        <w:p w:rsidR="00E94928" w:rsidRDefault="00E94928" w14:paraId="66EAD567" w14:textId="7B7E2602">
          <w:pPr>
            <w:pStyle w:val="TOC1"/>
            <w:rPr>
              <w:rFonts w:asciiTheme="minorHAnsi" w:hAnsiTheme="minorHAnsi" w:eastAsiaTheme="minorEastAsia" w:cstheme="minorBidi"/>
              <w:b w:val="0"/>
              <w:caps w:val="0"/>
              <w:noProof/>
              <w:kern w:val="2"/>
              <w:sz w:val="24"/>
              <w:szCs w:val="24"/>
              <w14:ligatures w14:val="standardContextual"/>
            </w:rPr>
          </w:pPr>
          <w:hyperlink w:history="1" w:anchor="_Toc227451540">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9</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BESS Capacity and Performance Tests</w:t>
            </w:r>
            <w:r>
              <w:rPr>
                <w:noProof/>
                <w:webHidden/>
              </w:rPr>
              <w:tab/>
            </w:r>
            <w:r>
              <w:rPr>
                <w:noProof/>
                <w:webHidden/>
              </w:rPr>
              <w:fldChar w:fldCharType="begin"/>
            </w:r>
            <w:r>
              <w:rPr>
                <w:noProof/>
                <w:webHidden/>
              </w:rPr>
              <w:instrText xml:space="preserve"> PAGEREF _Toc227451540 \h </w:instrText>
            </w:r>
            <w:r>
              <w:rPr>
                <w:noProof/>
                <w:webHidden/>
              </w:rPr>
            </w:r>
            <w:r>
              <w:rPr>
                <w:noProof/>
                <w:webHidden/>
              </w:rPr>
              <w:fldChar w:fldCharType="separate"/>
            </w:r>
            <w:r>
              <w:rPr>
                <w:noProof/>
                <w:webHidden/>
              </w:rPr>
              <w:t>43</w:t>
            </w:r>
            <w:r>
              <w:rPr>
                <w:noProof/>
                <w:webHidden/>
              </w:rPr>
              <w:fldChar w:fldCharType="end"/>
            </w:r>
          </w:hyperlink>
        </w:p>
        <w:p w:rsidR="00E94928" w:rsidRDefault="00E94928" w14:paraId="5A09C9A7" w14:textId="58EE5F13">
          <w:pPr>
            <w:pStyle w:val="TOC2"/>
            <w:rPr>
              <w:rFonts w:asciiTheme="minorHAnsi" w:hAnsiTheme="minorHAnsi" w:eastAsiaTheme="minorEastAsia"/>
              <w:noProof/>
              <w:kern w:val="2"/>
              <w:sz w:val="24"/>
              <w:szCs w:val="24"/>
              <w14:ligatures w14:val="standardContextual"/>
            </w:rPr>
          </w:pPr>
          <w:hyperlink w:history="1" w:anchor="_Toc227451541">
            <w:r w:rsidRPr="00A52F3A">
              <w:rPr>
                <w:rStyle w:val="Hyperlink"/>
                <w:noProof/>
                <w:specVanish/>
              </w:rPr>
              <w:t>9.1</w:t>
            </w:r>
            <w:r>
              <w:rPr>
                <w:rFonts w:asciiTheme="minorHAnsi" w:hAnsiTheme="minorHAnsi" w:eastAsiaTheme="minorEastAsia"/>
                <w:noProof/>
                <w:kern w:val="2"/>
                <w:sz w:val="24"/>
                <w:szCs w:val="24"/>
                <w14:ligatures w14:val="standardContextual"/>
              </w:rPr>
              <w:tab/>
            </w:r>
            <w:r w:rsidRPr="00A52F3A">
              <w:rPr>
                <w:rStyle w:val="Hyperlink"/>
                <w:noProof/>
              </w:rPr>
              <w:t>Tested Storage Capacity and Contracted Capacity.</w:t>
            </w:r>
            <w:r>
              <w:rPr>
                <w:noProof/>
                <w:webHidden/>
              </w:rPr>
              <w:tab/>
            </w:r>
            <w:r>
              <w:rPr>
                <w:noProof/>
                <w:webHidden/>
              </w:rPr>
              <w:fldChar w:fldCharType="begin"/>
            </w:r>
            <w:r>
              <w:rPr>
                <w:noProof/>
                <w:webHidden/>
              </w:rPr>
              <w:instrText xml:space="preserve"> PAGEREF _Toc227451541 \h </w:instrText>
            </w:r>
            <w:r>
              <w:rPr>
                <w:noProof/>
                <w:webHidden/>
              </w:rPr>
            </w:r>
            <w:r>
              <w:rPr>
                <w:noProof/>
                <w:webHidden/>
              </w:rPr>
              <w:fldChar w:fldCharType="separate"/>
            </w:r>
            <w:r>
              <w:rPr>
                <w:noProof/>
                <w:webHidden/>
              </w:rPr>
              <w:t>43</w:t>
            </w:r>
            <w:r>
              <w:rPr>
                <w:noProof/>
                <w:webHidden/>
              </w:rPr>
              <w:fldChar w:fldCharType="end"/>
            </w:r>
          </w:hyperlink>
        </w:p>
        <w:p w:rsidR="00E94928" w:rsidRDefault="00E94928" w14:paraId="4489E176" w14:textId="74EDA7AF">
          <w:pPr>
            <w:pStyle w:val="TOC2"/>
            <w:rPr>
              <w:rFonts w:asciiTheme="minorHAnsi" w:hAnsiTheme="minorHAnsi" w:eastAsiaTheme="minorEastAsia"/>
              <w:noProof/>
              <w:kern w:val="2"/>
              <w:sz w:val="24"/>
              <w:szCs w:val="24"/>
              <w14:ligatures w14:val="standardContextual"/>
            </w:rPr>
          </w:pPr>
          <w:hyperlink w:history="1" w:anchor="_Toc227451542">
            <w:r w:rsidRPr="00A52F3A">
              <w:rPr>
                <w:rStyle w:val="Hyperlink"/>
                <w:noProof/>
                <w:specVanish/>
              </w:rPr>
              <w:t>9.2</w:t>
            </w:r>
            <w:r>
              <w:rPr>
                <w:rFonts w:asciiTheme="minorHAnsi" w:hAnsiTheme="minorHAnsi" w:eastAsiaTheme="minorEastAsia"/>
                <w:noProof/>
                <w:kern w:val="2"/>
                <w:sz w:val="24"/>
                <w:szCs w:val="24"/>
                <w14:ligatures w14:val="standardContextual"/>
              </w:rPr>
              <w:tab/>
            </w:r>
            <w:r w:rsidRPr="00A52F3A">
              <w:rPr>
                <w:rStyle w:val="Hyperlink"/>
                <w:noProof/>
              </w:rPr>
              <w:t>Disputes Concerning Capacity Tests.</w:t>
            </w:r>
            <w:r>
              <w:rPr>
                <w:noProof/>
                <w:webHidden/>
              </w:rPr>
              <w:tab/>
            </w:r>
            <w:r>
              <w:rPr>
                <w:noProof/>
                <w:webHidden/>
              </w:rPr>
              <w:fldChar w:fldCharType="begin"/>
            </w:r>
            <w:r>
              <w:rPr>
                <w:noProof/>
                <w:webHidden/>
              </w:rPr>
              <w:instrText xml:space="preserve"> PAGEREF _Toc227451542 \h </w:instrText>
            </w:r>
            <w:r>
              <w:rPr>
                <w:noProof/>
                <w:webHidden/>
              </w:rPr>
            </w:r>
            <w:r>
              <w:rPr>
                <w:noProof/>
                <w:webHidden/>
              </w:rPr>
              <w:fldChar w:fldCharType="separate"/>
            </w:r>
            <w:r>
              <w:rPr>
                <w:noProof/>
                <w:webHidden/>
              </w:rPr>
              <w:t>43</w:t>
            </w:r>
            <w:r>
              <w:rPr>
                <w:noProof/>
                <w:webHidden/>
              </w:rPr>
              <w:fldChar w:fldCharType="end"/>
            </w:r>
          </w:hyperlink>
        </w:p>
        <w:p w:rsidR="00E94928" w:rsidRDefault="00E94928" w14:paraId="789B44E1" w14:textId="24CC6E99">
          <w:pPr>
            <w:pStyle w:val="TOC1"/>
            <w:rPr>
              <w:rFonts w:asciiTheme="minorHAnsi" w:hAnsiTheme="minorHAnsi" w:eastAsiaTheme="minorEastAsia" w:cstheme="minorBidi"/>
              <w:b w:val="0"/>
              <w:caps w:val="0"/>
              <w:noProof/>
              <w:kern w:val="2"/>
              <w:sz w:val="24"/>
              <w:szCs w:val="24"/>
              <w14:ligatures w14:val="standardContextual"/>
            </w:rPr>
          </w:pPr>
          <w:hyperlink w:history="1" w:anchor="_Toc227451543">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10</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Operation and Maintenance</w:t>
            </w:r>
            <w:r>
              <w:rPr>
                <w:noProof/>
                <w:webHidden/>
              </w:rPr>
              <w:tab/>
            </w:r>
            <w:r>
              <w:rPr>
                <w:noProof/>
                <w:webHidden/>
              </w:rPr>
              <w:fldChar w:fldCharType="begin"/>
            </w:r>
            <w:r>
              <w:rPr>
                <w:noProof/>
                <w:webHidden/>
              </w:rPr>
              <w:instrText xml:space="preserve"> PAGEREF _Toc227451543 \h </w:instrText>
            </w:r>
            <w:r>
              <w:rPr>
                <w:noProof/>
                <w:webHidden/>
              </w:rPr>
            </w:r>
            <w:r>
              <w:rPr>
                <w:noProof/>
                <w:webHidden/>
              </w:rPr>
              <w:fldChar w:fldCharType="separate"/>
            </w:r>
            <w:r>
              <w:rPr>
                <w:noProof/>
                <w:webHidden/>
              </w:rPr>
              <w:t>43</w:t>
            </w:r>
            <w:r>
              <w:rPr>
                <w:noProof/>
                <w:webHidden/>
              </w:rPr>
              <w:fldChar w:fldCharType="end"/>
            </w:r>
          </w:hyperlink>
        </w:p>
        <w:p w:rsidR="00E94928" w:rsidRDefault="00E94928" w14:paraId="77AE63D8" w14:textId="29255801">
          <w:pPr>
            <w:pStyle w:val="TOC2"/>
            <w:rPr>
              <w:rFonts w:asciiTheme="minorHAnsi" w:hAnsiTheme="minorHAnsi" w:eastAsiaTheme="minorEastAsia"/>
              <w:noProof/>
              <w:kern w:val="2"/>
              <w:sz w:val="24"/>
              <w:szCs w:val="24"/>
              <w14:ligatures w14:val="standardContextual"/>
            </w:rPr>
          </w:pPr>
          <w:hyperlink w:history="1" w:anchor="_Toc227451544">
            <w:r w:rsidRPr="00A52F3A">
              <w:rPr>
                <w:rStyle w:val="Hyperlink"/>
                <w:noProof/>
                <w:specVanish/>
              </w:rPr>
              <w:t>10.1</w:t>
            </w:r>
            <w:r>
              <w:rPr>
                <w:rFonts w:asciiTheme="minorHAnsi" w:hAnsiTheme="minorHAnsi" w:eastAsiaTheme="minorEastAsia"/>
                <w:noProof/>
                <w:kern w:val="2"/>
                <w:sz w:val="24"/>
                <w:szCs w:val="24"/>
                <w14:ligatures w14:val="standardContextual"/>
              </w:rPr>
              <w:tab/>
            </w:r>
            <w:r w:rsidRPr="00A52F3A">
              <w:rPr>
                <w:rStyle w:val="Hyperlink"/>
                <w:noProof/>
              </w:rPr>
              <w:t>Operation and Maintenance.</w:t>
            </w:r>
            <w:r>
              <w:rPr>
                <w:noProof/>
                <w:webHidden/>
              </w:rPr>
              <w:tab/>
            </w:r>
            <w:r>
              <w:rPr>
                <w:noProof/>
                <w:webHidden/>
              </w:rPr>
              <w:fldChar w:fldCharType="begin"/>
            </w:r>
            <w:r>
              <w:rPr>
                <w:noProof/>
                <w:webHidden/>
              </w:rPr>
              <w:instrText xml:space="preserve"> PAGEREF _Toc227451544 \h </w:instrText>
            </w:r>
            <w:r>
              <w:rPr>
                <w:noProof/>
                <w:webHidden/>
              </w:rPr>
            </w:r>
            <w:r>
              <w:rPr>
                <w:noProof/>
                <w:webHidden/>
              </w:rPr>
              <w:fldChar w:fldCharType="separate"/>
            </w:r>
            <w:r>
              <w:rPr>
                <w:noProof/>
                <w:webHidden/>
              </w:rPr>
              <w:t>43</w:t>
            </w:r>
            <w:r>
              <w:rPr>
                <w:noProof/>
                <w:webHidden/>
              </w:rPr>
              <w:fldChar w:fldCharType="end"/>
            </w:r>
          </w:hyperlink>
        </w:p>
        <w:p w:rsidR="00E94928" w:rsidRDefault="00E94928" w14:paraId="78395C43" w14:textId="635A289B">
          <w:pPr>
            <w:pStyle w:val="TOC2"/>
            <w:rPr>
              <w:rFonts w:asciiTheme="minorHAnsi" w:hAnsiTheme="minorHAnsi" w:eastAsiaTheme="minorEastAsia"/>
              <w:noProof/>
              <w:kern w:val="2"/>
              <w:sz w:val="24"/>
              <w:szCs w:val="24"/>
              <w14:ligatures w14:val="standardContextual"/>
            </w:rPr>
          </w:pPr>
          <w:hyperlink w:history="1" w:anchor="_Toc227451545">
            <w:r w:rsidRPr="00A52F3A">
              <w:rPr>
                <w:rStyle w:val="Hyperlink"/>
                <w:noProof/>
                <w:specVanish/>
              </w:rPr>
              <w:t>10.2</w:t>
            </w:r>
            <w:r>
              <w:rPr>
                <w:rFonts w:asciiTheme="minorHAnsi" w:hAnsiTheme="minorHAnsi" w:eastAsiaTheme="minorEastAsia"/>
                <w:noProof/>
                <w:kern w:val="2"/>
                <w:sz w:val="24"/>
                <w:szCs w:val="24"/>
                <w14:ligatures w14:val="standardContextual"/>
              </w:rPr>
              <w:tab/>
            </w:r>
            <w:r w:rsidRPr="00A52F3A">
              <w:rPr>
                <w:rStyle w:val="Hyperlink"/>
                <w:noProof/>
              </w:rPr>
              <w:t>Maintenance Scheduling.</w:t>
            </w:r>
            <w:r>
              <w:rPr>
                <w:noProof/>
                <w:webHidden/>
              </w:rPr>
              <w:tab/>
            </w:r>
            <w:r>
              <w:rPr>
                <w:noProof/>
                <w:webHidden/>
              </w:rPr>
              <w:fldChar w:fldCharType="begin"/>
            </w:r>
            <w:r>
              <w:rPr>
                <w:noProof/>
                <w:webHidden/>
              </w:rPr>
              <w:instrText xml:space="preserve"> PAGEREF _Toc227451545 \h </w:instrText>
            </w:r>
            <w:r>
              <w:rPr>
                <w:noProof/>
                <w:webHidden/>
              </w:rPr>
            </w:r>
            <w:r>
              <w:rPr>
                <w:noProof/>
                <w:webHidden/>
              </w:rPr>
              <w:fldChar w:fldCharType="separate"/>
            </w:r>
            <w:r>
              <w:rPr>
                <w:noProof/>
                <w:webHidden/>
              </w:rPr>
              <w:t>44</w:t>
            </w:r>
            <w:r>
              <w:rPr>
                <w:noProof/>
                <w:webHidden/>
              </w:rPr>
              <w:fldChar w:fldCharType="end"/>
            </w:r>
          </w:hyperlink>
        </w:p>
        <w:p w:rsidR="00E94928" w:rsidRDefault="00E94928" w14:paraId="4B956DDA" w14:textId="3F232530">
          <w:pPr>
            <w:pStyle w:val="TOC2"/>
            <w:rPr>
              <w:rFonts w:asciiTheme="minorHAnsi" w:hAnsiTheme="minorHAnsi" w:eastAsiaTheme="minorEastAsia"/>
              <w:noProof/>
              <w:kern w:val="2"/>
              <w:sz w:val="24"/>
              <w:szCs w:val="24"/>
              <w14:ligatures w14:val="standardContextual"/>
            </w:rPr>
          </w:pPr>
          <w:hyperlink w:history="1" w:anchor="_Toc227451546">
            <w:r w:rsidRPr="00A52F3A">
              <w:rPr>
                <w:rStyle w:val="Hyperlink"/>
                <w:noProof/>
              </w:rPr>
              <w:t>10.3</w:t>
            </w:r>
            <w:r>
              <w:rPr>
                <w:rFonts w:asciiTheme="minorHAnsi" w:hAnsiTheme="minorHAnsi" w:eastAsiaTheme="minorEastAsia"/>
                <w:noProof/>
                <w:kern w:val="2"/>
                <w:sz w:val="24"/>
                <w:szCs w:val="24"/>
                <w14:ligatures w14:val="standardContextual"/>
              </w:rPr>
              <w:tab/>
            </w:r>
            <w:r w:rsidRPr="00A52F3A">
              <w:rPr>
                <w:rStyle w:val="Hyperlink"/>
                <w:noProof/>
              </w:rPr>
              <w:t>Reserved.</w:t>
            </w:r>
            <w:r>
              <w:rPr>
                <w:noProof/>
                <w:webHidden/>
              </w:rPr>
              <w:tab/>
            </w:r>
            <w:r>
              <w:rPr>
                <w:noProof/>
                <w:webHidden/>
              </w:rPr>
              <w:fldChar w:fldCharType="begin"/>
            </w:r>
            <w:r>
              <w:rPr>
                <w:noProof/>
                <w:webHidden/>
              </w:rPr>
              <w:instrText xml:space="preserve"> PAGEREF _Toc227451546 \h </w:instrText>
            </w:r>
            <w:r>
              <w:rPr>
                <w:noProof/>
                <w:webHidden/>
              </w:rPr>
            </w:r>
            <w:r>
              <w:rPr>
                <w:noProof/>
                <w:webHidden/>
              </w:rPr>
              <w:fldChar w:fldCharType="separate"/>
            </w:r>
            <w:r>
              <w:rPr>
                <w:noProof/>
                <w:webHidden/>
              </w:rPr>
              <w:t>45</w:t>
            </w:r>
            <w:r>
              <w:rPr>
                <w:noProof/>
                <w:webHidden/>
              </w:rPr>
              <w:fldChar w:fldCharType="end"/>
            </w:r>
          </w:hyperlink>
        </w:p>
        <w:p w:rsidR="00E94928" w:rsidRDefault="00E94928" w14:paraId="3EA4133F" w14:textId="0A1E6AA7">
          <w:pPr>
            <w:pStyle w:val="TOC2"/>
            <w:rPr>
              <w:rFonts w:asciiTheme="minorHAnsi" w:hAnsiTheme="minorHAnsi" w:eastAsiaTheme="minorEastAsia"/>
              <w:noProof/>
              <w:kern w:val="2"/>
              <w:sz w:val="24"/>
              <w:szCs w:val="24"/>
              <w14:ligatures w14:val="standardContextual"/>
            </w:rPr>
          </w:pPr>
          <w:hyperlink w:history="1" w:anchor="_Toc227451547">
            <w:r w:rsidRPr="00A52F3A">
              <w:rPr>
                <w:rStyle w:val="Hyperlink"/>
                <w:noProof/>
                <w:specVanish/>
              </w:rPr>
              <w:t>10.4</w:t>
            </w:r>
            <w:r>
              <w:rPr>
                <w:rFonts w:asciiTheme="minorHAnsi" w:hAnsiTheme="minorHAnsi" w:eastAsiaTheme="minorEastAsia"/>
                <w:noProof/>
                <w:kern w:val="2"/>
                <w:sz w:val="24"/>
                <w:szCs w:val="24"/>
                <w14:ligatures w14:val="standardContextual"/>
              </w:rPr>
              <w:tab/>
            </w:r>
            <w:r w:rsidRPr="00A52F3A">
              <w:rPr>
                <w:rStyle w:val="Hyperlink"/>
                <w:noProof/>
              </w:rPr>
              <w:t>Access to the Site and the Facility.</w:t>
            </w:r>
            <w:r>
              <w:rPr>
                <w:noProof/>
                <w:webHidden/>
              </w:rPr>
              <w:tab/>
            </w:r>
            <w:r>
              <w:rPr>
                <w:noProof/>
                <w:webHidden/>
              </w:rPr>
              <w:fldChar w:fldCharType="begin"/>
            </w:r>
            <w:r>
              <w:rPr>
                <w:noProof/>
                <w:webHidden/>
              </w:rPr>
              <w:instrText xml:space="preserve"> PAGEREF _Toc227451547 \h </w:instrText>
            </w:r>
            <w:r>
              <w:rPr>
                <w:noProof/>
                <w:webHidden/>
              </w:rPr>
            </w:r>
            <w:r>
              <w:rPr>
                <w:noProof/>
                <w:webHidden/>
              </w:rPr>
              <w:fldChar w:fldCharType="separate"/>
            </w:r>
            <w:r>
              <w:rPr>
                <w:noProof/>
                <w:webHidden/>
              </w:rPr>
              <w:t>45</w:t>
            </w:r>
            <w:r>
              <w:rPr>
                <w:noProof/>
                <w:webHidden/>
              </w:rPr>
              <w:fldChar w:fldCharType="end"/>
            </w:r>
          </w:hyperlink>
        </w:p>
        <w:p w:rsidR="00E94928" w:rsidRDefault="00E94928" w14:paraId="37832391" w14:textId="0B4FE298">
          <w:pPr>
            <w:pStyle w:val="TOC2"/>
            <w:rPr>
              <w:rFonts w:asciiTheme="minorHAnsi" w:hAnsiTheme="minorHAnsi" w:eastAsiaTheme="minorEastAsia"/>
              <w:noProof/>
              <w:kern w:val="2"/>
              <w:sz w:val="24"/>
              <w:szCs w:val="24"/>
              <w14:ligatures w14:val="standardContextual"/>
            </w:rPr>
          </w:pPr>
          <w:hyperlink w:history="1" w:anchor="_Toc227451548">
            <w:r w:rsidRPr="00A52F3A">
              <w:rPr>
                <w:rStyle w:val="Hyperlink"/>
                <w:noProof/>
                <w:specVanish/>
              </w:rPr>
              <w:t>10.5</w:t>
            </w:r>
            <w:r>
              <w:rPr>
                <w:rFonts w:asciiTheme="minorHAnsi" w:hAnsiTheme="minorHAnsi" w:eastAsiaTheme="minorEastAsia"/>
                <w:noProof/>
                <w:kern w:val="2"/>
                <w:sz w:val="24"/>
                <w:szCs w:val="24"/>
                <w14:ligatures w14:val="standardContextual"/>
              </w:rPr>
              <w:tab/>
            </w:r>
            <w:r w:rsidRPr="00A52F3A">
              <w:rPr>
                <w:rStyle w:val="Hyperlink"/>
                <w:noProof/>
              </w:rPr>
              <w:t>Availability of Records.</w:t>
            </w:r>
            <w:r>
              <w:rPr>
                <w:noProof/>
                <w:webHidden/>
              </w:rPr>
              <w:tab/>
            </w:r>
            <w:r>
              <w:rPr>
                <w:noProof/>
                <w:webHidden/>
              </w:rPr>
              <w:fldChar w:fldCharType="begin"/>
            </w:r>
            <w:r>
              <w:rPr>
                <w:noProof/>
                <w:webHidden/>
              </w:rPr>
              <w:instrText xml:space="preserve"> PAGEREF _Toc227451548 \h </w:instrText>
            </w:r>
            <w:r>
              <w:rPr>
                <w:noProof/>
                <w:webHidden/>
              </w:rPr>
            </w:r>
            <w:r>
              <w:rPr>
                <w:noProof/>
                <w:webHidden/>
              </w:rPr>
              <w:fldChar w:fldCharType="separate"/>
            </w:r>
            <w:r>
              <w:rPr>
                <w:noProof/>
                <w:webHidden/>
              </w:rPr>
              <w:t>46</w:t>
            </w:r>
            <w:r>
              <w:rPr>
                <w:noProof/>
                <w:webHidden/>
              </w:rPr>
              <w:fldChar w:fldCharType="end"/>
            </w:r>
          </w:hyperlink>
        </w:p>
        <w:p w:rsidR="00E94928" w:rsidRDefault="00E94928" w14:paraId="3CF836AF" w14:textId="35969861">
          <w:pPr>
            <w:pStyle w:val="TOC2"/>
            <w:rPr>
              <w:rFonts w:asciiTheme="minorHAnsi" w:hAnsiTheme="minorHAnsi" w:eastAsiaTheme="minorEastAsia"/>
              <w:noProof/>
              <w:kern w:val="2"/>
              <w:sz w:val="24"/>
              <w:szCs w:val="24"/>
              <w14:ligatures w14:val="standardContextual"/>
            </w:rPr>
          </w:pPr>
          <w:hyperlink w:history="1" w:anchor="_Toc227451549">
            <w:r w:rsidRPr="00A52F3A">
              <w:rPr>
                <w:rStyle w:val="Hyperlink"/>
                <w:noProof/>
                <w:specVanish/>
              </w:rPr>
              <w:t>10.6</w:t>
            </w:r>
            <w:r>
              <w:rPr>
                <w:rFonts w:asciiTheme="minorHAnsi" w:hAnsiTheme="minorHAnsi" w:eastAsiaTheme="minorEastAsia"/>
                <w:noProof/>
                <w:kern w:val="2"/>
                <w:sz w:val="24"/>
                <w:szCs w:val="24"/>
                <w14:ligatures w14:val="standardContextual"/>
              </w:rPr>
              <w:tab/>
            </w:r>
            <w:r w:rsidRPr="00A52F3A">
              <w:rPr>
                <w:rStyle w:val="Hyperlink"/>
                <w:noProof/>
              </w:rPr>
              <w:t>Effect of GPC Action.</w:t>
            </w:r>
            <w:r>
              <w:rPr>
                <w:noProof/>
                <w:webHidden/>
              </w:rPr>
              <w:tab/>
            </w:r>
            <w:r>
              <w:rPr>
                <w:noProof/>
                <w:webHidden/>
              </w:rPr>
              <w:fldChar w:fldCharType="begin"/>
            </w:r>
            <w:r>
              <w:rPr>
                <w:noProof/>
                <w:webHidden/>
              </w:rPr>
              <w:instrText xml:space="preserve"> PAGEREF _Toc227451549 \h </w:instrText>
            </w:r>
            <w:r>
              <w:rPr>
                <w:noProof/>
                <w:webHidden/>
              </w:rPr>
            </w:r>
            <w:r>
              <w:rPr>
                <w:noProof/>
                <w:webHidden/>
              </w:rPr>
              <w:fldChar w:fldCharType="separate"/>
            </w:r>
            <w:r>
              <w:rPr>
                <w:noProof/>
                <w:webHidden/>
              </w:rPr>
              <w:t>46</w:t>
            </w:r>
            <w:r>
              <w:rPr>
                <w:noProof/>
                <w:webHidden/>
              </w:rPr>
              <w:fldChar w:fldCharType="end"/>
            </w:r>
          </w:hyperlink>
        </w:p>
        <w:p w:rsidR="00E94928" w:rsidRDefault="00E94928" w14:paraId="1956BC95" w14:textId="2C8952B1">
          <w:pPr>
            <w:pStyle w:val="TOC2"/>
            <w:rPr>
              <w:rFonts w:asciiTheme="minorHAnsi" w:hAnsiTheme="minorHAnsi" w:eastAsiaTheme="minorEastAsia"/>
              <w:noProof/>
              <w:kern w:val="2"/>
              <w:sz w:val="24"/>
              <w:szCs w:val="24"/>
              <w14:ligatures w14:val="standardContextual"/>
            </w:rPr>
          </w:pPr>
          <w:hyperlink w:history="1" w:anchor="_Toc227451550">
            <w:r w:rsidRPr="00A52F3A">
              <w:rPr>
                <w:rStyle w:val="Hyperlink"/>
                <w:noProof/>
                <w:specVanish/>
              </w:rPr>
              <w:t>10.7</w:t>
            </w:r>
            <w:r>
              <w:rPr>
                <w:rFonts w:asciiTheme="minorHAnsi" w:hAnsiTheme="minorHAnsi" w:eastAsiaTheme="minorEastAsia"/>
                <w:noProof/>
                <w:kern w:val="2"/>
                <w:sz w:val="24"/>
                <w:szCs w:val="24"/>
                <w14:ligatures w14:val="standardContextual"/>
              </w:rPr>
              <w:tab/>
            </w:r>
            <w:r w:rsidRPr="00A52F3A">
              <w:rPr>
                <w:rStyle w:val="Hyperlink"/>
                <w:noProof/>
              </w:rPr>
              <w:t>Operating Committee.</w:t>
            </w:r>
            <w:r>
              <w:rPr>
                <w:noProof/>
                <w:webHidden/>
              </w:rPr>
              <w:tab/>
            </w:r>
            <w:r>
              <w:rPr>
                <w:noProof/>
                <w:webHidden/>
              </w:rPr>
              <w:fldChar w:fldCharType="begin"/>
            </w:r>
            <w:r>
              <w:rPr>
                <w:noProof/>
                <w:webHidden/>
              </w:rPr>
              <w:instrText xml:space="preserve"> PAGEREF _Toc227451550 \h </w:instrText>
            </w:r>
            <w:r>
              <w:rPr>
                <w:noProof/>
                <w:webHidden/>
              </w:rPr>
            </w:r>
            <w:r>
              <w:rPr>
                <w:noProof/>
                <w:webHidden/>
              </w:rPr>
              <w:fldChar w:fldCharType="separate"/>
            </w:r>
            <w:r>
              <w:rPr>
                <w:noProof/>
                <w:webHidden/>
              </w:rPr>
              <w:t>46</w:t>
            </w:r>
            <w:r>
              <w:rPr>
                <w:noProof/>
                <w:webHidden/>
              </w:rPr>
              <w:fldChar w:fldCharType="end"/>
            </w:r>
          </w:hyperlink>
        </w:p>
        <w:p w:rsidR="00E94928" w:rsidRDefault="00E94928" w14:paraId="2F8D4DE9" w14:textId="557D5576">
          <w:pPr>
            <w:pStyle w:val="TOC2"/>
            <w:rPr>
              <w:rFonts w:asciiTheme="minorHAnsi" w:hAnsiTheme="minorHAnsi" w:eastAsiaTheme="minorEastAsia"/>
              <w:noProof/>
              <w:kern w:val="2"/>
              <w:sz w:val="24"/>
              <w:szCs w:val="24"/>
              <w14:ligatures w14:val="standardContextual"/>
            </w:rPr>
          </w:pPr>
          <w:hyperlink w:history="1" w:anchor="_Toc227451551">
            <w:r w:rsidRPr="00A52F3A">
              <w:rPr>
                <w:rStyle w:val="Hyperlink"/>
                <w:noProof/>
                <w:specVanish/>
              </w:rPr>
              <w:t>10.8</w:t>
            </w:r>
            <w:r>
              <w:rPr>
                <w:rFonts w:asciiTheme="minorHAnsi" w:hAnsiTheme="minorHAnsi" w:eastAsiaTheme="minorEastAsia"/>
                <w:noProof/>
                <w:kern w:val="2"/>
                <w:sz w:val="24"/>
                <w:szCs w:val="24"/>
                <w14:ligatures w14:val="standardContextual"/>
              </w:rPr>
              <w:tab/>
            </w:r>
            <w:r w:rsidRPr="00A52F3A">
              <w:rPr>
                <w:rStyle w:val="Hyperlink"/>
                <w:noProof/>
              </w:rPr>
              <w:t>AGC.</w:t>
            </w:r>
            <w:r>
              <w:rPr>
                <w:noProof/>
                <w:webHidden/>
              </w:rPr>
              <w:tab/>
            </w:r>
            <w:r>
              <w:rPr>
                <w:noProof/>
                <w:webHidden/>
              </w:rPr>
              <w:fldChar w:fldCharType="begin"/>
            </w:r>
            <w:r>
              <w:rPr>
                <w:noProof/>
                <w:webHidden/>
              </w:rPr>
              <w:instrText xml:space="preserve"> PAGEREF _Toc227451551 \h </w:instrText>
            </w:r>
            <w:r>
              <w:rPr>
                <w:noProof/>
                <w:webHidden/>
              </w:rPr>
            </w:r>
            <w:r>
              <w:rPr>
                <w:noProof/>
                <w:webHidden/>
              </w:rPr>
              <w:fldChar w:fldCharType="separate"/>
            </w:r>
            <w:r>
              <w:rPr>
                <w:noProof/>
                <w:webHidden/>
              </w:rPr>
              <w:t>47</w:t>
            </w:r>
            <w:r>
              <w:rPr>
                <w:noProof/>
                <w:webHidden/>
              </w:rPr>
              <w:fldChar w:fldCharType="end"/>
            </w:r>
          </w:hyperlink>
        </w:p>
        <w:p w:rsidR="00E94928" w:rsidRDefault="00E94928" w14:paraId="5AF2BCCF" w14:textId="0EA6A14B">
          <w:pPr>
            <w:pStyle w:val="TOC2"/>
            <w:rPr>
              <w:rFonts w:asciiTheme="minorHAnsi" w:hAnsiTheme="minorHAnsi" w:eastAsiaTheme="minorEastAsia"/>
              <w:noProof/>
              <w:kern w:val="2"/>
              <w:sz w:val="24"/>
              <w:szCs w:val="24"/>
              <w14:ligatures w14:val="standardContextual"/>
            </w:rPr>
          </w:pPr>
          <w:hyperlink w:history="1" w:anchor="_Toc227451552">
            <w:r w:rsidRPr="00A52F3A">
              <w:rPr>
                <w:rStyle w:val="Hyperlink"/>
                <w:noProof/>
                <w:specVanish/>
              </w:rPr>
              <w:t>10.9</w:t>
            </w:r>
            <w:r>
              <w:rPr>
                <w:rFonts w:asciiTheme="minorHAnsi" w:hAnsiTheme="minorHAnsi" w:eastAsiaTheme="minorEastAsia"/>
                <w:noProof/>
                <w:kern w:val="2"/>
                <w:sz w:val="24"/>
                <w:szCs w:val="24"/>
                <w14:ligatures w14:val="standardContextual"/>
              </w:rPr>
              <w:tab/>
            </w:r>
            <w:r w:rsidRPr="00A52F3A">
              <w:rPr>
                <w:rStyle w:val="Hyperlink"/>
                <w:noProof/>
              </w:rPr>
              <w:t>AGC Performance Requirements.</w:t>
            </w:r>
            <w:r>
              <w:rPr>
                <w:noProof/>
                <w:webHidden/>
              </w:rPr>
              <w:tab/>
            </w:r>
            <w:r>
              <w:rPr>
                <w:noProof/>
                <w:webHidden/>
              </w:rPr>
              <w:fldChar w:fldCharType="begin"/>
            </w:r>
            <w:r>
              <w:rPr>
                <w:noProof/>
                <w:webHidden/>
              </w:rPr>
              <w:instrText xml:space="preserve"> PAGEREF _Toc227451552 \h </w:instrText>
            </w:r>
            <w:r>
              <w:rPr>
                <w:noProof/>
                <w:webHidden/>
              </w:rPr>
            </w:r>
            <w:r>
              <w:rPr>
                <w:noProof/>
                <w:webHidden/>
              </w:rPr>
              <w:fldChar w:fldCharType="separate"/>
            </w:r>
            <w:r>
              <w:rPr>
                <w:noProof/>
                <w:webHidden/>
              </w:rPr>
              <w:t>47</w:t>
            </w:r>
            <w:r>
              <w:rPr>
                <w:noProof/>
                <w:webHidden/>
              </w:rPr>
              <w:fldChar w:fldCharType="end"/>
            </w:r>
          </w:hyperlink>
        </w:p>
        <w:p w:rsidR="00E94928" w:rsidRDefault="00E94928" w14:paraId="2D4230E2" w14:textId="253D631B">
          <w:pPr>
            <w:pStyle w:val="TOC2"/>
            <w:rPr>
              <w:rFonts w:asciiTheme="minorHAnsi" w:hAnsiTheme="minorHAnsi" w:eastAsiaTheme="minorEastAsia"/>
              <w:noProof/>
              <w:kern w:val="2"/>
              <w:sz w:val="24"/>
              <w:szCs w:val="24"/>
              <w14:ligatures w14:val="standardContextual"/>
            </w:rPr>
          </w:pPr>
          <w:hyperlink w:history="1" w:anchor="_Toc227451553">
            <w:r w:rsidRPr="00A52F3A">
              <w:rPr>
                <w:rStyle w:val="Hyperlink"/>
                <w:noProof/>
              </w:rPr>
              <w:t>10.10</w:t>
            </w:r>
            <w:r>
              <w:rPr>
                <w:rFonts w:asciiTheme="minorHAnsi" w:hAnsiTheme="minorHAnsi" w:eastAsiaTheme="minorEastAsia"/>
                <w:noProof/>
                <w:kern w:val="2"/>
                <w:sz w:val="24"/>
                <w:szCs w:val="24"/>
                <w14:ligatures w14:val="standardContextual"/>
              </w:rPr>
              <w:tab/>
            </w:r>
            <w:r w:rsidRPr="00A52F3A">
              <w:rPr>
                <w:rStyle w:val="Hyperlink"/>
                <w:noProof/>
              </w:rPr>
              <w:t>Reserved.</w:t>
            </w:r>
            <w:r>
              <w:rPr>
                <w:noProof/>
                <w:webHidden/>
              </w:rPr>
              <w:tab/>
            </w:r>
            <w:r>
              <w:rPr>
                <w:noProof/>
                <w:webHidden/>
              </w:rPr>
              <w:fldChar w:fldCharType="begin"/>
            </w:r>
            <w:r>
              <w:rPr>
                <w:noProof/>
                <w:webHidden/>
              </w:rPr>
              <w:instrText xml:space="preserve"> PAGEREF _Toc227451553 \h </w:instrText>
            </w:r>
            <w:r>
              <w:rPr>
                <w:noProof/>
                <w:webHidden/>
              </w:rPr>
            </w:r>
            <w:r>
              <w:rPr>
                <w:noProof/>
                <w:webHidden/>
              </w:rPr>
              <w:fldChar w:fldCharType="separate"/>
            </w:r>
            <w:r>
              <w:rPr>
                <w:noProof/>
                <w:webHidden/>
              </w:rPr>
              <w:t>48</w:t>
            </w:r>
            <w:r>
              <w:rPr>
                <w:noProof/>
                <w:webHidden/>
              </w:rPr>
              <w:fldChar w:fldCharType="end"/>
            </w:r>
          </w:hyperlink>
        </w:p>
        <w:p w:rsidR="00E94928" w:rsidRDefault="00E94928" w14:paraId="5F5A2637" w14:textId="5ACAC96E">
          <w:pPr>
            <w:pStyle w:val="TOC2"/>
            <w:rPr>
              <w:rFonts w:asciiTheme="minorHAnsi" w:hAnsiTheme="minorHAnsi" w:eastAsiaTheme="minorEastAsia"/>
              <w:noProof/>
              <w:kern w:val="2"/>
              <w:sz w:val="24"/>
              <w:szCs w:val="24"/>
              <w14:ligatures w14:val="standardContextual"/>
            </w:rPr>
          </w:pPr>
          <w:hyperlink w:history="1" w:anchor="_Toc227451554">
            <w:r w:rsidRPr="00A52F3A">
              <w:rPr>
                <w:rStyle w:val="Hyperlink"/>
                <w:rFonts w:cs="Arial"/>
                <w:noProof/>
                <w:specVanish/>
              </w:rPr>
              <w:t>10.11</w:t>
            </w:r>
            <w:r>
              <w:rPr>
                <w:rFonts w:asciiTheme="minorHAnsi" w:hAnsiTheme="minorHAnsi" w:eastAsiaTheme="minorEastAsia"/>
                <w:noProof/>
                <w:kern w:val="2"/>
                <w:sz w:val="24"/>
                <w:szCs w:val="24"/>
                <w14:ligatures w14:val="standardContextual"/>
              </w:rPr>
              <w:tab/>
            </w:r>
            <w:r w:rsidRPr="00A52F3A">
              <w:rPr>
                <w:rStyle w:val="Hyperlink"/>
                <w:rFonts w:cs="Arial"/>
                <w:noProof/>
              </w:rPr>
              <w:t>Performance Metrics.</w:t>
            </w:r>
            <w:r>
              <w:rPr>
                <w:noProof/>
                <w:webHidden/>
              </w:rPr>
              <w:tab/>
            </w:r>
            <w:r>
              <w:rPr>
                <w:noProof/>
                <w:webHidden/>
              </w:rPr>
              <w:fldChar w:fldCharType="begin"/>
            </w:r>
            <w:r>
              <w:rPr>
                <w:noProof/>
                <w:webHidden/>
              </w:rPr>
              <w:instrText xml:space="preserve"> PAGEREF _Toc227451554 \h </w:instrText>
            </w:r>
            <w:r>
              <w:rPr>
                <w:noProof/>
                <w:webHidden/>
              </w:rPr>
            </w:r>
            <w:r>
              <w:rPr>
                <w:noProof/>
                <w:webHidden/>
              </w:rPr>
              <w:fldChar w:fldCharType="separate"/>
            </w:r>
            <w:r>
              <w:rPr>
                <w:noProof/>
                <w:webHidden/>
              </w:rPr>
              <w:t>48</w:t>
            </w:r>
            <w:r>
              <w:rPr>
                <w:noProof/>
                <w:webHidden/>
              </w:rPr>
              <w:fldChar w:fldCharType="end"/>
            </w:r>
          </w:hyperlink>
        </w:p>
        <w:p w:rsidR="00E94928" w:rsidRDefault="00E94928" w14:paraId="2078FD33" w14:textId="4686F6B6">
          <w:pPr>
            <w:pStyle w:val="TOC2"/>
            <w:rPr>
              <w:rFonts w:asciiTheme="minorHAnsi" w:hAnsiTheme="minorHAnsi" w:eastAsiaTheme="minorEastAsia"/>
              <w:noProof/>
              <w:kern w:val="2"/>
              <w:sz w:val="24"/>
              <w:szCs w:val="24"/>
              <w14:ligatures w14:val="standardContextual"/>
            </w:rPr>
          </w:pPr>
          <w:hyperlink w:history="1" w:anchor="_Toc227451555">
            <w:r w:rsidRPr="00A52F3A">
              <w:rPr>
                <w:rStyle w:val="Hyperlink"/>
                <w:noProof/>
                <w:specVanish/>
              </w:rPr>
              <w:t>10.12</w:t>
            </w:r>
            <w:r>
              <w:rPr>
                <w:rFonts w:asciiTheme="minorHAnsi" w:hAnsiTheme="minorHAnsi" w:eastAsiaTheme="minorEastAsia"/>
                <w:noProof/>
                <w:kern w:val="2"/>
                <w:sz w:val="24"/>
                <w:szCs w:val="24"/>
                <w14:ligatures w14:val="standardContextual"/>
              </w:rPr>
              <w:tab/>
            </w:r>
            <w:r w:rsidRPr="00A52F3A">
              <w:rPr>
                <w:rStyle w:val="Hyperlink"/>
                <w:noProof/>
              </w:rPr>
              <w:t>Reactive Power.</w:t>
            </w:r>
            <w:r>
              <w:rPr>
                <w:noProof/>
                <w:webHidden/>
              </w:rPr>
              <w:tab/>
            </w:r>
            <w:r>
              <w:rPr>
                <w:noProof/>
                <w:webHidden/>
              </w:rPr>
              <w:fldChar w:fldCharType="begin"/>
            </w:r>
            <w:r>
              <w:rPr>
                <w:noProof/>
                <w:webHidden/>
              </w:rPr>
              <w:instrText xml:space="preserve"> PAGEREF _Toc227451555 \h </w:instrText>
            </w:r>
            <w:r>
              <w:rPr>
                <w:noProof/>
                <w:webHidden/>
              </w:rPr>
            </w:r>
            <w:r>
              <w:rPr>
                <w:noProof/>
                <w:webHidden/>
              </w:rPr>
              <w:fldChar w:fldCharType="separate"/>
            </w:r>
            <w:r>
              <w:rPr>
                <w:noProof/>
                <w:webHidden/>
              </w:rPr>
              <w:t>48</w:t>
            </w:r>
            <w:r>
              <w:rPr>
                <w:noProof/>
                <w:webHidden/>
              </w:rPr>
              <w:fldChar w:fldCharType="end"/>
            </w:r>
          </w:hyperlink>
        </w:p>
        <w:p w:rsidR="00E94928" w:rsidRDefault="00E94928" w14:paraId="5C96529C" w14:textId="7DB1521E">
          <w:pPr>
            <w:pStyle w:val="TOC2"/>
            <w:rPr>
              <w:rFonts w:asciiTheme="minorHAnsi" w:hAnsiTheme="minorHAnsi" w:eastAsiaTheme="minorEastAsia"/>
              <w:noProof/>
              <w:kern w:val="2"/>
              <w:sz w:val="24"/>
              <w:szCs w:val="24"/>
              <w14:ligatures w14:val="standardContextual"/>
            </w:rPr>
          </w:pPr>
          <w:hyperlink w:history="1" w:anchor="_Toc227451556">
            <w:r w:rsidRPr="00A52F3A">
              <w:rPr>
                <w:rStyle w:val="Hyperlink"/>
                <w:noProof/>
                <w:specVanish/>
              </w:rPr>
              <w:t>10.13</w:t>
            </w:r>
            <w:r>
              <w:rPr>
                <w:rFonts w:asciiTheme="minorHAnsi" w:hAnsiTheme="minorHAnsi" w:eastAsiaTheme="minorEastAsia"/>
                <w:noProof/>
                <w:kern w:val="2"/>
                <w:sz w:val="24"/>
                <w:szCs w:val="24"/>
                <w14:ligatures w14:val="standardContextual"/>
              </w:rPr>
              <w:tab/>
            </w:r>
            <w:r w:rsidRPr="00A52F3A">
              <w:rPr>
                <w:rStyle w:val="Hyperlink"/>
                <w:noProof/>
              </w:rPr>
              <w:t>Cyber Security.</w:t>
            </w:r>
            <w:r>
              <w:rPr>
                <w:noProof/>
                <w:webHidden/>
              </w:rPr>
              <w:tab/>
            </w:r>
            <w:r>
              <w:rPr>
                <w:noProof/>
                <w:webHidden/>
              </w:rPr>
              <w:fldChar w:fldCharType="begin"/>
            </w:r>
            <w:r>
              <w:rPr>
                <w:noProof/>
                <w:webHidden/>
              </w:rPr>
              <w:instrText xml:space="preserve"> PAGEREF _Toc227451556 \h </w:instrText>
            </w:r>
            <w:r>
              <w:rPr>
                <w:noProof/>
                <w:webHidden/>
              </w:rPr>
            </w:r>
            <w:r>
              <w:rPr>
                <w:noProof/>
                <w:webHidden/>
              </w:rPr>
              <w:fldChar w:fldCharType="separate"/>
            </w:r>
            <w:r>
              <w:rPr>
                <w:noProof/>
                <w:webHidden/>
              </w:rPr>
              <w:t>48</w:t>
            </w:r>
            <w:r>
              <w:rPr>
                <w:noProof/>
                <w:webHidden/>
              </w:rPr>
              <w:fldChar w:fldCharType="end"/>
            </w:r>
          </w:hyperlink>
        </w:p>
        <w:p w:rsidR="00E94928" w:rsidRDefault="00E94928" w14:paraId="0DEC16A6" w14:textId="4FC18AEF">
          <w:pPr>
            <w:pStyle w:val="TOC1"/>
            <w:rPr>
              <w:rFonts w:asciiTheme="minorHAnsi" w:hAnsiTheme="minorHAnsi" w:eastAsiaTheme="minorEastAsia" w:cstheme="minorBidi"/>
              <w:b w:val="0"/>
              <w:caps w:val="0"/>
              <w:noProof/>
              <w:kern w:val="2"/>
              <w:sz w:val="24"/>
              <w:szCs w:val="24"/>
              <w14:ligatures w14:val="standardContextual"/>
            </w:rPr>
          </w:pPr>
          <w:hyperlink w:history="1" w:anchor="_Toc227451557">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11</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BESS; Grid Charging; Renewable Resource Charging</w:t>
            </w:r>
            <w:r>
              <w:rPr>
                <w:noProof/>
                <w:webHidden/>
              </w:rPr>
              <w:tab/>
            </w:r>
            <w:r>
              <w:rPr>
                <w:noProof/>
                <w:webHidden/>
              </w:rPr>
              <w:fldChar w:fldCharType="begin"/>
            </w:r>
            <w:r>
              <w:rPr>
                <w:noProof/>
                <w:webHidden/>
              </w:rPr>
              <w:instrText xml:space="preserve"> PAGEREF _Toc227451557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352D87F7" w14:textId="2F4BABE2">
          <w:pPr>
            <w:pStyle w:val="TOC2"/>
            <w:rPr>
              <w:rFonts w:asciiTheme="minorHAnsi" w:hAnsiTheme="minorHAnsi" w:eastAsiaTheme="minorEastAsia"/>
              <w:noProof/>
              <w:kern w:val="2"/>
              <w:sz w:val="24"/>
              <w:szCs w:val="24"/>
              <w14:ligatures w14:val="standardContextual"/>
            </w:rPr>
          </w:pPr>
          <w:hyperlink w:history="1" w:anchor="_Toc227451558">
            <w:r w:rsidRPr="00A52F3A">
              <w:rPr>
                <w:rStyle w:val="Hyperlink"/>
                <w:noProof/>
                <w:specVanish/>
              </w:rPr>
              <w:t>11.1</w:t>
            </w:r>
            <w:r>
              <w:rPr>
                <w:rFonts w:asciiTheme="minorHAnsi" w:hAnsiTheme="minorHAnsi" w:eastAsiaTheme="minorEastAsia"/>
                <w:noProof/>
                <w:kern w:val="2"/>
                <w:sz w:val="24"/>
                <w:szCs w:val="24"/>
                <w14:ligatures w14:val="standardContextual"/>
              </w:rPr>
              <w:tab/>
            </w:r>
            <w:r w:rsidRPr="00A52F3A">
              <w:rPr>
                <w:rStyle w:val="Hyperlink"/>
                <w:noProof/>
              </w:rPr>
              <w:t xml:space="preserve">Use of </w:t>
            </w:r>
            <w:r w:rsidRPr="00A52F3A">
              <w:rPr>
                <w:rStyle w:val="Hyperlink"/>
                <w:bCs/>
                <w:noProof/>
              </w:rPr>
              <w:t>BESS</w:t>
            </w:r>
            <w:r w:rsidRPr="00A52F3A">
              <w:rPr>
                <w:rStyle w:val="Hyperlink"/>
                <w:noProof/>
              </w:rPr>
              <w:t>.</w:t>
            </w:r>
            <w:r>
              <w:rPr>
                <w:noProof/>
                <w:webHidden/>
              </w:rPr>
              <w:tab/>
            </w:r>
            <w:r>
              <w:rPr>
                <w:noProof/>
                <w:webHidden/>
              </w:rPr>
              <w:fldChar w:fldCharType="begin"/>
            </w:r>
            <w:r>
              <w:rPr>
                <w:noProof/>
                <w:webHidden/>
              </w:rPr>
              <w:instrText xml:space="preserve"> PAGEREF _Toc227451558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2EC5E845" w14:textId="7F99C61B">
          <w:pPr>
            <w:pStyle w:val="TOC2"/>
            <w:rPr>
              <w:rFonts w:asciiTheme="minorHAnsi" w:hAnsiTheme="minorHAnsi" w:eastAsiaTheme="minorEastAsia"/>
              <w:noProof/>
              <w:kern w:val="2"/>
              <w:sz w:val="24"/>
              <w:szCs w:val="24"/>
              <w14:ligatures w14:val="standardContextual"/>
            </w:rPr>
          </w:pPr>
          <w:hyperlink w:history="1" w:anchor="_Toc227451559">
            <w:r w:rsidRPr="00A52F3A">
              <w:rPr>
                <w:rStyle w:val="Hyperlink"/>
                <w:noProof/>
              </w:rPr>
              <w:t>11.2</w:t>
            </w:r>
            <w:r>
              <w:rPr>
                <w:rFonts w:asciiTheme="minorHAnsi" w:hAnsiTheme="minorHAnsi" w:eastAsiaTheme="minorEastAsia"/>
                <w:noProof/>
                <w:kern w:val="2"/>
                <w:sz w:val="24"/>
                <w:szCs w:val="24"/>
                <w14:ligatures w14:val="standardContextual"/>
              </w:rPr>
              <w:tab/>
            </w:r>
            <w:r w:rsidRPr="00A52F3A">
              <w:rPr>
                <w:rStyle w:val="Hyperlink"/>
                <w:noProof/>
              </w:rPr>
              <w:t>Reserved.</w:t>
            </w:r>
            <w:r>
              <w:rPr>
                <w:noProof/>
                <w:webHidden/>
              </w:rPr>
              <w:tab/>
            </w:r>
            <w:r>
              <w:rPr>
                <w:noProof/>
                <w:webHidden/>
              </w:rPr>
              <w:fldChar w:fldCharType="begin"/>
            </w:r>
            <w:r>
              <w:rPr>
                <w:noProof/>
                <w:webHidden/>
              </w:rPr>
              <w:instrText xml:space="preserve"> PAGEREF _Toc227451559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796C7B3A" w14:textId="6966F175">
          <w:pPr>
            <w:pStyle w:val="TOC2"/>
            <w:rPr>
              <w:rFonts w:asciiTheme="minorHAnsi" w:hAnsiTheme="minorHAnsi" w:eastAsiaTheme="minorEastAsia"/>
              <w:noProof/>
              <w:kern w:val="2"/>
              <w:sz w:val="24"/>
              <w:szCs w:val="24"/>
              <w14:ligatures w14:val="standardContextual"/>
            </w:rPr>
          </w:pPr>
          <w:hyperlink w:history="1" w:anchor="_Toc227451560">
            <w:r w:rsidRPr="00A52F3A">
              <w:rPr>
                <w:rStyle w:val="Hyperlink"/>
                <w:noProof/>
                <w:specVanish/>
              </w:rPr>
              <w:t>11.3</w:t>
            </w:r>
            <w:r>
              <w:rPr>
                <w:rFonts w:asciiTheme="minorHAnsi" w:hAnsiTheme="minorHAnsi" w:eastAsiaTheme="minorEastAsia"/>
                <w:noProof/>
                <w:kern w:val="2"/>
                <w:sz w:val="24"/>
                <w:szCs w:val="24"/>
                <w14:ligatures w14:val="standardContextual"/>
              </w:rPr>
              <w:tab/>
            </w:r>
            <w:r w:rsidRPr="00A52F3A">
              <w:rPr>
                <w:rStyle w:val="Hyperlink"/>
                <w:noProof/>
              </w:rPr>
              <w:t>Grid Charging; Renewable Resource Charging.</w:t>
            </w:r>
            <w:r>
              <w:rPr>
                <w:noProof/>
                <w:webHidden/>
              </w:rPr>
              <w:tab/>
            </w:r>
            <w:r>
              <w:rPr>
                <w:noProof/>
                <w:webHidden/>
              </w:rPr>
              <w:fldChar w:fldCharType="begin"/>
            </w:r>
            <w:r>
              <w:rPr>
                <w:noProof/>
                <w:webHidden/>
              </w:rPr>
              <w:instrText xml:space="preserve"> PAGEREF _Toc227451560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51C049F1" w14:textId="0BCB4DFA">
          <w:pPr>
            <w:pStyle w:val="TOC1"/>
            <w:rPr>
              <w:rFonts w:asciiTheme="minorHAnsi" w:hAnsiTheme="minorHAnsi" w:eastAsiaTheme="minorEastAsia" w:cstheme="minorBidi"/>
              <w:b w:val="0"/>
              <w:caps w:val="0"/>
              <w:noProof/>
              <w:kern w:val="2"/>
              <w:sz w:val="24"/>
              <w:szCs w:val="24"/>
              <w14:ligatures w14:val="standardContextual"/>
            </w:rPr>
          </w:pPr>
          <w:hyperlink w:history="1" w:anchor="_Toc227451561">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12</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Energy Dispatch</w:t>
            </w:r>
            <w:r>
              <w:rPr>
                <w:noProof/>
                <w:webHidden/>
              </w:rPr>
              <w:tab/>
            </w:r>
            <w:r>
              <w:rPr>
                <w:noProof/>
                <w:webHidden/>
              </w:rPr>
              <w:fldChar w:fldCharType="begin"/>
            </w:r>
            <w:r>
              <w:rPr>
                <w:noProof/>
                <w:webHidden/>
              </w:rPr>
              <w:instrText xml:space="preserve"> PAGEREF _Toc227451561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58E195B7" w14:textId="3B4554F2">
          <w:pPr>
            <w:pStyle w:val="TOC2"/>
            <w:rPr>
              <w:rFonts w:asciiTheme="minorHAnsi" w:hAnsiTheme="minorHAnsi" w:eastAsiaTheme="minorEastAsia"/>
              <w:noProof/>
              <w:kern w:val="2"/>
              <w:sz w:val="24"/>
              <w:szCs w:val="24"/>
              <w14:ligatures w14:val="standardContextual"/>
            </w:rPr>
          </w:pPr>
          <w:hyperlink w:history="1" w:anchor="_Toc227451562">
            <w:r w:rsidRPr="00A52F3A">
              <w:rPr>
                <w:rStyle w:val="Hyperlink"/>
                <w:noProof/>
                <w:specVanish/>
              </w:rPr>
              <w:t>12.1</w:t>
            </w:r>
            <w:r>
              <w:rPr>
                <w:rFonts w:asciiTheme="minorHAnsi" w:hAnsiTheme="minorHAnsi" w:eastAsiaTheme="minorEastAsia"/>
                <w:noProof/>
                <w:kern w:val="2"/>
                <w:sz w:val="24"/>
                <w:szCs w:val="24"/>
                <w14:ligatures w14:val="standardContextual"/>
              </w:rPr>
              <w:tab/>
            </w:r>
            <w:r w:rsidRPr="00A52F3A">
              <w:rPr>
                <w:rStyle w:val="Hyperlink"/>
                <w:noProof/>
              </w:rPr>
              <w:t>Energy Dispatch.</w:t>
            </w:r>
            <w:r>
              <w:rPr>
                <w:noProof/>
                <w:webHidden/>
              </w:rPr>
              <w:tab/>
            </w:r>
            <w:r>
              <w:rPr>
                <w:noProof/>
                <w:webHidden/>
              </w:rPr>
              <w:fldChar w:fldCharType="begin"/>
            </w:r>
            <w:r>
              <w:rPr>
                <w:noProof/>
                <w:webHidden/>
              </w:rPr>
              <w:instrText xml:space="preserve"> PAGEREF _Toc227451562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61396E49" w14:textId="2BD34E80">
          <w:pPr>
            <w:pStyle w:val="TOC2"/>
            <w:rPr>
              <w:rFonts w:asciiTheme="minorHAnsi" w:hAnsiTheme="minorHAnsi" w:eastAsiaTheme="minorEastAsia"/>
              <w:noProof/>
              <w:kern w:val="2"/>
              <w:sz w:val="24"/>
              <w:szCs w:val="24"/>
              <w14:ligatures w14:val="standardContextual"/>
            </w:rPr>
          </w:pPr>
          <w:hyperlink w:history="1" w:anchor="_Toc227451563">
            <w:r w:rsidRPr="00A52F3A">
              <w:rPr>
                <w:rStyle w:val="Hyperlink"/>
                <w:noProof/>
                <w:specVanish/>
              </w:rPr>
              <w:t>12.2</w:t>
            </w:r>
            <w:r>
              <w:rPr>
                <w:rFonts w:asciiTheme="minorHAnsi" w:hAnsiTheme="minorHAnsi" w:eastAsiaTheme="minorEastAsia"/>
                <w:noProof/>
                <w:kern w:val="2"/>
                <w:sz w:val="24"/>
                <w:szCs w:val="24"/>
                <w14:ligatures w14:val="standardContextual"/>
              </w:rPr>
              <w:tab/>
            </w:r>
            <w:r w:rsidRPr="00A52F3A">
              <w:rPr>
                <w:rStyle w:val="Hyperlink"/>
                <w:noProof/>
              </w:rPr>
              <w:t>Coordination and Dispatch.</w:t>
            </w:r>
            <w:r>
              <w:rPr>
                <w:noProof/>
                <w:webHidden/>
              </w:rPr>
              <w:tab/>
            </w:r>
            <w:r>
              <w:rPr>
                <w:noProof/>
                <w:webHidden/>
              </w:rPr>
              <w:fldChar w:fldCharType="begin"/>
            </w:r>
            <w:r>
              <w:rPr>
                <w:noProof/>
                <w:webHidden/>
              </w:rPr>
              <w:instrText xml:space="preserve"> PAGEREF _Toc227451563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7348DA6E" w14:textId="512ECF81">
          <w:pPr>
            <w:pStyle w:val="TOC2"/>
            <w:rPr>
              <w:rFonts w:asciiTheme="minorHAnsi" w:hAnsiTheme="minorHAnsi" w:eastAsiaTheme="minorEastAsia"/>
              <w:noProof/>
              <w:kern w:val="2"/>
              <w:sz w:val="24"/>
              <w:szCs w:val="24"/>
              <w14:ligatures w14:val="standardContextual"/>
            </w:rPr>
          </w:pPr>
          <w:hyperlink w:history="1" w:anchor="_Toc227451564">
            <w:r w:rsidRPr="00A52F3A">
              <w:rPr>
                <w:rStyle w:val="Hyperlink"/>
                <w:noProof/>
                <w:specVanish/>
              </w:rPr>
              <w:t>12.3</w:t>
            </w:r>
            <w:r>
              <w:rPr>
                <w:rFonts w:asciiTheme="minorHAnsi" w:hAnsiTheme="minorHAnsi" w:eastAsiaTheme="minorEastAsia"/>
                <w:noProof/>
                <w:kern w:val="2"/>
                <w:sz w:val="24"/>
                <w:szCs w:val="24"/>
                <w14:ligatures w14:val="standardContextual"/>
              </w:rPr>
              <w:tab/>
            </w:r>
            <w:r w:rsidRPr="00A52F3A">
              <w:rPr>
                <w:rStyle w:val="Hyperlink"/>
                <w:noProof/>
              </w:rPr>
              <w:t>Effect of Grid Emergencies.</w:t>
            </w:r>
            <w:r>
              <w:rPr>
                <w:noProof/>
                <w:webHidden/>
              </w:rPr>
              <w:tab/>
            </w:r>
            <w:r>
              <w:rPr>
                <w:noProof/>
                <w:webHidden/>
              </w:rPr>
              <w:fldChar w:fldCharType="begin"/>
            </w:r>
            <w:r>
              <w:rPr>
                <w:noProof/>
                <w:webHidden/>
              </w:rPr>
              <w:instrText xml:space="preserve"> PAGEREF _Toc227451564 \h </w:instrText>
            </w:r>
            <w:r>
              <w:rPr>
                <w:noProof/>
                <w:webHidden/>
              </w:rPr>
            </w:r>
            <w:r>
              <w:rPr>
                <w:noProof/>
                <w:webHidden/>
              </w:rPr>
              <w:fldChar w:fldCharType="separate"/>
            </w:r>
            <w:r>
              <w:rPr>
                <w:noProof/>
                <w:webHidden/>
              </w:rPr>
              <w:t>49</w:t>
            </w:r>
            <w:r>
              <w:rPr>
                <w:noProof/>
                <w:webHidden/>
              </w:rPr>
              <w:fldChar w:fldCharType="end"/>
            </w:r>
          </w:hyperlink>
        </w:p>
        <w:p w:rsidR="00E94928" w:rsidRDefault="00E94928" w14:paraId="4CF0AE16" w14:textId="792094FE">
          <w:pPr>
            <w:pStyle w:val="TOC2"/>
            <w:rPr>
              <w:rFonts w:asciiTheme="minorHAnsi" w:hAnsiTheme="minorHAnsi" w:eastAsiaTheme="minorEastAsia"/>
              <w:noProof/>
              <w:kern w:val="2"/>
              <w:sz w:val="24"/>
              <w:szCs w:val="24"/>
              <w14:ligatures w14:val="standardContextual"/>
            </w:rPr>
          </w:pPr>
          <w:hyperlink w:history="1" w:anchor="_Toc227451565">
            <w:r w:rsidRPr="00A52F3A">
              <w:rPr>
                <w:rStyle w:val="Hyperlink"/>
                <w:noProof/>
                <w:specVanish/>
              </w:rPr>
              <w:t>12.4</w:t>
            </w:r>
            <w:r>
              <w:rPr>
                <w:rFonts w:asciiTheme="minorHAnsi" w:hAnsiTheme="minorHAnsi" w:eastAsiaTheme="minorEastAsia"/>
                <w:noProof/>
                <w:kern w:val="2"/>
                <w:sz w:val="24"/>
                <w:szCs w:val="24"/>
                <w14:ligatures w14:val="standardContextual"/>
              </w:rPr>
              <w:tab/>
            </w:r>
            <w:r w:rsidRPr="00A52F3A">
              <w:rPr>
                <w:rStyle w:val="Hyperlink"/>
                <w:noProof/>
              </w:rPr>
              <w:t>Effect of Insufficient Capability in the Transmission System.</w:t>
            </w:r>
            <w:r>
              <w:rPr>
                <w:noProof/>
                <w:webHidden/>
              </w:rPr>
              <w:tab/>
            </w:r>
            <w:r>
              <w:rPr>
                <w:noProof/>
                <w:webHidden/>
              </w:rPr>
              <w:fldChar w:fldCharType="begin"/>
            </w:r>
            <w:r>
              <w:rPr>
                <w:noProof/>
                <w:webHidden/>
              </w:rPr>
              <w:instrText xml:space="preserve"> PAGEREF _Toc227451565 \h </w:instrText>
            </w:r>
            <w:r>
              <w:rPr>
                <w:noProof/>
                <w:webHidden/>
              </w:rPr>
            </w:r>
            <w:r>
              <w:rPr>
                <w:noProof/>
                <w:webHidden/>
              </w:rPr>
              <w:fldChar w:fldCharType="separate"/>
            </w:r>
            <w:r>
              <w:rPr>
                <w:noProof/>
                <w:webHidden/>
              </w:rPr>
              <w:t>50</w:t>
            </w:r>
            <w:r>
              <w:rPr>
                <w:noProof/>
                <w:webHidden/>
              </w:rPr>
              <w:fldChar w:fldCharType="end"/>
            </w:r>
          </w:hyperlink>
        </w:p>
        <w:p w:rsidR="00E94928" w:rsidRDefault="00E94928" w14:paraId="48537335" w14:textId="23576FEB">
          <w:pPr>
            <w:pStyle w:val="TOC1"/>
            <w:rPr>
              <w:rFonts w:asciiTheme="minorHAnsi" w:hAnsiTheme="minorHAnsi" w:eastAsiaTheme="minorEastAsia" w:cstheme="minorBidi"/>
              <w:b w:val="0"/>
              <w:caps w:val="0"/>
              <w:noProof/>
              <w:kern w:val="2"/>
              <w:sz w:val="24"/>
              <w:szCs w:val="24"/>
              <w14:ligatures w14:val="standardContextual"/>
            </w:rPr>
          </w:pPr>
          <w:hyperlink w:history="1" w:anchor="_Toc227451566">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13</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Insurance</w:t>
            </w:r>
            <w:r>
              <w:rPr>
                <w:noProof/>
                <w:webHidden/>
              </w:rPr>
              <w:tab/>
            </w:r>
            <w:r>
              <w:rPr>
                <w:noProof/>
                <w:webHidden/>
              </w:rPr>
              <w:fldChar w:fldCharType="begin"/>
            </w:r>
            <w:r>
              <w:rPr>
                <w:noProof/>
                <w:webHidden/>
              </w:rPr>
              <w:instrText xml:space="preserve"> PAGEREF _Toc227451566 \h </w:instrText>
            </w:r>
            <w:r>
              <w:rPr>
                <w:noProof/>
                <w:webHidden/>
              </w:rPr>
            </w:r>
            <w:r>
              <w:rPr>
                <w:noProof/>
                <w:webHidden/>
              </w:rPr>
              <w:fldChar w:fldCharType="separate"/>
            </w:r>
            <w:r>
              <w:rPr>
                <w:noProof/>
                <w:webHidden/>
              </w:rPr>
              <w:t>50</w:t>
            </w:r>
            <w:r>
              <w:rPr>
                <w:noProof/>
                <w:webHidden/>
              </w:rPr>
              <w:fldChar w:fldCharType="end"/>
            </w:r>
          </w:hyperlink>
        </w:p>
        <w:p w:rsidR="00E94928" w:rsidRDefault="00E94928" w14:paraId="4477A3B3" w14:textId="35E4BFC3">
          <w:pPr>
            <w:pStyle w:val="TOC2"/>
            <w:rPr>
              <w:rFonts w:asciiTheme="minorHAnsi" w:hAnsiTheme="minorHAnsi" w:eastAsiaTheme="minorEastAsia"/>
              <w:noProof/>
              <w:kern w:val="2"/>
              <w:sz w:val="24"/>
              <w:szCs w:val="24"/>
              <w14:ligatures w14:val="standardContextual"/>
            </w:rPr>
          </w:pPr>
          <w:hyperlink w:history="1" w:anchor="_Toc227451567">
            <w:r w:rsidRPr="00A52F3A">
              <w:rPr>
                <w:rStyle w:val="Hyperlink"/>
                <w:noProof/>
                <w:specVanish/>
              </w:rPr>
              <w:t>13.1</w:t>
            </w:r>
            <w:r>
              <w:rPr>
                <w:rFonts w:asciiTheme="minorHAnsi" w:hAnsiTheme="minorHAnsi" w:eastAsiaTheme="minorEastAsia"/>
                <w:noProof/>
                <w:kern w:val="2"/>
                <w:sz w:val="24"/>
                <w:szCs w:val="24"/>
                <w14:ligatures w14:val="standardContextual"/>
              </w:rPr>
              <w:tab/>
            </w:r>
            <w:r w:rsidRPr="00A52F3A">
              <w:rPr>
                <w:rStyle w:val="Hyperlink"/>
                <w:noProof/>
              </w:rPr>
              <w:t>Insurance Required of Seller.</w:t>
            </w:r>
            <w:r>
              <w:rPr>
                <w:noProof/>
                <w:webHidden/>
              </w:rPr>
              <w:tab/>
            </w:r>
            <w:r>
              <w:rPr>
                <w:noProof/>
                <w:webHidden/>
              </w:rPr>
              <w:fldChar w:fldCharType="begin"/>
            </w:r>
            <w:r>
              <w:rPr>
                <w:noProof/>
                <w:webHidden/>
              </w:rPr>
              <w:instrText xml:space="preserve"> PAGEREF _Toc227451567 \h </w:instrText>
            </w:r>
            <w:r>
              <w:rPr>
                <w:noProof/>
                <w:webHidden/>
              </w:rPr>
            </w:r>
            <w:r>
              <w:rPr>
                <w:noProof/>
                <w:webHidden/>
              </w:rPr>
              <w:fldChar w:fldCharType="separate"/>
            </w:r>
            <w:r>
              <w:rPr>
                <w:noProof/>
                <w:webHidden/>
              </w:rPr>
              <w:t>50</w:t>
            </w:r>
            <w:r>
              <w:rPr>
                <w:noProof/>
                <w:webHidden/>
              </w:rPr>
              <w:fldChar w:fldCharType="end"/>
            </w:r>
          </w:hyperlink>
        </w:p>
        <w:p w:rsidR="00E94928" w:rsidRDefault="00E94928" w14:paraId="3CCFF600" w14:textId="6BE3586E">
          <w:pPr>
            <w:pStyle w:val="TOC2"/>
            <w:rPr>
              <w:rFonts w:asciiTheme="minorHAnsi" w:hAnsiTheme="minorHAnsi" w:eastAsiaTheme="minorEastAsia"/>
              <w:noProof/>
              <w:kern w:val="2"/>
              <w:sz w:val="24"/>
              <w:szCs w:val="24"/>
              <w14:ligatures w14:val="standardContextual"/>
            </w:rPr>
          </w:pPr>
          <w:hyperlink w:history="1" w:anchor="_Toc227451568">
            <w:r w:rsidRPr="00A52F3A">
              <w:rPr>
                <w:rStyle w:val="Hyperlink"/>
                <w:noProof/>
                <w:specVanish/>
              </w:rPr>
              <w:t>13.2</w:t>
            </w:r>
            <w:r>
              <w:rPr>
                <w:rFonts w:asciiTheme="minorHAnsi" w:hAnsiTheme="minorHAnsi" w:eastAsiaTheme="minorEastAsia"/>
                <w:noProof/>
                <w:kern w:val="2"/>
                <w:sz w:val="24"/>
                <w:szCs w:val="24"/>
                <w14:ligatures w14:val="standardContextual"/>
              </w:rPr>
              <w:tab/>
            </w:r>
            <w:r w:rsidRPr="00A52F3A">
              <w:rPr>
                <w:rStyle w:val="Hyperlink"/>
                <w:noProof/>
              </w:rPr>
              <w:t>Proof of Insurance.</w:t>
            </w:r>
            <w:r>
              <w:rPr>
                <w:noProof/>
                <w:webHidden/>
              </w:rPr>
              <w:tab/>
            </w:r>
            <w:r>
              <w:rPr>
                <w:noProof/>
                <w:webHidden/>
              </w:rPr>
              <w:fldChar w:fldCharType="begin"/>
            </w:r>
            <w:r>
              <w:rPr>
                <w:noProof/>
                <w:webHidden/>
              </w:rPr>
              <w:instrText xml:space="preserve"> PAGEREF _Toc227451568 \h </w:instrText>
            </w:r>
            <w:r>
              <w:rPr>
                <w:noProof/>
                <w:webHidden/>
              </w:rPr>
            </w:r>
            <w:r>
              <w:rPr>
                <w:noProof/>
                <w:webHidden/>
              </w:rPr>
              <w:fldChar w:fldCharType="separate"/>
            </w:r>
            <w:r>
              <w:rPr>
                <w:noProof/>
                <w:webHidden/>
              </w:rPr>
              <w:t>50</w:t>
            </w:r>
            <w:r>
              <w:rPr>
                <w:noProof/>
                <w:webHidden/>
              </w:rPr>
              <w:fldChar w:fldCharType="end"/>
            </w:r>
          </w:hyperlink>
        </w:p>
        <w:p w:rsidR="00E94928" w:rsidRDefault="00E94928" w14:paraId="111D2E07" w14:textId="099B0D2A">
          <w:pPr>
            <w:pStyle w:val="TOC2"/>
            <w:rPr>
              <w:rFonts w:asciiTheme="minorHAnsi" w:hAnsiTheme="minorHAnsi" w:eastAsiaTheme="minorEastAsia"/>
              <w:noProof/>
              <w:kern w:val="2"/>
              <w:sz w:val="24"/>
              <w:szCs w:val="24"/>
              <w14:ligatures w14:val="standardContextual"/>
            </w:rPr>
          </w:pPr>
          <w:hyperlink w:history="1" w:anchor="_Toc227451569">
            <w:r w:rsidRPr="00A52F3A">
              <w:rPr>
                <w:rStyle w:val="Hyperlink"/>
                <w:noProof/>
                <w:specVanish/>
              </w:rPr>
              <w:t>13.3</w:t>
            </w:r>
            <w:r>
              <w:rPr>
                <w:rFonts w:asciiTheme="minorHAnsi" w:hAnsiTheme="minorHAnsi" w:eastAsiaTheme="minorEastAsia"/>
                <w:noProof/>
                <w:kern w:val="2"/>
                <w:sz w:val="24"/>
                <w:szCs w:val="24"/>
                <w14:ligatures w14:val="standardContextual"/>
              </w:rPr>
              <w:tab/>
            </w:r>
            <w:r w:rsidRPr="00A52F3A">
              <w:rPr>
                <w:rStyle w:val="Hyperlink"/>
                <w:noProof/>
              </w:rPr>
              <w:t>General Terms.</w:t>
            </w:r>
            <w:r>
              <w:rPr>
                <w:noProof/>
                <w:webHidden/>
              </w:rPr>
              <w:tab/>
            </w:r>
            <w:r>
              <w:rPr>
                <w:noProof/>
                <w:webHidden/>
              </w:rPr>
              <w:fldChar w:fldCharType="begin"/>
            </w:r>
            <w:r>
              <w:rPr>
                <w:noProof/>
                <w:webHidden/>
              </w:rPr>
              <w:instrText xml:space="preserve"> PAGEREF _Toc227451569 \h </w:instrText>
            </w:r>
            <w:r>
              <w:rPr>
                <w:noProof/>
                <w:webHidden/>
              </w:rPr>
            </w:r>
            <w:r>
              <w:rPr>
                <w:noProof/>
                <w:webHidden/>
              </w:rPr>
              <w:fldChar w:fldCharType="separate"/>
            </w:r>
            <w:r>
              <w:rPr>
                <w:noProof/>
                <w:webHidden/>
              </w:rPr>
              <w:t>50</w:t>
            </w:r>
            <w:r>
              <w:rPr>
                <w:noProof/>
                <w:webHidden/>
              </w:rPr>
              <w:fldChar w:fldCharType="end"/>
            </w:r>
          </w:hyperlink>
        </w:p>
        <w:p w:rsidR="00E94928" w:rsidRDefault="00E94928" w14:paraId="277B75B9" w14:textId="7AA3473F">
          <w:pPr>
            <w:pStyle w:val="TOC2"/>
            <w:rPr>
              <w:rFonts w:asciiTheme="minorHAnsi" w:hAnsiTheme="minorHAnsi" w:eastAsiaTheme="minorEastAsia"/>
              <w:noProof/>
              <w:kern w:val="2"/>
              <w:sz w:val="24"/>
              <w:szCs w:val="24"/>
              <w14:ligatures w14:val="standardContextual"/>
            </w:rPr>
          </w:pPr>
          <w:hyperlink w:history="1" w:anchor="_Toc227451570">
            <w:r w:rsidRPr="00A52F3A">
              <w:rPr>
                <w:rStyle w:val="Hyperlink"/>
                <w:rFonts w:cs="Arial"/>
                <w:noProof/>
                <w:specVanish/>
              </w:rPr>
              <w:t>13.4</w:t>
            </w:r>
            <w:r>
              <w:rPr>
                <w:rFonts w:asciiTheme="minorHAnsi" w:hAnsiTheme="minorHAnsi" w:eastAsiaTheme="minorEastAsia"/>
                <w:noProof/>
                <w:kern w:val="2"/>
                <w:sz w:val="24"/>
                <w:szCs w:val="24"/>
                <w14:ligatures w14:val="standardContextual"/>
              </w:rPr>
              <w:tab/>
            </w:r>
            <w:r w:rsidRPr="00A52F3A">
              <w:rPr>
                <w:rStyle w:val="Hyperlink"/>
                <w:noProof/>
              </w:rPr>
              <w:t>Required Insurance.</w:t>
            </w:r>
            <w:r>
              <w:rPr>
                <w:noProof/>
                <w:webHidden/>
              </w:rPr>
              <w:tab/>
            </w:r>
            <w:r>
              <w:rPr>
                <w:noProof/>
                <w:webHidden/>
              </w:rPr>
              <w:fldChar w:fldCharType="begin"/>
            </w:r>
            <w:r>
              <w:rPr>
                <w:noProof/>
                <w:webHidden/>
              </w:rPr>
              <w:instrText xml:space="preserve"> PAGEREF _Toc227451570 \h </w:instrText>
            </w:r>
            <w:r>
              <w:rPr>
                <w:noProof/>
                <w:webHidden/>
              </w:rPr>
            </w:r>
            <w:r>
              <w:rPr>
                <w:noProof/>
                <w:webHidden/>
              </w:rPr>
              <w:fldChar w:fldCharType="separate"/>
            </w:r>
            <w:r>
              <w:rPr>
                <w:noProof/>
                <w:webHidden/>
              </w:rPr>
              <w:t>50</w:t>
            </w:r>
            <w:r>
              <w:rPr>
                <w:noProof/>
                <w:webHidden/>
              </w:rPr>
              <w:fldChar w:fldCharType="end"/>
            </w:r>
          </w:hyperlink>
        </w:p>
        <w:p w:rsidR="00E94928" w:rsidRDefault="00E94928" w14:paraId="465FF001" w14:textId="172A9E34">
          <w:pPr>
            <w:pStyle w:val="TOC2"/>
            <w:rPr>
              <w:rFonts w:asciiTheme="minorHAnsi" w:hAnsiTheme="minorHAnsi" w:eastAsiaTheme="minorEastAsia"/>
              <w:noProof/>
              <w:kern w:val="2"/>
              <w:sz w:val="24"/>
              <w:szCs w:val="24"/>
              <w14:ligatures w14:val="standardContextual"/>
            </w:rPr>
          </w:pPr>
          <w:hyperlink w:history="1" w:anchor="_Toc227451571">
            <w:r w:rsidRPr="00A52F3A">
              <w:rPr>
                <w:rStyle w:val="Hyperlink"/>
                <w:noProof/>
                <w:specVanish/>
              </w:rPr>
              <w:t>13.5</w:t>
            </w:r>
            <w:r>
              <w:rPr>
                <w:rFonts w:asciiTheme="minorHAnsi" w:hAnsiTheme="minorHAnsi" w:eastAsiaTheme="minorEastAsia"/>
                <w:noProof/>
                <w:kern w:val="2"/>
                <w:sz w:val="24"/>
                <w:szCs w:val="24"/>
                <w14:ligatures w14:val="standardContextual"/>
              </w:rPr>
              <w:tab/>
            </w:r>
            <w:r w:rsidRPr="00A52F3A">
              <w:rPr>
                <w:rStyle w:val="Hyperlink"/>
                <w:noProof/>
              </w:rPr>
              <w:t>Notice of Change or Cancellation.</w:t>
            </w:r>
            <w:r>
              <w:rPr>
                <w:noProof/>
                <w:webHidden/>
              </w:rPr>
              <w:tab/>
            </w:r>
            <w:r>
              <w:rPr>
                <w:noProof/>
                <w:webHidden/>
              </w:rPr>
              <w:fldChar w:fldCharType="begin"/>
            </w:r>
            <w:r>
              <w:rPr>
                <w:noProof/>
                <w:webHidden/>
              </w:rPr>
              <w:instrText xml:space="preserve"> PAGEREF _Toc227451571 \h </w:instrText>
            </w:r>
            <w:r>
              <w:rPr>
                <w:noProof/>
                <w:webHidden/>
              </w:rPr>
            </w:r>
            <w:r>
              <w:rPr>
                <w:noProof/>
                <w:webHidden/>
              </w:rPr>
              <w:fldChar w:fldCharType="separate"/>
            </w:r>
            <w:r>
              <w:rPr>
                <w:noProof/>
                <w:webHidden/>
              </w:rPr>
              <w:t>51</w:t>
            </w:r>
            <w:r>
              <w:rPr>
                <w:noProof/>
                <w:webHidden/>
              </w:rPr>
              <w:fldChar w:fldCharType="end"/>
            </w:r>
          </w:hyperlink>
        </w:p>
        <w:p w:rsidR="00E94928" w:rsidRDefault="00E94928" w14:paraId="6987403C" w14:textId="07C6C005">
          <w:pPr>
            <w:pStyle w:val="TOC2"/>
            <w:rPr>
              <w:rFonts w:asciiTheme="minorHAnsi" w:hAnsiTheme="minorHAnsi" w:eastAsiaTheme="minorEastAsia"/>
              <w:noProof/>
              <w:kern w:val="2"/>
              <w:sz w:val="24"/>
              <w:szCs w:val="24"/>
              <w14:ligatures w14:val="standardContextual"/>
            </w:rPr>
          </w:pPr>
          <w:hyperlink w:history="1" w:anchor="_Toc227451572">
            <w:r w:rsidRPr="00A52F3A">
              <w:rPr>
                <w:rStyle w:val="Hyperlink"/>
                <w:noProof/>
                <w:specVanish/>
              </w:rPr>
              <w:t>13.6</w:t>
            </w:r>
            <w:r>
              <w:rPr>
                <w:rFonts w:asciiTheme="minorHAnsi" w:hAnsiTheme="minorHAnsi" w:eastAsiaTheme="minorEastAsia"/>
                <w:noProof/>
                <w:kern w:val="2"/>
                <w:sz w:val="24"/>
                <w:szCs w:val="24"/>
                <w14:ligatures w14:val="standardContextual"/>
              </w:rPr>
              <w:tab/>
            </w:r>
            <w:r w:rsidRPr="00A52F3A">
              <w:rPr>
                <w:rStyle w:val="Hyperlink"/>
                <w:noProof/>
              </w:rPr>
              <w:t>Payment of Premiums.</w:t>
            </w:r>
            <w:r>
              <w:rPr>
                <w:noProof/>
                <w:webHidden/>
              </w:rPr>
              <w:tab/>
            </w:r>
            <w:r>
              <w:rPr>
                <w:noProof/>
                <w:webHidden/>
              </w:rPr>
              <w:fldChar w:fldCharType="begin"/>
            </w:r>
            <w:r>
              <w:rPr>
                <w:noProof/>
                <w:webHidden/>
              </w:rPr>
              <w:instrText xml:space="preserve"> PAGEREF _Toc227451572 \h </w:instrText>
            </w:r>
            <w:r>
              <w:rPr>
                <w:noProof/>
                <w:webHidden/>
              </w:rPr>
            </w:r>
            <w:r>
              <w:rPr>
                <w:noProof/>
                <w:webHidden/>
              </w:rPr>
              <w:fldChar w:fldCharType="separate"/>
            </w:r>
            <w:r>
              <w:rPr>
                <w:noProof/>
                <w:webHidden/>
              </w:rPr>
              <w:t>51</w:t>
            </w:r>
            <w:r>
              <w:rPr>
                <w:noProof/>
                <w:webHidden/>
              </w:rPr>
              <w:fldChar w:fldCharType="end"/>
            </w:r>
          </w:hyperlink>
        </w:p>
        <w:p w:rsidR="00E94928" w:rsidRDefault="00E94928" w14:paraId="04B830E4" w14:textId="043B7D09">
          <w:pPr>
            <w:pStyle w:val="TOC2"/>
            <w:rPr>
              <w:rFonts w:asciiTheme="minorHAnsi" w:hAnsiTheme="minorHAnsi" w:eastAsiaTheme="minorEastAsia"/>
              <w:noProof/>
              <w:kern w:val="2"/>
              <w:sz w:val="24"/>
              <w:szCs w:val="24"/>
              <w14:ligatures w14:val="standardContextual"/>
            </w:rPr>
          </w:pPr>
          <w:hyperlink w:history="1" w:anchor="_Toc227451573">
            <w:r w:rsidRPr="00A52F3A">
              <w:rPr>
                <w:rStyle w:val="Hyperlink"/>
                <w:noProof/>
                <w:specVanish/>
              </w:rPr>
              <w:t>13.7</w:t>
            </w:r>
            <w:r>
              <w:rPr>
                <w:rFonts w:asciiTheme="minorHAnsi" w:hAnsiTheme="minorHAnsi" w:eastAsiaTheme="minorEastAsia"/>
                <w:noProof/>
                <w:kern w:val="2"/>
                <w:sz w:val="24"/>
                <w:szCs w:val="24"/>
                <w14:ligatures w14:val="standardContextual"/>
              </w:rPr>
              <w:tab/>
            </w:r>
            <w:r w:rsidRPr="00A52F3A">
              <w:rPr>
                <w:rStyle w:val="Hyperlink"/>
                <w:noProof/>
              </w:rPr>
              <w:t>No Waiver of Liability.</w:t>
            </w:r>
            <w:r>
              <w:rPr>
                <w:noProof/>
                <w:webHidden/>
              </w:rPr>
              <w:tab/>
            </w:r>
            <w:r>
              <w:rPr>
                <w:noProof/>
                <w:webHidden/>
              </w:rPr>
              <w:fldChar w:fldCharType="begin"/>
            </w:r>
            <w:r>
              <w:rPr>
                <w:noProof/>
                <w:webHidden/>
              </w:rPr>
              <w:instrText xml:space="preserve"> PAGEREF _Toc227451573 \h </w:instrText>
            </w:r>
            <w:r>
              <w:rPr>
                <w:noProof/>
                <w:webHidden/>
              </w:rPr>
            </w:r>
            <w:r>
              <w:rPr>
                <w:noProof/>
                <w:webHidden/>
              </w:rPr>
              <w:fldChar w:fldCharType="separate"/>
            </w:r>
            <w:r>
              <w:rPr>
                <w:noProof/>
                <w:webHidden/>
              </w:rPr>
              <w:t>51</w:t>
            </w:r>
            <w:r>
              <w:rPr>
                <w:noProof/>
                <w:webHidden/>
              </w:rPr>
              <w:fldChar w:fldCharType="end"/>
            </w:r>
          </w:hyperlink>
        </w:p>
        <w:p w:rsidR="00E94928" w:rsidRDefault="00E94928" w14:paraId="29384E4E" w14:textId="057478CA">
          <w:pPr>
            <w:pStyle w:val="TOC1"/>
            <w:rPr>
              <w:rFonts w:asciiTheme="minorHAnsi" w:hAnsiTheme="minorHAnsi" w:eastAsiaTheme="minorEastAsia" w:cstheme="minorBidi"/>
              <w:b w:val="0"/>
              <w:caps w:val="0"/>
              <w:noProof/>
              <w:kern w:val="2"/>
              <w:sz w:val="24"/>
              <w:szCs w:val="24"/>
              <w14:ligatures w14:val="standardContextual"/>
            </w:rPr>
          </w:pPr>
          <w:hyperlink w:history="1" w:anchor="_Toc227451574">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14</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Risk and Claims</w:t>
            </w:r>
            <w:r>
              <w:rPr>
                <w:noProof/>
                <w:webHidden/>
              </w:rPr>
              <w:tab/>
            </w:r>
            <w:r>
              <w:rPr>
                <w:noProof/>
                <w:webHidden/>
              </w:rPr>
              <w:fldChar w:fldCharType="begin"/>
            </w:r>
            <w:r>
              <w:rPr>
                <w:noProof/>
                <w:webHidden/>
              </w:rPr>
              <w:instrText xml:space="preserve"> PAGEREF _Toc227451574 \h </w:instrText>
            </w:r>
            <w:r>
              <w:rPr>
                <w:noProof/>
                <w:webHidden/>
              </w:rPr>
            </w:r>
            <w:r>
              <w:rPr>
                <w:noProof/>
                <w:webHidden/>
              </w:rPr>
              <w:fldChar w:fldCharType="separate"/>
            </w:r>
            <w:r>
              <w:rPr>
                <w:noProof/>
                <w:webHidden/>
              </w:rPr>
              <w:t>52</w:t>
            </w:r>
            <w:r>
              <w:rPr>
                <w:noProof/>
                <w:webHidden/>
              </w:rPr>
              <w:fldChar w:fldCharType="end"/>
            </w:r>
          </w:hyperlink>
        </w:p>
        <w:p w:rsidR="00E94928" w:rsidRDefault="00E94928" w14:paraId="7020D801" w14:textId="25373588">
          <w:pPr>
            <w:pStyle w:val="TOC2"/>
            <w:rPr>
              <w:rFonts w:asciiTheme="minorHAnsi" w:hAnsiTheme="minorHAnsi" w:eastAsiaTheme="minorEastAsia"/>
              <w:noProof/>
              <w:kern w:val="2"/>
              <w:sz w:val="24"/>
              <w:szCs w:val="24"/>
              <w14:ligatures w14:val="standardContextual"/>
            </w:rPr>
          </w:pPr>
          <w:hyperlink w:history="1" w:anchor="_Toc227451575">
            <w:r w:rsidRPr="00A52F3A">
              <w:rPr>
                <w:rStyle w:val="Hyperlink"/>
                <w:noProof/>
                <w:specVanish/>
              </w:rPr>
              <w:t>14.1</w:t>
            </w:r>
            <w:r>
              <w:rPr>
                <w:rFonts w:asciiTheme="minorHAnsi" w:hAnsiTheme="minorHAnsi" w:eastAsiaTheme="minorEastAsia"/>
                <w:noProof/>
                <w:kern w:val="2"/>
                <w:sz w:val="24"/>
                <w:szCs w:val="24"/>
                <w14:ligatures w14:val="standardContextual"/>
              </w:rPr>
              <w:tab/>
            </w:r>
            <w:r w:rsidRPr="00A52F3A">
              <w:rPr>
                <w:rStyle w:val="Hyperlink"/>
                <w:noProof/>
              </w:rPr>
              <w:t>Liability for Facility.</w:t>
            </w:r>
            <w:r>
              <w:rPr>
                <w:noProof/>
                <w:webHidden/>
              </w:rPr>
              <w:tab/>
            </w:r>
            <w:r>
              <w:rPr>
                <w:noProof/>
                <w:webHidden/>
              </w:rPr>
              <w:fldChar w:fldCharType="begin"/>
            </w:r>
            <w:r>
              <w:rPr>
                <w:noProof/>
                <w:webHidden/>
              </w:rPr>
              <w:instrText xml:space="preserve"> PAGEREF _Toc227451575 \h </w:instrText>
            </w:r>
            <w:r>
              <w:rPr>
                <w:noProof/>
                <w:webHidden/>
              </w:rPr>
            </w:r>
            <w:r>
              <w:rPr>
                <w:noProof/>
                <w:webHidden/>
              </w:rPr>
              <w:fldChar w:fldCharType="separate"/>
            </w:r>
            <w:r>
              <w:rPr>
                <w:noProof/>
                <w:webHidden/>
              </w:rPr>
              <w:t>52</w:t>
            </w:r>
            <w:r>
              <w:rPr>
                <w:noProof/>
                <w:webHidden/>
              </w:rPr>
              <w:fldChar w:fldCharType="end"/>
            </w:r>
          </w:hyperlink>
        </w:p>
        <w:p w:rsidR="00E94928" w:rsidRDefault="00E94928" w14:paraId="370B9E1E" w14:textId="65BE4419">
          <w:pPr>
            <w:pStyle w:val="TOC2"/>
            <w:rPr>
              <w:rFonts w:asciiTheme="minorHAnsi" w:hAnsiTheme="minorHAnsi" w:eastAsiaTheme="minorEastAsia"/>
              <w:noProof/>
              <w:kern w:val="2"/>
              <w:sz w:val="24"/>
              <w:szCs w:val="24"/>
              <w14:ligatures w14:val="standardContextual"/>
            </w:rPr>
          </w:pPr>
          <w:hyperlink w:history="1" w:anchor="_Toc227451576">
            <w:r w:rsidRPr="00A52F3A">
              <w:rPr>
                <w:rStyle w:val="Hyperlink"/>
                <w:noProof/>
                <w:specVanish/>
              </w:rPr>
              <w:t>14.2</w:t>
            </w:r>
            <w:r>
              <w:rPr>
                <w:rFonts w:asciiTheme="minorHAnsi" w:hAnsiTheme="minorHAnsi" w:eastAsiaTheme="minorEastAsia"/>
                <w:noProof/>
                <w:kern w:val="2"/>
                <w:sz w:val="24"/>
                <w:szCs w:val="24"/>
                <w14:ligatures w14:val="standardContextual"/>
              </w:rPr>
              <w:tab/>
            </w:r>
            <w:r w:rsidRPr="00A52F3A">
              <w:rPr>
                <w:rStyle w:val="Hyperlink"/>
                <w:noProof/>
              </w:rPr>
              <w:t>No Liability.</w:t>
            </w:r>
            <w:r>
              <w:rPr>
                <w:noProof/>
                <w:webHidden/>
              </w:rPr>
              <w:tab/>
            </w:r>
            <w:r>
              <w:rPr>
                <w:noProof/>
                <w:webHidden/>
              </w:rPr>
              <w:fldChar w:fldCharType="begin"/>
            </w:r>
            <w:r>
              <w:rPr>
                <w:noProof/>
                <w:webHidden/>
              </w:rPr>
              <w:instrText xml:space="preserve"> PAGEREF _Toc227451576 \h </w:instrText>
            </w:r>
            <w:r>
              <w:rPr>
                <w:noProof/>
                <w:webHidden/>
              </w:rPr>
            </w:r>
            <w:r>
              <w:rPr>
                <w:noProof/>
                <w:webHidden/>
              </w:rPr>
              <w:fldChar w:fldCharType="separate"/>
            </w:r>
            <w:r>
              <w:rPr>
                <w:noProof/>
                <w:webHidden/>
              </w:rPr>
              <w:t>52</w:t>
            </w:r>
            <w:r>
              <w:rPr>
                <w:noProof/>
                <w:webHidden/>
              </w:rPr>
              <w:fldChar w:fldCharType="end"/>
            </w:r>
          </w:hyperlink>
        </w:p>
        <w:p w:rsidR="00E94928" w:rsidRDefault="00E94928" w14:paraId="53BDB333" w14:textId="00052CE4">
          <w:pPr>
            <w:pStyle w:val="TOC2"/>
            <w:rPr>
              <w:rFonts w:asciiTheme="minorHAnsi" w:hAnsiTheme="minorHAnsi" w:eastAsiaTheme="minorEastAsia"/>
              <w:noProof/>
              <w:kern w:val="2"/>
              <w:sz w:val="24"/>
              <w:szCs w:val="24"/>
              <w14:ligatures w14:val="standardContextual"/>
            </w:rPr>
          </w:pPr>
          <w:hyperlink w:history="1" w:anchor="_Toc227451577">
            <w:r w:rsidRPr="00A52F3A">
              <w:rPr>
                <w:rStyle w:val="Hyperlink"/>
                <w:noProof/>
                <w:specVanish/>
              </w:rPr>
              <w:t>14.3</w:t>
            </w:r>
            <w:r>
              <w:rPr>
                <w:rFonts w:asciiTheme="minorHAnsi" w:hAnsiTheme="minorHAnsi" w:eastAsiaTheme="minorEastAsia"/>
                <w:noProof/>
                <w:kern w:val="2"/>
                <w:sz w:val="24"/>
                <w:szCs w:val="24"/>
                <w14:ligatures w14:val="standardContextual"/>
              </w:rPr>
              <w:tab/>
            </w:r>
            <w:r w:rsidRPr="00A52F3A">
              <w:rPr>
                <w:rStyle w:val="Hyperlink"/>
                <w:noProof/>
              </w:rPr>
              <w:t>Scope of Indemnity.</w:t>
            </w:r>
            <w:r>
              <w:rPr>
                <w:noProof/>
                <w:webHidden/>
              </w:rPr>
              <w:tab/>
            </w:r>
            <w:r>
              <w:rPr>
                <w:noProof/>
                <w:webHidden/>
              </w:rPr>
              <w:fldChar w:fldCharType="begin"/>
            </w:r>
            <w:r>
              <w:rPr>
                <w:noProof/>
                <w:webHidden/>
              </w:rPr>
              <w:instrText xml:space="preserve"> PAGEREF _Toc227451577 \h </w:instrText>
            </w:r>
            <w:r>
              <w:rPr>
                <w:noProof/>
                <w:webHidden/>
              </w:rPr>
            </w:r>
            <w:r>
              <w:rPr>
                <w:noProof/>
                <w:webHidden/>
              </w:rPr>
              <w:fldChar w:fldCharType="separate"/>
            </w:r>
            <w:r>
              <w:rPr>
                <w:noProof/>
                <w:webHidden/>
              </w:rPr>
              <w:t>52</w:t>
            </w:r>
            <w:r>
              <w:rPr>
                <w:noProof/>
                <w:webHidden/>
              </w:rPr>
              <w:fldChar w:fldCharType="end"/>
            </w:r>
          </w:hyperlink>
        </w:p>
        <w:p w:rsidR="00E94928" w:rsidRDefault="00E94928" w14:paraId="2F907E40" w14:textId="17880C11">
          <w:pPr>
            <w:pStyle w:val="TOC2"/>
            <w:rPr>
              <w:rFonts w:asciiTheme="minorHAnsi" w:hAnsiTheme="minorHAnsi" w:eastAsiaTheme="minorEastAsia"/>
              <w:noProof/>
              <w:kern w:val="2"/>
              <w:sz w:val="24"/>
              <w:szCs w:val="24"/>
              <w14:ligatures w14:val="standardContextual"/>
            </w:rPr>
          </w:pPr>
          <w:hyperlink w:history="1" w:anchor="_Toc227451578">
            <w:r w:rsidRPr="00A52F3A">
              <w:rPr>
                <w:rStyle w:val="Hyperlink"/>
                <w:rFonts w:cs="Arial"/>
                <w:noProof/>
                <w:specVanish/>
              </w:rPr>
              <w:t>14.4</w:t>
            </w:r>
            <w:r>
              <w:rPr>
                <w:rFonts w:asciiTheme="minorHAnsi" w:hAnsiTheme="minorHAnsi" w:eastAsiaTheme="minorEastAsia"/>
                <w:noProof/>
                <w:kern w:val="2"/>
                <w:sz w:val="24"/>
                <w:szCs w:val="24"/>
                <w14:ligatures w14:val="standardContextual"/>
              </w:rPr>
              <w:tab/>
            </w:r>
            <w:r w:rsidRPr="00A52F3A">
              <w:rPr>
                <w:rStyle w:val="Hyperlink"/>
                <w:noProof/>
              </w:rPr>
              <w:t>Survival.</w:t>
            </w:r>
            <w:r>
              <w:rPr>
                <w:noProof/>
                <w:webHidden/>
              </w:rPr>
              <w:tab/>
            </w:r>
            <w:r>
              <w:rPr>
                <w:noProof/>
                <w:webHidden/>
              </w:rPr>
              <w:fldChar w:fldCharType="begin"/>
            </w:r>
            <w:r>
              <w:rPr>
                <w:noProof/>
                <w:webHidden/>
              </w:rPr>
              <w:instrText xml:space="preserve"> PAGEREF _Toc227451578 \h </w:instrText>
            </w:r>
            <w:r>
              <w:rPr>
                <w:noProof/>
                <w:webHidden/>
              </w:rPr>
            </w:r>
            <w:r>
              <w:rPr>
                <w:noProof/>
                <w:webHidden/>
              </w:rPr>
              <w:fldChar w:fldCharType="separate"/>
            </w:r>
            <w:r>
              <w:rPr>
                <w:noProof/>
                <w:webHidden/>
              </w:rPr>
              <w:t>52</w:t>
            </w:r>
            <w:r>
              <w:rPr>
                <w:noProof/>
                <w:webHidden/>
              </w:rPr>
              <w:fldChar w:fldCharType="end"/>
            </w:r>
          </w:hyperlink>
        </w:p>
        <w:p w:rsidR="00E94928" w:rsidRDefault="00E94928" w14:paraId="5548251B" w14:textId="139CF17D">
          <w:pPr>
            <w:pStyle w:val="TOC1"/>
            <w:rPr>
              <w:rFonts w:asciiTheme="minorHAnsi" w:hAnsiTheme="minorHAnsi" w:eastAsiaTheme="minorEastAsia" w:cstheme="minorBidi"/>
              <w:b w:val="0"/>
              <w:caps w:val="0"/>
              <w:noProof/>
              <w:kern w:val="2"/>
              <w:sz w:val="24"/>
              <w:szCs w:val="24"/>
              <w14:ligatures w14:val="standardContextual"/>
            </w:rPr>
          </w:pPr>
          <w:hyperlink w:history="1" w:anchor="_Toc227451579">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15</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Force Majeure</w:t>
            </w:r>
            <w:r>
              <w:rPr>
                <w:noProof/>
                <w:webHidden/>
              </w:rPr>
              <w:tab/>
            </w:r>
            <w:r>
              <w:rPr>
                <w:noProof/>
                <w:webHidden/>
              </w:rPr>
              <w:fldChar w:fldCharType="begin"/>
            </w:r>
            <w:r>
              <w:rPr>
                <w:noProof/>
                <w:webHidden/>
              </w:rPr>
              <w:instrText xml:space="preserve"> PAGEREF _Toc227451579 \h </w:instrText>
            </w:r>
            <w:r>
              <w:rPr>
                <w:noProof/>
                <w:webHidden/>
              </w:rPr>
            </w:r>
            <w:r>
              <w:rPr>
                <w:noProof/>
                <w:webHidden/>
              </w:rPr>
              <w:fldChar w:fldCharType="separate"/>
            </w:r>
            <w:r>
              <w:rPr>
                <w:noProof/>
                <w:webHidden/>
              </w:rPr>
              <w:t>52</w:t>
            </w:r>
            <w:r>
              <w:rPr>
                <w:noProof/>
                <w:webHidden/>
              </w:rPr>
              <w:fldChar w:fldCharType="end"/>
            </w:r>
          </w:hyperlink>
        </w:p>
        <w:p w:rsidR="00E94928" w:rsidRDefault="00E94928" w14:paraId="4BC45E11" w14:textId="321FB021">
          <w:pPr>
            <w:pStyle w:val="TOC2"/>
            <w:rPr>
              <w:rFonts w:asciiTheme="minorHAnsi" w:hAnsiTheme="minorHAnsi" w:eastAsiaTheme="minorEastAsia"/>
              <w:noProof/>
              <w:kern w:val="2"/>
              <w:sz w:val="24"/>
              <w:szCs w:val="24"/>
              <w14:ligatures w14:val="standardContextual"/>
            </w:rPr>
          </w:pPr>
          <w:hyperlink w:history="1" w:anchor="_Toc227451580">
            <w:r w:rsidRPr="00A52F3A">
              <w:rPr>
                <w:rStyle w:val="Hyperlink"/>
                <w:noProof/>
                <w:specVanish/>
              </w:rPr>
              <w:t>15.1</w:t>
            </w:r>
            <w:r>
              <w:rPr>
                <w:rFonts w:asciiTheme="minorHAnsi" w:hAnsiTheme="minorHAnsi" w:eastAsiaTheme="minorEastAsia"/>
                <w:noProof/>
                <w:kern w:val="2"/>
                <w:sz w:val="24"/>
                <w:szCs w:val="24"/>
                <w14:ligatures w14:val="standardContextual"/>
              </w:rPr>
              <w:tab/>
            </w:r>
            <w:r w:rsidRPr="00A52F3A">
              <w:rPr>
                <w:rStyle w:val="Hyperlink"/>
                <w:noProof/>
              </w:rPr>
              <w:t>Definition of Force Majeure Event.</w:t>
            </w:r>
            <w:r>
              <w:rPr>
                <w:noProof/>
                <w:webHidden/>
              </w:rPr>
              <w:tab/>
            </w:r>
            <w:r>
              <w:rPr>
                <w:noProof/>
                <w:webHidden/>
              </w:rPr>
              <w:fldChar w:fldCharType="begin"/>
            </w:r>
            <w:r>
              <w:rPr>
                <w:noProof/>
                <w:webHidden/>
              </w:rPr>
              <w:instrText xml:space="preserve"> PAGEREF _Toc227451580 \h </w:instrText>
            </w:r>
            <w:r>
              <w:rPr>
                <w:noProof/>
                <w:webHidden/>
              </w:rPr>
            </w:r>
            <w:r>
              <w:rPr>
                <w:noProof/>
                <w:webHidden/>
              </w:rPr>
              <w:fldChar w:fldCharType="separate"/>
            </w:r>
            <w:r>
              <w:rPr>
                <w:noProof/>
                <w:webHidden/>
              </w:rPr>
              <w:t>52</w:t>
            </w:r>
            <w:r>
              <w:rPr>
                <w:noProof/>
                <w:webHidden/>
              </w:rPr>
              <w:fldChar w:fldCharType="end"/>
            </w:r>
          </w:hyperlink>
        </w:p>
        <w:p w:rsidR="00E94928" w:rsidRDefault="00E94928" w14:paraId="4759832C" w14:textId="2545DDCD">
          <w:pPr>
            <w:pStyle w:val="TOC2"/>
            <w:rPr>
              <w:rFonts w:asciiTheme="minorHAnsi" w:hAnsiTheme="minorHAnsi" w:eastAsiaTheme="minorEastAsia"/>
              <w:noProof/>
              <w:kern w:val="2"/>
              <w:sz w:val="24"/>
              <w:szCs w:val="24"/>
              <w14:ligatures w14:val="standardContextual"/>
            </w:rPr>
          </w:pPr>
          <w:hyperlink w:history="1" w:anchor="_Toc227451581">
            <w:r w:rsidRPr="00A52F3A">
              <w:rPr>
                <w:rStyle w:val="Hyperlink"/>
                <w:noProof/>
                <w:specVanish/>
              </w:rPr>
              <w:t>15.2</w:t>
            </w:r>
            <w:r>
              <w:rPr>
                <w:rFonts w:asciiTheme="minorHAnsi" w:hAnsiTheme="minorHAnsi" w:eastAsiaTheme="minorEastAsia"/>
                <w:noProof/>
                <w:kern w:val="2"/>
                <w:sz w:val="24"/>
                <w:szCs w:val="24"/>
                <w14:ligatures w14:val="standardContextual"/>
              </w:rPr>
              <w:tab/>
            </w:r>
            <w:r w:rsidRPr="00A52F3A">
              <w:rPr>
                <w:rStyle w:val="Hyperlink"/>
                <w:noProof/>
              </w:rPr>
              <w:t>Force Majeure Exclusions.</w:t>
            </w:r>
            <w:r>
              <w:rPr>
                <w:noProof/>
                <w:webHidden/>
              </w:rPr>
              <w:tab/>
            </w:r>
            <w:r>
              <w:rPr>
                <w:noProof/>
                <w:webHidden/>
              </w:rPr>
              <w:fldChar w:fldCharType="begin"/>
            </w:r>
            <w:r>
              <w:rPr>
                <w:noProof/>
                <w:webHidden/>
              </w:rPr>
              <w:instrText xml:space="preserve"> PAGEREF _Toc227451581 \h </w:instrText>
            </w:r>
            <w:r>
              <w:rPr>
                <w:noProof/>
                <w:webHidden/>
              </w:rPr>
            </w:r>
            <w:r>
              <w:rPr>
                <w:noProof/>
                <w:webHidden/>
              </w:rPr>
              <w:fldChar w:fldCharType="separate"/>
            </w:r>
            <w:r>
              <w:rPr>
                <w:noProof/>
                <w:webHidden/>
              </w:rPr>
              <w:t>53</w:t>
            </w:r>
            <w:r>
              <w:rPr>
                <w:noProof/>
                <w:webHidden/>
              </w:rPr>
              <w:fldChar w:fldCharType="end"/>
            </w:r>
          </w:hyperlink>
        </w:p>
        <w:p w:rsidR="00E94928" w:rsidRDefault="00E94928" w14:paraId="500A1662" w14:textId="295DA31C">
          <w:pPr>
            <w:pStyle w:val="TOC2"/>
            <w:rPr>
              <w:rFonts w:asciiTheme="minorHAnsi" w:hAnsiTheme="minorHAnsi" w:eastAsiaTheme="minorEastAsia"/>
              <w:noProof/>
              <w:kern w:val="2"/>
              <w:sz w:val="24"/>
              <w:szCs w:val="24"/>
              <w14:ligatures w14:val="standardContextual"/>
            </w:rPr>
          </w:pPr>
          <w:hyperlink w:history="1" w:anchor="_Toc227451582">
            <w:r w:rsidRPr="00A52F3A">
              <w:rPr>
                <w:rStyle w:val="Hyperlink"/>
                <w:noProof/>
                <w:specVanish/>
              </w:rPr>
              <w:t>15.3</w:t>
            </w:r>
            <w:r>
              <w:rPr>
                <w:rFonts w:asciiTheme="minorHAnsi" w:hAnsiTheme="minorHAnsi" w:eastAsiaTheme="minorEastAsia"/>
                <w:noProof/>
                <w:kern w:val="2"/>
                <w:sz w:val="24"/>
                <w:szCs w:val="24"/>
                <w14:ligatures w14:val="standardContextual"/>
              </w:rPr>
              <w:tab/>
            </w:r>
            <w:r w:rsidRPr="00A52F3A">
              <w:rPr>
                <w:rStyle w:val="Hyperlink"/>
                <w:noProof/>
              </w:rPr>
              <w:t>No Breach or Liability.</w:t>
            </w:r>
            <w:r>
              <w:rPr>
                <w:noProof/>
                <w:webHidden/>
              </w:rPr>
              <w:tab/>
            </w:r>
            <w:r>
              <w:rPr>
                <w:noProof/>
                <w:webHidden/>
              </w:rPr>
              <w:fldChar w:fldCharType="begin"/>
            </w:r>
            <w:r>
              <w:rPr>
                <w:noProof/>
                <w:webHidden/>
              </w:rPr>
              <w:instrText xml:space="preserve"> PAGEREF _Toc227451582 \h </w:instrText>
            </w:r>
            <w:r>
              <w:rPr>
                <w:noProof/>
                <w:webHidden/>
              </w:rPr>
            </w:r>
            <w:r>
              <w:rPr>
                <w:noProof/>
                <w:webHidden/>
              </w:rPr>
              <w:fldChar w:fldCharType="separate"/>
            </w:r>
            <w:r>
              <w:rPr>
                <w:noProof/>
                <w:webHidden/>
              </w:rPr>
              <w:t>53</w:t>
            </w:r>
            <w:r>
              <w:rPr>
                <w:noProof/>
                <w:webHidden/>
              </w:rPr>
              <w:fldChar w:fldCharType="end"/>
            </w:r>
          </w:hyperlink>
        </w:p>
        <w:p w:rsidR="00E94928" w:rsidRDefault="00E94928" w14:paraId="2E09A0EB" w14:textId="31137990">
          <w:pPr>
            <w:pStyle w:val="TOC2"/>
            <w:rPr>
              <w:rFonts w:asciiTheme="minorHAnsi" w:hAnsiTheme="minorHAnsi" w:eastAsiaTheme="minorEastAsia"/>
              <w:noProof/>
              <w:kern w:val="2"/>
              <w:sz w:val="24"/>
              <w:szCs w:val="24"/>
              <w14:ligatures w14:val="standardContextual"/>
            </w:rPr>
          </w:pPr>
          <w:hyperlink w:history="1" w:anchor="_Toc227451583">
            <w:r w:rsidRPr="00A52F3A">
              <w:rPr>
                <w:rStyle w:val="Hyperlink"/>
                <w:noProof/>
                <w:specVanish/>
              </w:rPr>
              <w:t>15.4</w:t>
            </w:r>
            <w:r>
              <w:rPr>
                <w:rFonts w:asciiTheme="minorHAnsi" w:hAnsiTheme="minorHAnsi" w:eastAsiaTheme="minorEastAsia"/>
                <w:noProof/>
                <w:kern w:val="2"/>
                <w:sz w:val="24"/>
                <w:szCs w:val="24"/>
                <w14:ligatures w14:val="standardContextual"/>
              </w:rPr>
              <w:tab/>
            </w:r>
            <w:r w:rsidRPr="00A52F3A">
              <w:rPr>
                <w:rStyle w:val="Hyperlink"/>
                <w:noProof/>
              </w:rPr>
              <w:t>Monthly Capacity Payments.</w:t>
            </w:r>
            <w:r>
              <w:rPr>
                <w:noProof/>
                <w:webHidden/>
              </w:rPr>
              <w:tab/>
            </w:r>
            <w:r>
              <w:rPr>
                <w:noProof/>
                <w:webHidden/>
              </w:rPr>
              <w:fldChar w:fldCharType="begin"/>
            </w:r>
            <w:r>
              <w:rPr>
                <w:noProof/>
                <w:webHidden/>
              </w:rPr>
              <w:instrText xml:space="preserve"> PAGEREF _Toc227451583 \h </w:instrText>
            </w:r>
            <w:r>
              <w:rPr>
                <w:noProof/>
                <w:webHidden/>
              </w:rPr>
            </w:r>
            <w:r>
              <w:rPr>
                <w:noProof/>
                <w:webHidden/>
              </w:rPr>
              <w:fldChar w:fldCharType="separate"/>
            </w:r>
            <w:r>
              <w:rPr>
                <w:noProof/>
                <w:webHidden/>
              </w:rPr>
              <w:t>54</w:t>
            </w:r>
            <w:r>
              <w:rPr>
                <w:noProof/>
                <w:webHidden/>
              </w:rPr>
              <w:fldChar w:fldCharType="end"/>
            </w:r>
          </w:hyperlink>
        </w:p>
        <w:p w:rsidR="00E94928" w:rsidRDefault="00E94928" w14:paraId="426F1FC1" w14:textId="4376361B">
          <w:pPr>
            <w:pStyle w:val="TOC2"/>
            <w:rPr>
              <w:rFonts w:asciiTheme="minorHAnsi" w:hAnsiTheme="minorHAnsi" w:eastAsiaTheme="minorEastAsia"/>
              <w:noProof/>
              <w:kern w:val="2"/>
              <w:sz w:val="24"/>
              <w:szCs w:val="24"/>
              <w14:ligatures w14:val="standardContextual"/>
            </w:rPr>
          </w:pPr>
          <w:hyperlink w:history="1" w:anchor="_Toc227451584">
            <w:r w:rsidRPr="00A52F3A">
              <w:rPr>
                <w:rStyle w:val="Hyperlink"/>
                <w:noProof/>
                <w:specVanish/>
              </w:rPr>
              <w:t>15.5</w:t>
            </w:r>
            <w:r>
              <w:rPr>
                <w:rFonts w:asciiTheme="minorHAnsi" w:hAnsiTheme="minorHAnsi" w:eastAsiaTheme="minorEastAsia"/>
                <w:noProof/>
                <w:kern w:val="2"/>
                <w:sz w:val="24"/>
                <w:szCs w:val="24"/>
                <w14:ligatures w14:val="standardContextual"/>
              </w:rPr>
              <w:tab/>
            </w:r>
            <w:r w:rsidRPr="00A52F3A">
              <w:rPr>
                <w:rStyle w:val="Hyperlink"/>
                <w:noProof/>
              </w:rPr>
              <w:t>Notice of FME; Updates.</w:t>
            </w:r>
            <w:r>
              <w:rPr>
                <w:noProof/>
                <w:webHidden/>
              </w:rPr>
              <w:tab/>
            </w:r>
            <w:r>
              <w:rPr>
                <w:noProof/>
                <w:webHidden/>
              </w:rPr>
              <w:fldChar w:fldCharType="begin"/>
            </w:r>
            <w:r>
              <w:rPr>
                <w:noProof/>
                <w:webHidden/>
              </w:rPr>
              <w:instrText xml:space="preserve"> PAGEREF _Toc227451584 \h </w:instrText>
            </w:r>
            <w:r>
              <w:rPr>
                <w:noProof/>
                <w:webHidden/>
              </w:rPr>
            </w:r>
            <w:r>
              <w:rPr>
                <w:noProof/>
                <w:webHidden/>
              </w:rPr>
              <w:fldChar w:fldCharType="separate"/>
            </w:r>
            <w:r>
              <w:rPr>
                <w:noProof/>
                <w:webHidden/>
              </w:rPr>
              <w:t>54</w:t>
            </w:r>
            <w:r>
              <w:rPr>
                <w:noProof/>
                <w:webHidden/>
              </w:rPr>
              <w:fldChar w:fldCharType="end"/>
            </w:r>
          </w:hyperlink>
        </w:p>
        <w:p w:rsidR="00E94928" w:rsidRDefault="00E94928" w14:paraId="3C21F46C" w14:textId="7A5FA430">
          <w:pPr>
            <w:pStyle w:val="TOC2"/>
            <w:rPr>
              <w:rFonts w:asciiTheme="minorHAnsi" w:hAnsiTheme="minorHAnsi" w:eastAsiaTheme="minorEastAsia"/>
              <w:noProof/>
              <w:kern w:val="2"/>
              <w:sz w:val="24"/>
              <w:szCs w:val="24"/>
              <w14:ligatures w14:val="standardContextual"/>
            </w:rPr>
          </w:pPr>
          <w:hyperlink w:history="1" w:anchor="_Toc227451585">
            <w:r w:rsidRPr="00A52F3A">
              <w:rPr>
                <w:rStyle w:val="Hyperlink"/>
                <w:noProof/>
                <w:specVanish/>
              </w:rPr>
              <w:t>15.6</w:t>
            </w:r>
            <w:r>
              <w:rPr>
                <w:rFonts w:asciiTheme="minorHAnsi" w:hAnsiTheme="minorHAnsi" w:eastAsiaTheme="minorEastAsia"/>
                <w:noProof/>
                <w:kern w:val="2"/>
                <w:sz w:val="24"/>
                <w:szCs w:val="24"/>
                <w14:ligatures w14:val="standardContextual"/>
              </w:rPr>
              <w:tab/>
            </w:r>
            <w:r w:rsidRPr="00A52F3A">
              <w:rPr>
                <w:rStyle w:val="Hyperlink"/>
                <w:noProof/>
              </w:rPr>
              <w:t>Requirements for Relief.</w:t>
            </w:r>
            <w:r>
              <w:rPr>
                <w:noProof/>
                <w:webHidden/>
              </w:rPr>
              <w:tab/>
            </w:r>
            <w:r>
              <w:rPr>
                <w:noProof/>
                <w:webHidden/>
              </w:rPr>
              <w:fldChar w:fldCharType="begin"/>
            </w:r>
            <w:r>
              <w:rPr>
                <w:noProof/>
                <w:webHidden/>
              </w:rPr>
              <w:instrText xml:space="preserve"> PAGEREF _Toc227451585 \h </w:instrText>
            </w:r>
            <w:r>
              <w:rPr>
                <w:noProof/>
                <w:webHidden/>
              </w:rPr>
            </w:r>
            <w:r>
              <w:rPr>
                <w:noProof/>
                <w:webHidden/>
              </w:rPr>
              <w:fldChar w:fldCharType="separate"/>
            </w:r>
            <w:r>
              <w:rPr>
                <w:noProof/>
                <w:webHidden/>
              </w:rPr>
              <w:t>54</w:t>
            </w:r>
            <w:r>
              <w:rPr>
                <w:noProof/>
                <w:webHidden/>
              </w:rPr>
              <w:fldChar w:fldCharType="end"/>
            </w:r>
          </w:hyperlink>
        </w:p>
        <w:p w:rsidR="00E94928" w:rsidRDefault="00E94928" w14:paraId="7DAAADBF" w14:textId="7E01157E">
          <w:pPr>
            <w:pStyle w:val="TOC2"/>
            <w:rPr>
              <w:rFonts w:asciiTheme="minorHAnsi" w:hAnsiTheme="minorHAnsi" w:eastAsiaTheme="minorEastAsia"/>
              <w:noProof/>
              <w:kern w:val="2"/>
              <w:sz w:val="24"/>
              <w:szCs w:val="24"/>
              <w14:ligatures w14:val="standardContextual"/>
            </w:rPr>
          </w:pPr>
          <w:hyperlink w:history="1" w:anchor="_Toc227451586">
            <w:r w:rsidRPr="00A52F3A">
              <w:rPr>
                <w:rStyle w:val="Hyperlink"/>
                <w:noProof/>
                <w:specVanish/>
              </w:rPr>
              <w:t>15.7</w:t>
            </w:r>
            <w:r>
              <w:rPr>
                <w:rFonts w:asciiTheme="minorHAnsi" w:hAnsiTheme="minorHAnsi" w:eastAsiaTheme="minorEastAsia"/>
                <w:noProof/>
                <w:kern w:val="2"/>
                <w:sz w:val="24"/>
                <w:szCs w:val="24"/>
                <w14:ligatures w14:val="standardContextual"/>
              </w:rPr>
              <w:tab/>
            </w:r>
            <w:r w:rsidRPr="00A52F3A">
              <w:rPr>
                <w:rStyle w:val="Hyperlink"/>
                <w:noProof/>
              </w:rPr>
              <w:t>Extended FME.</w:t>
            </w:r>
            <w:r>
              <w:rPr>
                <w:noProof/>
                <w:webHidden/>
              </w:rPr>
              <w:tab/>
            </w:r>
            <w:r>
              <w:rPr>
                <w:noProof/>
                <w:webHidden/>
              </w:rPr>
              <w:fldChar w:fldCharType="begin"/>
            </w:r>
            <w:r>
              <w:rPr>
                <w:noProof/>
                <w:webHidden/>
              </w:rPr>
              <w:instrText xml:space="preserve"> PAGEREF _Toc227451586 \h </w:instrText>
            </w:r>
            <w:r>
              <w:rPr>
                <w:noProof/>
                <w:webHidden/>
              </w:rPr>
            </w:r>
            <w:r>
              <w:rPr>
                <w:noProof/>
                <w:webHidden/>
              </w:rPr>
              <w:fldChar w:fldCharType="separate"/>
            </w:r>
            <w:r>
              <w:rPr>
                <w:noProof/>
                <w:webHidden/>
              </w:rPr>
              <w:t>55</w:t>
            </w:r>
            <w:r>
              <w:rPr>
                <w:noProof/>
                <w:webHidden/>
              </w:rPr>
              <w:fldChar w:fldCharType="end"/>
            </w:r>
          </w:hyperlink>
        </w:p>
        <w:p w:rsidR="00E94928" w:rsidRDefault="00E94928" w14:paraId="17D8626A" w14:textId="153A3D28">
          <w:pPr>
            <w:pStyle w:val="TOC1"/>
            <w:rPr>
              <w:rFonts w:asciiTheme="minorHAnsi" w:hAnsiTheme="minorHAnsi" w:eastAsiaTheme="minorEastAsia" w:cstheme="minorBidi"/>
              <w:b w:val="0"/>
              <w:caps w:val="0"/>
              <w:noProof/>
              <w:kern w:val="2"/>
              <w:sz w:val="24"/>
              <w:szCs w:val="24"/>
              <w14:ligatures w14:val="standardContextual"/>
            </w:rPr>
          </w:pPr>
          <w:hyperlink w:history="1" w:anchor="_Toc227451587">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16</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Default and Remedies</w:t>
            </w:r>
            <w:r>
              <w:rPr>
                <w:noProof/>
                <w:webHidden/>
              </w:rPr>
              <w:tab/>
            </w:r>
            <w:r>
              <w:rPr>
                <w:noProof/>
                <w:webHidden/>
              </w:rPr>
              <w:fldChar w:fldCharType="begin"/>
            </w:r>
            <w:r>
              <w:rPr>
                <w:noProof/>
                <w:webHidden/>
              </w:rPr>
              <w:instrText xml:space="preserve"> PAGEREF _Toc227451587 \h </w:instrText>
            </w:r>
            <w:r>
              <w:rPr>
                <w:noProof/>
                <w:webHidden/>
              </w:rPr>
            </w:r>
            <w:r>
              <w:rPr>
                <w:noProof/>
                <w:webHidden/>
              </w:rPr>
              <w:fldChar w:fldCharType="separate"/>
            </w:r>
            <w:r>
              <w:rPr>
                <w:noProof/>
                <w:webHidden/>
              </w:rPr>
              <w:t>55</w:t>
            </w:r>
            <w:r>
              <w:rPr>
                <w:noProof/>
                <w:webHidden/>
              </w:rPr>
              <w:fldChar w:fldCharType="end"/>
            </w:r>
          </w:hyperlink>
        </w:p>
        <w:p w:rsidR="00E94928" w:rsidRDefault="00E94928" w14:paraId="634430E2" w14:textId="662BB4B2">
          <w:pPr>
            <w:pStyle w:val="TOC2"/>
            <w:rPr>
              <w:rFonts w:asciiTheme="minorHAnsi" w:hAnsiTheme="minorHAnsi" w:eastAsiaTheme="minorEastAsia"/>
              <w:noProof/>
              <w:kern w:val="2"/>
              <w:sz w:val="24"/>
              <w:szCs w:val="24"/>
              <w14:ligatures w14:val="standardContextual"/>
            </w:rPr>
          </w:pPr>
          <w:hyperlink w:history="1" w:anchor="_Toc227451588">
            <w:r w:rsidRPr="00A52F3A">
              <w:rPr>
                <w:rStyle w:val="Hyperlink"/>
                <w:rFonts w:cs="Arial"/>
                <w:noProof/>
                <w:specVanish/>
              </w:rPr>
              <w:t>16.1</w:t>
            </w:r>
            <w:r>
              <w:rPr>
                <w:rFonts w:asciiTheme="minorHAnsi" w:hAnsiTheme="minorHAnsi" w:eastAsiaTheme="minorEastAsia"/>
                <w:noProof/>
                <w:kern w:val="2"/>
                <w:sz w:val="24"/>
                <w:szCs w:val="24"/>
                <w14:ligatures w14:val="standardContextual"/>
              </w:rPr>
              <w:tab/>
            </w:r>
            <w:r w:rsidRPr="00A52F3A">
              <w:rPr>
                <w:rStyle w:val="Hyperlink"/>
                <w:rFonts w:cs="Arial"/>
                <w:noProof/>
              </w:rPr>
              <w:t>Default by Seller.</w:t>
            </w:r>
            <w:r>
              <w:rPr>
                <w:noProof/>
                <w:webHidden/>
              </w:rPr>
              <w:tab/>
            </w:r>
            <w:r>
              <w:rPr>
                <w:noProof/>
                <w:webHidden/>
              </w:rPr>
              <w:fldChar w:fldCharType="begin"/>
            </w:r>
            <w:r>
              <w:rPr>
                <w:noProof/>
                <w:webHidden/>
              </w:rPr>
              <w:instrText xml:space="preserve"> PAGEREF _Toc227451588 \h </w:instrText>
            </w:r>
            <w:r>
              <w:rPr>
                <w:noProof/>
                <w:webHidden/>
              </w:rPr>
            </w:r>
            <w:r>
              <w:rPr>
                <w:noProof/>
                <w:webHidden/>
              </w:rPr>
              <w:fldChar w:fldCharType="separate"/>
            </w:r>
            <w:r>
              <w:rPr>
                <w:noProof/>
                <w:webHidden/>
              </w:rPr>
              <w:t>55</w:t>
            </w:r>
            <w:r>
              <w:rPr>
                <w:noProof/>
                <w:webHidden/>
              </w:rPr>
              <w:fldChar w:fldCharType="end"/>
            </w:r>
          </w:hyperlink>
        </w:p>
        <w:p w:rsidR="00E94928" w:rsidRDefault="00E94928" w14:paraId="4A1426AB" w14:textId="214BC93E">
          <w:pPr>
            <w:pStyle w:val="TOC2"/>
            <w:rPr>
              <w:rFonts w:asciiTheme="minorHAnsi" w:hAnsiTheme="minorHAnsi" w:eastAsiaTheme="minorEastAsia"/>
              <w:noProof/>
              <w:kern w:val="2"/>
              <w:sz w:val="24"/>
              <w:szCs w:val="24"/>
              <w14:ligatures w14:val="standardContextual"/>
            </w:rPr>
          </w:pPr>
          <w:hyperlink w:history="1" w:anchor="_Toc227451589">
            <w:r w:rsidRPr="00A52F3A">
              <w:rPr>
                <w:rStyle w:val="Hyperlink"/>
                <w:rFonts w:cs="Arial"/>
                <w:noProof/>
                <w:specVanish/>
              </w:rPr>
              <w:t>16.2</w:t>
            </w:r>
            <w:r>
              <w:rPr>
                <w:rFonts w:asciiTheme="minorHAnsi" w:hAnsiTheme="minorHAnsi" w:eastAsiaTheme="minorEastAsia"/>
                <w:noProof/>
                <w:kern w:val="2"/>
                <w:sz w:val="24"/>
                <w:szCs w:val="24"/>
                <w14:ligatures w14:val="standardContextual"/>
              </w:rPr>
              <w:tab/>
            </w:r>
            <w:r w:rsidRPr="00A52F3A">
              <w:rPr>
                <w:rStyle w:val="Hyperlink"/>
                <w:rFonts w:cs="Arial"/>
                <w:noProof/>
              </w:rPr>
              <w:t>Default by GPC.</w:t>
            </w:r>
            <w:r>
              <w:rPr>
                <w:noProof/>
                <w:webHidden/>
              </w:rPr>
              <w:tab/>
            </w:r>
            <w:r>
              <w:rPr>
                <w:noProof/>
                <w:webHidden/>
              </w:rPr>
              <w:fldChar w:fldCharType="begin"/>
            </w:r>
            <w:r>
              <w:rPr>
                <w:noProof/>
                <w:webHidden/>
              </w:rPr>
              <w:instrText xml:space="preserve"> PAGEREF _Toc227451589 \h </w:instrText>
            </w:r>
            <w:r>
              <w:rPr>
                <w:noProof/>
                <w:webHidden/>
              </w:rPr>
            </w:r>
            <w:r>
              <w:rPr>
                <w:noProof/>
                <w:webHidden/>
              </w:rPr>
              <w:fldChar w:fldCharType="separate"/>
            </w:r>
            <w:r>
              <w:rPr>
                <w:noProof/>
                <w:webHidden/>
              </w:rPr>
              <w:t>59</w:t>
            </w:r>
            <w:r>
              <w:rPr>
                <w:noProof/>
                <w:webHidden/>
              </w:rPr>
              <w:fldChar w:fldCharType="end"/>
            </w:r>
          </w:hyperlink>
        </w:p>
        <w:p w:rsidR="00E94928" w:rsidRDefault="00E94928" w14:paraId="021C3C6D" w14:textId="44986930">
          <w:pPr>
            <w:pStyle w:val="TOC2"/>
            <w:rPr>
              <w:rFonts w:asciiTheme="minorHAnsi" w:hAnsiTheme="minorHAnsi" w:eastAsiaTheme="minorEastAsia"/>
              <w:noProof/>
              <w:kern w:val="2"/>
              <w:sz w:val="24"/>
              <w:szCs w:val="24"/>
              <w14:ligatures w14:val="standardContextual"/>
            </w:rPr>
          </w:pPr>
          <w:hyperlink w:history="1" w:anchor="_Toc227451590">
            <w:r w:rsidRPr="00A52F3A">
              <w:rPr>
                <w:rStyle w:val="Hyperlink"/>
                <w:rFonts w:cs="Arial"/>
                <w:noProof/>
                <w:specVanish/>
              </w:rPr>
              <w:t>16.3</w:t>
            </w:r>
            <w:r>
              <w:rPr>
                <w:rFonts w:asciiTheme="minorHAnsi" w:hAnsiTheme="minorHAnsi" w:eastAsiaTheme="minorEastAsia"/>
                <w:noProof/>
                <w:kern w:val="2"/>
                <w:sz w:val="24"/>
                <w:szCs w:val="24"/>
                <w14:ligatures w14:val="standardContextual"/>
              </w:rPr>
              <w:tab/>
            </w:r>
            <w:r w:rsidRPr="00A52F3A">
              <w:rPr>
                <w:rStyle w:val="Hyperlink"/>
                <w:rFonts w:cs="Arial"/>
                <w:noProof/>
              </w:rPr>
              <w:t>Remedies.</w:t>
            </w:r>
            <w:r>
              <w:rPr>
                <w:noProof/>
                <w:webHidden/>
              </w:rPr>
              <w:tab/>
            </w:r>
            <w:r>
              <w:rPr>
                <w:noProof/>
                <w:webHidden/>
              </w:rPr>
              <w:fldChar w:fldCharType="begin"/>
            </w:r>
            <w:r>
              <w:rPr>
                <w:noProof/>
                <w:webHidden/>
              </w:rPr>
              <w:instrText xml:space="preserve"> PAGEREF _Toc227451590 \h </w:instrText>
            </w:r>
            <w:r>
              <w:rPr>
                <w:noProof/>
                <w:webHidden/>
              </w:rPr>
            </w:r>
            <w:r>
              <w:rPr>
                <w:noProof/>
                <w:webHidden/>
              </w:rPr>
              <w:fldChar w:fldCharType="separate"/>
            </w:r>
            <w:r>
              <w:rPr>
                <w:noProof/>
                <w:webHidden/>
              </w:rPr>
              <w:t>61</w:t>
            </w:r>
            <w:r>
              <w:rPr>
                <w:noProof/>
                <w:webHidden/>
              </w:rPr>
              <w:fldChar w:fldCharType="end"/>
            </w:r>
          </w:hyperlink>
        </w:p>
        <w:p w:rsidR="00E94928" w:rsidRDefault="00E94928" w14:paraId="1046CDF5" w14:textId="259DC988">
          <w:pPr>
            <w:pStyle w:val="TOC2"/>
            <w:rPr>
              <w:rFonts w:asciiTheme="minorHAnsi" w:hAnsiTheme="minorHAnsi" w:eastAsiaTheme="minorEastAsia"/>
              <w:noProof/>
              <w:kern w:val="2"/>
              <w:sz w:val="24"/>
              <w:szCs w:val="24"/>
              <w14:ligatures w14:val="standardContextual"/>
            </w:rPr>
          </w:pPr>
          <w:hyperlink w:history="1" w:anchor="_Toc227451591">
            <w:r w:rsidRPr="00A52F3A">
              <w:rPr>
                <w:rStyle w:val="Hyperlink"/>
                <w:rFonts w:cs="Arial"/>
                <w:noProof/>
                <w:specVanish/>
              </w:rPr>
              <w:t>16.4</w:t>
            </w:r>
            <w:r>
              <w:rPr>
                <w:rFonts w:asciiTheme="minorHAnsi" w:hAnsiTheme="minorHAnsi" w:eastAsiaTheme="minorEastAsia"/>
                <w:noProof/>
                <w:kern w:val="2"/>
                <w:sz w:val="24"/>
                <w:szCs w:val="24"/>
                <w14:ligatures w14:val="standardContextual"/>
              </w:rPr>
              <w:tab/>
            </w:r>
            <w:r w:rsidRPr="00A52F3A">
              <w:rPr>
                <w:rStyle w:val="Hyperlink"/>
                <w:rFonts w:cs="Arial"/>
                <w:noProof/>
              </w:rPr>
              <w:t>Rights of Specific Performance.</w:t>
            </w:r>
            <w:r>
              <w:rPr>
                <w:noProof/>
                <w:webHidden/>
              </w:rPr>
              <w:tab/>
            </w:r>
            <w:r>
              <w:rPr>
                <w:noProof/>
                <w:webHidden/>
              </w:rPr>
              <w:fldChar w:fldCharType="begin"/>
            </w:r>
            <w:r>
              <w:rPr>
                <w:noProof/>
                <w:webHidden/>
              </w:rPr>
              <w:instrText xml:space="preserve"> PAGEREF _Toc227451591 \h </w:instrText>
            </w:r>
            <w:r>
              <w:rPr>
                <w:noProof/>
                <w:webHidden/>
              </w:rPr>
            </w:r>
            <w:r>
              <w:rPr>
                <w:noProof/>
                <w:webHidden/>
              </w:rPr>
              <w:fldChar w:fldCharType="separate"/>
            </w:r>
            <w:r>
              <w:rPr>
                <w:noProof/>
                <w:webHidden/>
              </w:rPr>
              <w:t>62</w:t>
            </w:r>
            <w:r>
              <w:rPr>
                <w:noProof/>
                <w:webHidden/>
              </w:rPr>
              <w:fldChar w:fldCharType="end"/>
            </w:r>
          </w:hyperlink>
        </w:p>
        <w:p w:rsidR="00E94928" w:rsidRDefault="00E94928" w14:paraId="0757F7DE" w14:textId="60F650C8">
          <w:pPr>
            <w:pStyle w:val="TOC2"/>
            <w:rPr>
              <w:rFonts w:asciiTheme="minorHAnsi" w:hAnsiTheme="minorHAnsi" w:eastAsiaTheme="minorEastAsia"/>
              <w:noProof/>
              <w:kern w:val="2"/>
              <w:sz w:val="24"/>
              <w:szCs w:val="24"/>
              <w14:ligatures w14:val="standardContextual"/>
            </w:rPr>
          </w:pPr>
          <w:hyperlink w:history="1" w:anchor="_Toc227451592">
            <w:r w:rsidRPr="00A52F3A">
              <w:rPr>
                <w:rStyle w:val="Hyperlink"/>
                <w:rFonts w:cs="Arial"/>
                <w:noProof/>
                <w:specVanish/>
              </w:rPr>
              <w:t>16.5</w:t>
            </w:r>
            <w:r>
              <w:rPr>
                <w:rFonts w:asciiTheme="minorHAnsi" w:hAnsiTheme="minorHAnsi" w:eastAsiaTheme="minorEastAsia"/>
                <w:noProof/>
                <w:kern w:val="2"/>
                <w:sz w:val="24"/>
                <w:szCs w:val="24"/>
                <w14:ligatures w14:val="standardContextual"/>
              </w:rPr>
              <w:tab/>
            </w:r>
            <w:r w:rsidRPr="00A52F3A">
              <w:rPr>
                <w:rStyle w:val="Hyperlink"/>
                <w:rFonts w:cs="Arial"/>
                <w:noProof/>
              </w:rPr>
              <w:t>Limitation of Remedies, Liability, and Damages.</w:t>
            </w:r>
            <w:r>
              <w:rPr>
                <w:noProof/>
                <w:webHidden/>
              </w:rPr>
              <w:tab/>
            </w:r>
            <w:r>
              <w:rPr>
                <w:noProof/>
                <w:webHidden/>
              </w:rPr>
              <w:fldChar w:fldCharType="begin"/>
            </w:r>
            <w:r>
              <w:rPr>
                <w:noProof/>
                <w:webHidden/>
              </w:rPr>
              <w:instrText xml:space="preserve"> PAGEREF _Toc227451592 \h </w:instrText>
            </w:r>
            <w:r>
              <w:rPr>
                <w:noProof/>
                <w:webHidden/>
              </w:rPr>
            </w:r>
            <w:r>
              <w:rPr>
                <w:noProof/>
                <w:webHidden/>
              </w:rPr>
              <w:fldChar w:fldCharType="separate"/>
            </w:r>
            <w:r>
              <w:rPr>
                <w:noProof/>
                <w:webHidden/>
              </w:rPr>
              <w:t>62</w:t>
            </w:r>
            <w:r>
              <w:rPr>
                <w:noProof/>
                <w:webHidden/>
              </w:rPr>
              <w:fldChar w:fldCharType="end"/>
            </w:r>
          </w:hyperlink>
        </w:p>
        <w:p w:rsidR="00E94928" w:rsidRDefault="00E94928" w14:paraId="54CCAB2E" w14:textId="03EF3E88">
          <w:pPr>
            <w:pStyle w:val="TOC2"/>
            <w:rPr>
              <w:rFonts w:asciiTheme="minorHAnsi" w:hAnsiTheme="minorHAnsi" w:eastAsiaTheme="minorEastAsia"/>
              <w:noProof/>
              <w:kern w:val="2"/>
              <w:sz w:val="24"/>
              <w:szCs w:val="24"/>
              <w14:ligatures w14:val="standardContextual"/>
            </w:rPr>
          </w:pPr>
          <w:hyperlink w:history="1" w:anchor="_Toc227451593">
            <w:r w:rsidRPr="00A52F3A">
              <w:rPr>
                <w:rStyle w:val="Hyperlink"/>
                <w:noProof/>
                <w:specVanish/>
              </w:rPr>
              <w:t>16.6</w:t>
            </w:r>
            <w:r>
              <w:rPr>
                <w:rFonts w:asciiTheme="minorHAnsi" w:hAnsiTheme="minorHAnsi" w:eastAsiaTheme="minorEastAsia"/>
                <w:noProof/>
                <w:kern w:val="2"/>
                <w:sz w:val="24"/>
                <w:szCs w:val="24"/>
                <w14:ligatures w14:val="standardContextual"/>
              </w:rPr>
              <w:tab/>
            </w:r>
            <w:r w:rsidRPr="00A52F3A">
              <w:rPr>
                <w:rStyle w:val="Hyperlink"/>
                <w:noProof/>
              </w:rPr>
              <w:t>Waiver of Consequential Damages.</w:t>
            </w:r>
            <w:r>
              <w:rPr>
                <w:noProof/>
                <w:webHidden/>
              </w:rPr>
              <w:tab/>
            </w:r>
            <w:r>
              <w:rPr>
                <w:noProof/>
                <w:webHidden/>
              </w:rPr>
              <w:fldChar w:fldCharType="begin"/>
            </w:r>
            <w:r>
              <w:rPr>
                <w:noProof/>
                <w:webHidden/>
              </w:rPr>
              <w:instrText xml:space="preserve"> PAGEREF _Toc227451593 \h </w:instrText>
            </w:r>
            <w:r>
              <w:rPr>
                <w:noProof/>
                <w:webHidden/>
              </w:rPr>
            </w:r>
            <w:r>
              <w:rPr>
                <w:noProof/>
                <w:webHidden/>
              </w:rPr>
              <w:fldChar w:fldCharType="separate"/>
            </w:r>
            <w:r>
              <w:rPr>
                <w:noProof/>
                <w:webHidden/>
              </w:rPr>
              <w:t>62</w:t>
            </w:r>
            <w:r>
              <w:rPr>
                <w:noProof/>
                <w:webHidden/>
              </w:rPr>
              <w:fldChar w:fldCharType="end"/>
            </w:r>
          </w:hyperlink>
        </w:p>
        <w:p w:rsidR="00E94928" w:rsidRDefault="00E94928" w14:paraId="4ACFF201" w14:textId="573BF39F">
          <w:pPr>
            <w:pStyle w:val="TOC2"/>
            <w:rPr>
              <w:rFonts w:asciiTheme="minorHAnsi" w:hAnsiTheme="minorHAnsi" w:eastAsiaTheme="minorEastAsia"/>
              <w:noProof/>
              <w:kern w:val="2"/>
              <w:sz w:val="24"/>
              <w:szCs w:val="24"/>
              <w14:ligatures w14:val="standardContextual"/>
            </w:rPr>
          </w:pPr>
          <w:hyperlink w:history="1" w:anchor="_Toc227451594">
            <w:r w:rsidRPr="00A52F3A">
              <w:rPr>
                <w:rStyle w:val="Hyperlink"/>
                <w:noProof/>
                <w:specVanish/>
              </w:rPr>
              <w:t>16.7</w:t>
            </w:r>
            <w:r>
              <w:rPr>
                <w:rFonts w:asciiTheme="minorHAnsi" w:hAnsiTheme="minorHAnsi" w:eastAsiaTheme="minorEastAsia"/>
                <w:noProof/>
                <w:kern w:val="2"/>
                <w:sz w:val="24"/>
                <w:szCs w:val="24"/>
                <w14:ligatures w14:val="standardContextual"/>
              </w:rPr>
              <w:tab/>
            </w:r>
            <w:r w:rsidRPr="00A52F3A">
              <w:rPr>
                <w:rStyle w:val="Hyperlink"/>
                <w:noProof/>
              </w:rPr>
              <w:t>Disclaimer of Warranties.</w:t>
            </w:r>
            <w:r>
              <w:rPr>
                <w:noProof/>
                <w:webHidden/>
              </w:rPr>
              <w:tab/>
            </w:r>
            <w:r>
              <w:rPr>
                <w:noProof/>
                <w:webHidden/>
              </w:rPr>
              <w:fldChar w:fldCharType="begin"/>
            </w:r>
            <w:r>
              <w:rPr>
                <w:noProof/>
                <w:webHidden/>
              </w:rPr>
              <w:instrText xml:space="preserve"> PAGEREF _Toc227451594 \h </w:instrText>
            </w:r>
            <w:r>
              <w:rPr>
                <w:noProof/>
                <w:webHidden/>
              </w:rPr>
            </w:r>
            <w:r>
              <w:rPr>
                <w:noProof/>
                <w:webHidden/>
              </w:rPr>
              <w:fldChar w:fldCharType="separate"/>
            </w:r>
            <w:r>
              <w:rPr>
                <w:noProof/>
                <w:webHidden/>
              </w:rPr>
              <w:t>63</w:t>
            </w:r>
            <w:r>
              <w:rPr>
                <w:noProof/>
                <w:webHidden/>
              </w:rPr>
              <w:fldChar w:fldCharType="end"/>
            </w:r>
          </w:hyperlink>
        </w:p>
        <w:p w:rsidR="00E94928" w:rsidRDefault="00E94928" w14:paraId="2683F897" w14:textId="75899608">
          <w:pPr>
            <w:pStyle w:val="TOC2"/>
            <w:rPr>
              <w:rFonts w:asciiTheme="minorHAnsi" w:hAnsiTheme="minorHAnsi" w:eastAsiaTheme="minorEastAsia"/>
              <w:noProof/>
              <w:kern w:val="2"/>
              <w:sz w:val="24"/>
              <w:szCs w:val="24"/>
              <w14:ligatures w14:val="standardContextual"/>
            </w:rPr>
          </w:pPr>
          <w:hyperlink w:history="1" w:anchor="_Toc227451595">
            <w:r w:rsidRPr="00A52F3A">
              <w:rPr>
                <w:rStyle w:val="Hyperlink"/>
                <w:noProof/>
                <w:specVanish/>
              </w:rPr>
              <w:t>16.8</w:t>
            </w:r>
            <w:r>
              <w:rPr>
                <w:rFonts w:asciiTheme="minorHAnsi" w:hAnsiTheme="minorHAnsi" w:eastAsiaTheme="minorEastAsia"/>
                <w:noProof/>
                <w:kern w:val="2"/>
                <w:sz w:val="24"/>
                <w:szCs w:val="24"/>
                <w14:ligatures w14:val="standardContextual"/>
              </w:rPr>
              <w:tab/>
            </w:r>
            <w:r w:rsidRPr="00A52F3A">
              <w:rPr>
                <w:rStyle w:val="Hyperlink"/>
                <w:noProof/>
              </w:rPr>
              <w:t>No Interruption.</w:t>
            </w:r>
            <w:r>
              <w:rPr>
                <w:noProof/>
                <w:webHidden/>
              </w:rPr>
              <w:tab/>
            </w:r>
            <w:r>
              <w:rPr>
                <w:noProof/>
                <w:webHidden/>
              </w:rPr>
              <w:fldChar w:fldCharType="begin"/>
            </w:r>
            <w:r>
              <w:rPr>
                <w:noProof/>
                <w:webHidden/>
              </w:rPr>
              <w:instrText xml:space="preserve"> PAGEREF _Toc227451595 \h </w:instrText>
            </w:r>
            <w:r>
              <w:rPr>
                <w:noProof/>
                <w:webHidden/>
              </w:rPr>
            </w:r>
            <w:r>
              <w:rPr>
                <w:noProof/>
                <w:webHidden/>
              </w:rPr>
              <w:fldChar w:fldCharType="separate"/>
            </w:r>
            <w:r>
              <w:rPr>
                <w:noProof/>
                <w:webHidden/>
              </w:rPr>
              <w:t>63</w:t>
            </w:r>
            <w:r>
              <w:rPr>
                <w:noProof/>
                <w:webHidden/>
              </w:rPr>
              <w:fldChar w:fldCharType="end"/>
            </w:r>
          </w:hyperlink>
        </w:p>
        <w:p w:rsidR="00E94928" w:rsidRDefault="00E94928" w14:paraId="2FE485BC" w14:textId="4D8B3F38">
          <w:pPr>
            <w:pStyle w:val="TOC2"/>
            <w:rPr>
              <w:rFonts w:asciiTheme="minorHAnsi" w:hAnsiTheme="minorHAnsi" w:eastAsiaTheme="minorEastAsia"/>
              <w:noProof/>
              <w:kern w:val="2"/>
              <w:sz w:val="24"/>
              <w:szCs w:val="24"/>
              <w14:ligatures w14:val="standardContextual"/>
            </w:rPr>
          </w:pPr>
          <w:hyperlink w:history="1" w:anchor="_Toc227451596">
            <w:r w:rsidRPr="00A52F3A">
              <w:rPr>
                <w:rStyle w:val="Hyperlink"/>
                <w:noProof/>
                <w:specVanish/>
              </w:rPr>
              <w:t>16.9</w:t>
            </w:r>
            <w:r>
              <w:rPr>
                <w:rFonts w:asciiTheme="minorHAnsi" w:hAnsiTheme="minorHAnsi" w:eastAsiaTheme="minorEastAsia"/>
                <w:noProof/>
                <w:kern w:val="2"/>
                <w:sz w:val="24"/>
                <w:szCs w:val="24"/>
                <w14:ligatures w14:val="standardContextual"/>
              </w:rPr>
              <w:tab/>
            </w:r>
            <w:r w:rsidRPr="00A52F3A">
              <w:rPr>
                <w:rStyle w:val="Hyperlink"/>
                <w:noProof/>
              </w:rPr>
              <w:t>Duty to Mitigate.</w:t>
            </w:r>
            <w:r>
              <w:rPr>
                <w:noProof/>
                <w:webHidden/>
              </w:rPr>
              <w:tab/>
            </w:r>
            <w:r>
              <w:rPr>
                <w:noProof/>
                <w:webHidden/>
              </w:rPr>
              <w:fldChar w:fldCharType="begin"/>
            </w:r>
            <w:r>
              <w:rPr>
                <w:noProof/>
                <w:webHidden/>
              </w:rPr>
              <w:instrText xml:space="preserve"> PAGEREF _Toc227451596 \h </w:instrText>
            </w:r>
            <w:r>
              <w:rPr>
                <w:noProof/>
                <w:webHidden/>
              </w:rPr>
            </w:r>
            <w:r>
              <w:rPr>
                <w:noProof/>
                <w:webHidden/>
              </w:rPr>
              <w:fldChar w:fldCharType="separate"/>
            </w:r>
            <w:r>
              <w:rPr>
                <w:noProof/>
                <w:webHidden/>
              </w:rPr>
              <w:t>63</w:t>
            </w:r>
            <w:r>
              <w:rPr>
                <w:noProof/>
                <w:webHidden/>
              </w:rPr>
              <w:fldChar w:fldCharType="end"/>
            </w:r>
          </w:hyperlink>
        </w:p>
        <w:p w:rsidR="00E94928" w:rsidRDefault="00E94928" w14:paraId="6CEB3EB5" w14:textId="47B1D272">
          <w:pPr>
            <w:pStyle w:val="TOC1"/>
            <w:rPr>
              <w:rFonts w:asciiTheme="minorHAnsi" w:hAnsiTheme="minorHAnsi" w:eastAsiaTheme="minorEastAsia" w:cstheme="minorBidi"/>
              <w:b w:val="0"/>
              <w:caps w:val="0"/>
              <w:noProof/>
              <w:kern w:val="2"/>
              <w:sz w:val="24"/>
              <w:szCs w:val="24"/>
              <w14:ligatures w14:val="standardContextual"/>
            </w:rPr>
          </w:pPr>
          <w:hyperlink w:history="1" w:anchor="_Toc227451597">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17</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Compliance with Laws</w:t>
            </w:r>
            <w:r>
              <w:rPr>
                <w:noProof/>
                <w:webHidden/>
              </w:rPr>
              <w:tab/>
            </w:r>
            <w:r>
              <w:rPr>
                <w:noProof/>
                <w:webHidden/>
              </w:rPr>
              <w:fldChar w:fldCharType="begin"/>
            </w:r>
            <w:r>
              <w:rPr>
                <w:noProof/>
                <w:webHidden/>
              </w:rPr>
              <w:instrText xml:space="preserve"> PAGEREF _Toc227451597 \h </w:instrText>
            </w:r>
            <w:r>
              <w:rPr>
                <w:noProof/>
                <w:webHidden/>
              </w:rPr>
            </w:r>
            <w:r>
              <w:rPr>
                <w:noProof/>
                <w:webHidden/>
              </w:rPr>
              <w:fldChar w:fldCharType="separate"/>
            </w:r>
            <w:r>
              <w:rPr>
                <w:noProof/>
                <w:webHidden/>
              </w:rPr>
              <w:t>63</w:t>
            </w:r>
            <w:r>
              <w:rPr>
                <w:noProof/>
                <w:webHidden/>
              </w:rPr>
              <w:fldChar w:fldCharType="end"/>
            </w:r>
          </w:hyperlink>
        </w:p>
        <w:p w:rsidR="00E94928" w:rsidRDefault="00E94928" w14:paraId="17D1958D" w14:textId="2A03A2A9">
          <w:pPr>
            <w:pStyle w:val="TOC2"/>
            <w:rPr>
              <w:rFonts w:asciiTheme="minorHAnsi" w:hAnsiTheme="minorHAnsi" w:eastAsiaTheme="minorEastAsia"/>
              <w:noProof/>
              <w:kern w:val="2"/>
              <w:sz w:val="24"/>
              <w:szCs w:val="24"/>
              <w14:ligatures w14:val="standardContextual"/>
            </w:rPr>
          </w:pPr>
          <w:hyperlink w:history="1" w:anchor="_Toc227451598">
            <w:r w:rsidRPr="00A52F3A">
              <w:rPr>
                <w:rStyle w:val="Hyperlink"/>
                <w:noProof/>
                <w:specVanish/>
              </w:rPr>
              <w:t>17.1</w:t>
            </w:r>
            <w:r>
              <w:rPr>
                <w:rFonts w:asciiTheme="minorHAnsi" w:hAnsiTheme="minorHAnsi" w:eastAsiaTheme="minorEastAsia"/>
                <w:noProof/>
                <w:kern w:val="2"/>
                <w:sz w:val="24"/>
                <w:szCs w:val="24"/>
                <w14:ligatures w14:val="standardContextual"/>
              </w:rPr>
              <w:tab/>
            </w:r>
            <w:r w:rsidRPr="00A52F3A">
              <w:rPr>
                <w:rStyle w:val="Hyperlink"/>
                <w:noProof/>
              </w:rPr>
              <w:t>Change of Law.</w:t>
            </w:r>
            <w:r>
              <w:rPr>
                <w:noProof/>
                <w:webHidden/>
              </w:rPr>
              <w:tab/>
            </w:r>
            <w:r>
              <w:rPr>
                <w:noProof/>
                <w:webHidden/>
              </w:rPr>
              <w:fldChar w:fldCharType="begin"/>
            </w:r>
            <w:r>
              <w:rPr>
                <w:noProof/>
                <w:webHidden/>
              </w:rPr>
              <w:instrText xml:space="preserve"> PAGEREF _Toc227451598 \h </w:instrText>
            </w:r>
            <w:r>
              <w:rPr>
                <w:noProof/>
                <w:webHidden/>
              </w:rPr>
            </w:r>
            <w:r>
              <w:rPr>
                <w:noProof/>
                <w:webHidden/>
              </w:rPr>
              <w:fldChar w:fldCharType="separate"/>
            </w:r>
            <w:r>
              <w:rPr>
                <w:noProof/>
                <w:webHidden/>
              </w:rPr>
              <w:t>63</w:t>
            </w:r>
            <w:r>
              <w:rPr>
                <w:noProof/>
                <w:webHidden/>
              </w:rPr>
              <w:fldChar w:fldCharType="end"/>
            </w:r>
          </w:hyperlink>
        </w:p>
        <w:p w:rsidR="00E94928" w:rsidRDefault="00E94928" w14:paraId="5E62F5FF" w14:textId="2C6C9697">
          <w:pPr>
            <w:pStyle w:val="TOC2"/>
            <w:rPr>
              <w:rFonts w:asciiTheme="minorHAnsi" w:hAnsiTheme="minorHAnsi" w:eastAsiaTheme="minorEastAsia"/>
              <w:noProof/>
              <w:kern w:val="2"/>
              <w:sz w:val="24"/>
              <w:szCs w:val="24"/>
              <w14:ligatures w14:val="standardContextual"/>
            </w:rPr>
          </w:pPr>
          <w:hyperlink w:history="1" w:anchor="_Toc227451599">
            <w:r w:rsidRPr="00A52F3A">
              <w:rPr>
                <w:rStyle w:val="Hyperlink"/>
                <w:noProof/>
                <w:specVanish/>
              </w:rPr>
              <w:t>17.2</w:t>
            </w:r>
            <w:r>
              <w:rPr>
                <w:rFonts w:asciiTheme="minorHAnsi" w:hAnsiTheme="minorHAnsi" w:eastAsiaTheme="minorEastAsia"/>
                <w:noProof/>
                <w:kern w:val="2"/>
                <w:sz w:val="24"/>
                <w:szCs w:val="24"/>
                <w14:ligatures w14:val="standardContextual"/>
              </w:rPr>
              <w:tab/>
            </w:r>
            <w:r w:rsidRPr="00A52F3A">
              <w:rPr>
                <w:rStyle w:val="Hyperlink"/>
                <w:noProof/>
              </w:rPr>
              <w:t>No Dedication.</w:t>
            </w:r>
            <w:r>
              <w:rPr>
                <w:noProof/>
                <w:webHidden/>
              </w:rPr>
              <w:tab/>
            </w:r>
            <w:r>
              <w:rPr>
                <w:noProof/>
                <w:webHidden/>
              </w:rPr>
              <w:fldChar w:fldCharType="begin"/>
            </w:r>
            <w:r>
              <w:rPr>
                <w:noProof/>
                <w:webHidden/>
              </w:rPr>
              <w:instrText xml:space="preserve"> PAGEREF _Toc227451599 \h </w:instrText>
            </w:r>
            <w:r>
              <w:rPr>
                <w:noProof/>
                <w:webHidden/>
              </w:rPr>
            </w:r>
            <w:r>
              <w:rPr>
                <w:noProof/>
                <w:webHidden/>
              </w:rPr>
              <w:fldChar w:fldCharType="separate"/>
            </w:r>
            <w:r>
              <w:rPr>
                <w:noProof/>
                <w:webHidden/>
              </w:rPr>
              <w:t>70</w:t>
            </w:r>
            <w:r>
              <w:rPr>
                <w:noProof/>
                <w:webHidden/>
              </w:rPr>
              <w:fldChar w:fldCharType="end"/>
            </w:r>
          </w:hyperlink>
        </w:p>
        <w:p w:rsidR="00E94928" w:rsidRDefault="00E94928" w14:paraId="1584252F" w14:textId="2FCDA5DB">
          <w:pPr>
            <w:pStyle w:val="TOC2"/>
            <w:rPr>
              <w:rFonts w:asciiTheme="minorHAnsi" w:hAnsiTheme="minorHAnsi" w:eastAsiaTheme="minorEastAsia"/>
              <w:noProof/>
              <w:kern w:val="2"/>
              <w:sz w:val="24"/>
              <w:szCs w:val="24"/>
              <w14:ligatures w14:val="standardContextual"/>
            </w:rPr>
          </w:pPr>
          <w:hyperlink w:history="1" w:anchor="_Toc227451600">
            <w:r w:rsidRPr="00A52F3A">
              <w:rPr>
                <w:rStyle w:val="Hyperlink"/>
                <w:rFonts w:cs="Arial"/>
                <w:noProof/>
                <w:specVanish/>
              </w:rPr>
              <w:t>17.3</w:t>
            </w:r>
            <w:r>
              <w:rPr>
                <w:rFonts w:asciiTheme="minorHAnsi" w:hAnsiTheme="minorHAnsi" w:eastAsiaTheme="minorEastAsia"/>
                <w:noProof/>
                <w:kern w:val="2"/>
                <w:sz w:val="24"/>
                <w:szCs w:val="24"/>
                <w14:ligatures w14:val="standardContextual"/>
              </w:rPr>
              <w:tab/>
            </w:r>
            <w:r w:rsidRPr="00A52F3A">
              <w:rPr>
                <w:rStyle w:val="Hyperlink"/>
                <w:noProof/>
              </w:rPr>
              <w:t>Compliance.</w:t>
            </w:r>
            <w:r>
              <w:rPr>
                <w:noProof/>
                <w:webHidden/>
              </w:rPr>
              <w:tab/>
            </w:r>
            <w:r>
              <w:rPr>
                <w:noProof/>
                <w:webHidden/>
              </w:rPr>
              <w:fldChar w:fldCharType="begin"/>
            </w:r>
            <w:r>
              <w:rPr>
                <w:noProof/>
                <w:webHidden/>
              </w:rPr>
              <w:instrText xml:space="preserve"> PAGEREF _Toc227451600 \h </w:instrText>
            </w:r>
            <w:r>
              <w:rPr>
                <w:noProof/>
                <w:webHidden/>
              </w:rPr>
            </w:r>
            <w:r>
              <w:rPr>
                <w:noProof/>
                <w:webHidden/>
              </w:rPr>
              <w:fldChar w:fldCharType="separate"/>
            </w:r>
            <w:r>
              <w:rPr>
                <w:noProof/>
                <w:webHidden/>
              </w:rPr>
              <w:t>70</w:t>
            </w:r>
            <w:r>
              <w:rPr>
                <w:noProof/>
                <w:webHidden/>
              </w:rPr>
              <w:fldChar w:fldCharType="end"/>
            </w:r>
          </w:hyperlink>
        </w:p>
        <w:p w:rsidR="00E94928" w:rsidRDefault="00E94928" w14:paraId="099344FC" w14:textId="37AA8EBF">
          <w:pPr>
            <w:pStyle w:val="TOC2"/>
            <w:rPr>
              <w:rFonts w:asciiTheme="minorHAnsi" w:hAnsiTheme="minorHAnsi" w:eastAsiaTheme="minorEastAsia"/>
              <w:noProof/>
              <w:kern w:val="2"/>
              <w:sz w:val="24"/>
              <w:szCs w:val="24"/>
              <w14:ligatures w14:val="standardContextual"/>
            </w:rPr>
          </w:pPr>
          <w:hyperlink w:history="1" w:anchor="_Toc227451601">
            <w:r w:rsidRPr="00A52F3A">
              <w:rPr>
                <w:rStyle w:val="Hyperlink"/>
                <w:rFonts w:cs="Arial"/>
                <w:noProof/>
                <w:specVanish/>
              </w:rPr>
              <w:t>17.4</w:t>
            </w:r>
            <w:r>
              <w:rPr>
                <w:rFonts w:asciiTheme="minorHAnsi" w:hAnsiTheme="minorHAnsi" w:eastAsiaTheme="minorEastAsia"/>
                <w:noProof/>
                <w:kern w:val="2"/>
                <w:sz w:val="24"/>
                <w:szCs w:val="24"/>
                <w14:ligatures w14:val="standardContextual"/>
              </w:rPr>
              <w:tab/>
            </w:r>
            <w:r w:rsidRPr="00A52F3A">
              <w:rPr>
                <w:rStyle w:val="Hyperlink"/>
                <w:noProof/>
              </w:rPr>
              <w:t>Environmental Compliance.</w:t>
            </w:r>
            <w:r>
              <w:rPr>
                <w:noProof/>
                <w:webHidden/>
              </w:rPr>
              <w:tab/>
            </w:r>
            <w:r>
              <w:rPr>
                <w:noProof/>
                <w:webHidden/>
              </w:rPr>
              <w:fldChar w:fldCharType="begin"/>
            </w:r>
            <w:r>
              <w:rPr>
                <w:noProof/>
                <w:webHidden/>
              </w:rPr>
              <w:instrText xml:space="preserve"> PAGEREF _Toc227451601 \h </w:instrText>
            </w:r>
            <w:r>
              <w:rPr>
                <w:noProof/>
                <w:webHidden/>
              </w:rPr>
            </w:r>
            <w:r>
              <w:rPr>
                <w:noProof/>
                <w:webHidden/>
              </w:rPr>
              <w:fldChar w:fldCharType="separate"/>
            </w:r>
            <w:r>
              <w:rPr>
                <w:noProof/>
                <w:webHidden/>
              </w:rPr>
              <w:t>70</w:t>
            </w:r>
            <w:r>
              <w:rPr>
                <w:noProof/>
                <w:webHidden/>
              </w:rPr>
              <w:fldChar w:fldCharType="end"/>
            </w:r>
          </w:hyperlink>
        </w:p>
        <w:p w:rsidR="00E94928" w:rsidRDefault="00E94928" w14:paraId="71CA20E8" w14:textId="30D68D06">
          <w:pPr>
            <w:pStyle w:val="TOC2"/>
            <w:rPr>
              <w:rFonts w:asciiTheme="minorHAnsi" w:hAnsiTheme="minorHAnsi" w:eastAsiaTheme="minorEastAsia"/>
              <w:noProof/>
              <w:kern w:val="2"/>
              <w:sz w:val="24"/>
              <w:szCs w:val="24"/>
              <w14:ligatures w14:val="standardContextual"/>
            </w:rPr>
          </w:pPr>
          <w:hyperlink w:history="1" w:anchor="_Toc227451602">
            <w:r w:rsidRPr="00A52F3A">
              <w:rPr>
                <w:rStyle w:val="Hyperlink"/>
                <w:rFonts w:cs="Arial"/>
                <w:noProof/>
                <w:specVanish/>
              </w:rPr>
              <w:t>17.5</w:t>
            </w:r>
            <w:r>
              <w:rPr>
                <w:rFonts w:asciiTheme="minorHAnsi" w:hAnsiTheme="minorHAnsi" w:eastAsiaTheme="minorEastAsia"/>
                <w:noProof/>
                <w:kern w:val="2"/>
                <w:sz w:val="24"/>
                <w:szCs w:val="24"/>
                <w14:ligatures w14:val="standardContextual"/>
              </w:rPr>
              <w:tab/>
            </w:r>
            <w:r w:rsidRPr="00A52F3A">
              <w:rPr>
                <w:rStyle w:val="Hyperlink"/>
                <w:noProof/>
              </w:rPr>
              <w:t>Wildlife.</w:t>
            </w:r>
            <w:r>
              <w:rPr>
                <w:noProof/>
                <w:webHidden/>
              </w:rPr>
              <w:tab/>
            </w:r>
            <w:r>
              <w:rPr>
                <w:noProof/>
                <w:webHidden/>
              </w:rPr>
              <w:fldChar w:fldCharType="begin"/>
            </w:r>
            <w:r>
              <w:rPr>
                <w:noProof/>
                <w:webHidden/>
              </w:rPr>
              <w:instrText xml:space="preserve"> PAGEREF _Toc227451602 \h </w:instrText>
            </w:r>
            <w:r>
              <w:rPr>
                <w:noProof/>
                <w:webHidden/>
              </w:rPr>
            </w:r>
            <w:r>
              <w:rPr>
                <w:noProof/>
                <w:webHidden/>
              </w:rPr>
              <w:fldChar w:fldCharType="separate"/>
            </w:r>
            <w:r>
              <w:rPr>
                <w:noProof/>
                <w:webHidden/>
              </w:rPr>
              <w:t>72</w:t>
            </w:r>
            <w:r>
              <w:rPr>
                <w:noProof/>
                <w:webHidden/>
              </w:rPr>
              <w:fldChar w:fldCharType="end"/>
            </w:r>
          </w:hyperlink>
        </w:p>
        <w:p w:rsidR="00E94928" w:rsidRDefault="00E94928" w14:paraId="725D484F" w14:textId="6737733C">
          <w:pPr>
            <w:pStyle w:val="TOC2"/>
            <w:rPr>
              <w:rFonts w:asciiTheme="minorHAnsi" w:hAnsiTheme="minorHAnsi" w:eastAsiaTheme="minorEastAsia"/>
              <w:noProof/>
              <w:kern w:val="2"/>
              <w:sz w:val="24"/>
              <w:szCs w:val="24"/>
              <w14:ligatures w14:val="standardContextual"/>
            </w:rPr>
          </w:pPr>
          <w:hyperlink w:history="1" w:anchor="_Toc227451603">
            <w:r w:rsidRPr="00A52F3A">
              <w:rPr>
                <w:rStyle w:val="Hyperlink"/>
                <w:noProof/>
              </w:rPr>
              <w:t>17.6</w:t>
            </w:r>
            <w:r>
              <w:rPr>
                <w:rFonts w:asciiTheme="minorHAnsi" w:hAnsiTheme="minorHAnsi" w:eastAsiaTheme="minorEastAsia"/>
                <w:noProof/>
                <w:kern w:val="2"/>
                <w:sz w:val="24"/>
                <w:szCs w:val="24"/>
                <w14:ligatures w14:val="standardContextual"/>
              </w:rPr>
              <w:tab/>
            </w:r>
            <w:r w:rsidRPr="00A52F3A">
              <w:rPr>
                <w:rStyle w:val="Hyperlink"/>
                <w:noProof/>
              </w:rPr>
              <w:t>Notices of Violations and Potential Violations; NOV Remediation Plan.</w:t>
            </w:r>
            <w:r>
              <w:rPr>
                <w:noProof/>
                <w:webHidden/>
              </w:rPr>
              <w:tab/>
            </w:r>
            <w:r>
              <w:rPr>
                <w:noProof/>
                <w:webHidden/>
              </w:rPr>
              <w:fldChar w:fldCharType="begin"/>
            </w:r>
            <w:r>
              <w:rPr>
                <w:noProof/>
                <w:webHidden/>
              </w:rPr>
              <w:instrText xml:space="preserve"> PAGEREF _Toc227451603 \h </w:instrText>
            </w:r>
            <w:r>
              <w:rPr>
                <w:noProof/>
                <w:webHidden/>
              </w:rPr>
            </w:r>
            <w:r>
              <w:rPr>
                <w:noProof/>
                <w:webHidden/>
              </w:rPr>
              <w:fldChar w:fldCharType="separate"/>
            </w:r>
            <w:r>
              <w:rPr>
                <w:noProof/>
                <w:webHidden/>
              </w:rPr>
              <w:t>72</w:t>
            </w:r>
            <w:r>
              <w:rPr>
                <w:noProof/>
                <w:webHidden/>
              </w:rPr>
              <w:fldChar w:fldCharType="end"/>
            </w:r>
          </w:hyperlink>
        </w:p>
        <w:p w:rsidR="00E94928" w:rsidRDefault="00E94928" w14:paraId="7FABEB6B" w14:textId="78549A8A">
          <w:pPr>
            <w:pStyle w:val="TOC1"/>
            <w:rPr>
              <w:rFonts w:asciiTheme="minorHAnsi" w:hAnsiTheme="minorHAnsi" w:eastAsiaTheme="minorEastAsia" w:cstheme="minorBidi"/>
              <w:b w:val="0"/>
              <w:caps w:val="0"/>
              <w:noProof/>
              <w:kern w:val="2"/>
              <w:sz w:val="24"/>
              <w:szCs w:val="24"/>
              <w14:ligatures w14:val="standardContextual"/>
            </w:rPr>
          </w:pPr>
          <w:hyperlink w:history="1" w:anchor="_Toc227451604">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18</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Assignment, Transfers, and Changes of Control</w:t>
            </w:r>
            <w:r>
              <w:rPr>
                <w:noProof/>
                <w:webHidden/>
              </w:rPr>
              <w:tab/>
            </w:r>
            <w:r>
              <w:rPr>
                <w:noProof/>
                <w:webHidden/>
              </w:rPr>
              <w:fldChar w:fldCharType="begin"/>
            </w:r>
            <w:r>
              <w:rPr>
                <w:noProof/>
                <w:webHidden/>
              </w:rPr>
              <w:instrText xml:space="preserve"> PAGEREF _Toc227451604 \h </w:instrText>
            </w:r>
            <w:r>
              <w:rPr>
                <w:noProof/>
                <w:webHidden/>
              </w:rPr>
            </w:r>
            <w:r>
              <w:rPr>
                <w:noProof/>
                <w:webHidden/>
              </w:rPr>
              <w:fldChar w:fldCharType="separate"/>
            </w:r>
            <w:r>
              <w:rPr>
                <w:noProof/>
                <w:webHidden/>
              </w:rPr>
              <w:t>72</w:t>
            </w:r>
            <w:r>
              <w:rPr>
                <w:noProof/>
                <w:webHidden/>
              </w:rPr>
              <w:fldChar w:fldCharType="end"/>
            </w:r>
          </w:hyperlink>
        </w:p>
        <w:p w:rsidR="00E94928" w:rsidRDefault="00E94928" w14:paraId="0173574B" w14:textId="48CDBD14">
          <w:pPr>
            <w:pStyle w:val="TOC2"/>
            <w:rPr>
              <w:rFonts w:asciiTheme="minorHAnsi" w:hAnsiTheme="minorHAnsi" w:eastAsiaTheme="minorEastAsia"/>
              <w:noProof/>
              <w:kern w:val="2"/>
              <w:sz w:val="24"/>
              <w:szCs w:val="24"/>
              <w14:ligatures w14:val="standardContextual"/>
            </w:rPr>
          </w:pPr>
          <w:hyperlink w:history="1" w:anchor="_Toc227451605">
            <w:r w:rsidRPr="00A52F3A">
              <w:rPr>
                <w:rStyle w:val="Hyperlink"/>
                <w:noProof/>
                <w:specVanish/>
              </w:rPr>
              <w:t>18.1</w:t>
            </w:r>
            <w:r>
              <w:rPr>
                <w:rFonts w:asciiTheme="minorHAnsi" w:hAnsiTheme="minorHAnsi" w:eastAsiaTheme="minorEastAsia"/>
                <w:noProof/>
                <w:kern w:val="2"/>
                <w:sz w:val="24"/>
                <w:szCs w:val="24"/>
                <w14:ligatures w14:val="standardContextual"/>
              </w:rPr>
              <w:tab/>
            </w:r>
            <w:r w:rsidRPr="00A52F3A">
              <w:rPr>
                <w:rStyle w:val="Hyperlink"/>
                <w:noProof/>
              </w:rPr>
              <w:t>Assignment, Transfers, and Changes of Control.</w:t>
            </w:r>
            <w:r>
              <w:rPr>
                <w:noProof/>
                <w:webHidden/>
              </w:rPr>
              <w:tab/>
            </w:r>
            <w:r>
              <w:rPr>
                <w:noProof/>
                <w:webHidden/>
              </w:rPr>
              <w:fldChar w:fldCharType="begin"/>
            </w:r>
            <w:r>
              <w:rPr>
                <w:noProof/>
                <w:webHidden/>
              </w:rPr>
              <w:instrText xml:space="preserve"> PAGEREF _Toc227451605 \h </w:instrText>
            </w:r>
            <w:r>
              <w:rPr>
                <w:noProof/>
                <w:webHidden/>
              </w:rPr>
            </w:r>
            <w:r>
              <w:rPr>
                <w:noProof/>
                <w:webHidden/>
              </w:rPr>
              <w:fldChar w:fldCharType="separate"/>
            </w:r>
            <w:r>
              <w:rPr>
                <w:noProof/>
                <w:webHidden/>
              </w:rPr>
              <w:t>72</w:t>
            </w:r>
            <w:r>
              <w:rPr>
                <w:noProof/>
                <w:webHidden/>
              </w:rPr>
              <w:fldChar w:fldCharType="end"/>
            </w:r>
          </w:hyperlink>
        </w:p>
        <w:p w:rsidR="00E94928" w:rsidRDefault="00E94928" w14:paraId="40E88F9E" w14:textId="5DCFD850">
          <w:pPr>
            <w:pStyle w:val="TOC2"/>
            <w:rPr>
              <w:rFonts w:asciiTheme="minorHAnsi" w:hAnsiTheme="minorHAnsi" w:eastAsiaTheme="minorEastAsia"/>
              <w:noProof/>
              <w:kern w:val="2"/>
              <w:sz w:val="24"/>
              <w:szCs w:val="24"/>
              <w14:ligatures w14:val="standardContextual"/>
            </w:rPr>
          </w:pPr>
          <w:hyperlink w:history="1" w:anchor="_Toc227451606">
            <w:r w:rsidRPr="00A52F3A">
              <w:rPr>
                <w:rStyle w:val="Hyperlink"/>
                <w:noProof/>
                <w:specVanish/>
              </w:rPr>
              <w:t>18.2</w:t>
            </w:r>
            <w:r>
              <w:rPr>
                <w:rFonts w:asciiTheme="minorHAnsi" w:hAnsiTheme="minorHAnsi" w:eastAsiaTheme="minorEastAsia"/>
                <w:noProof/>
                <w:kern w:val="2"/>
                <w:sz w:val="24"/>
                <w:szCs w:val="24"/>
                <w14:ligatures w14:val="standardContextual"/>
              </w:rPr>
              <w:tab/>
            </w:r>
            <w:r w:rsidRPr="00A52F3A">
              <w:rPr>
                <w:rStyle w:val="Hyperlink"/>
                <w:noProof/>
              </w:rPr>
              <w:t>Financing Assignment; Estoppels.</w:t>
            </w:r>
            <w:r>
              <w:rPr>
                <w:noProof/>
                <w:webHidden/>
              </w:rPr>
              <w:tab/>
            </w:r>
            <w:r>
              <w:rPr>
                <w:noProof/>
                <w:webHidden/>
              </w:rPr>
              <w:fldChar w:fldCharType="begin"/>
            </w:r>
            <w:r>
              <w:rPr>
                <w:noProof/>
                <w:webHidden/>
              </w:rPr>
              <w:instrText xml:space="preserve"> PAGEREF _Toc227451606 \h </w:instrText>
            </w:r>
            <w:r>
              <w:rPr>
                <w:noProof/>
                <w:webHidden/>
              </w:rPr>
            </w:r>
            <w:r>
              <w:rPr>
                <w:noProof/>
                <w:webHidden/>
              </w:rPr>
              <w:fldChar w:fldCharType="separate"/>
            </w:r>
            <w:r>
              <w:rPr>
                <w:noProof/>
                <w:webHidden/>
              </w:rPr>
              <w:t>73</w:t>
            </w:r>
            <w:r>
              <w:rPr>
                <w:noProof/>
                <w:webHidden/>
              </w:rPr>
              <w:fldChar w:fldCharType="end"/>
            </w:r>
          </w:hyperlink>
        </w:p>
        <w:p w:rsidR="00E94928" w:rsidRDefault="00E94928" w14:paraId="34DA8328" w14:textId="66345EFE">
          <w:pPr>
            <w:pStyle w:val="TOC2"/>
            <w:rPr>
              <w:rFonts w:asciiTheme="minorHAnsi" w:hAnsiTheme="minorHAnsi" w:eastAsiaTheme="minorEastAsia"/>
              <w:noProof/>
              <w:kern w:val="2"/>
              <w:sz w:val="24"/>
              <w:szCs w:val="24"/>
              <w14:ligatures w14:val="standardContextual"/>
            </w:rPr>
          </w:pPr>
          <w:hyperlink w:history="1" w:anchor="_Toc227451607">
            <w:r w:rsidRPr="00A52F3A">
              <w:rPr>
                <w:rStyle w:val="Hyperlink"/>
                <w:noProof/>
                <w:specVanish/>
              </w:rPr>
              <w:t>18.3</w:t>
            </w:r>
            <w:r>
              <w:rPr>
                <w:rFonts w:asciiTheme="minorHAnsi" w:hAnsiTheme="minorHAnsi" w:eastAsiaTheme="minorEastAsia"/>
                <w:noProof/>
                <w:kern w:val="2"/>
                <w:sz w:val="24"/>
                <w:szCs w:val="24"/>
                <w14:ligatures w14:val="standardContextual"/>
              </w:rPr>
              <w:tab/>
            </w:r>
            <w:r w:rsidRPr="00A52F3A">
              <w:rPr>
                <w:rStyle w:val="Hyperlink"/>
                <w:noProof/>
              </w:rPr>
              <w:t>Reimbursement of GPC’s Costs.</w:t>
            </w:r>
            <w:r>
              <w:rPr>
                <w:noProof/>
                <w:webHidden/>
              </w:rPr>
              <w:tab/>
            </w:r>
            <w:r>
              <w:rPr>
                <w:noProof/>
                <w:webHidden/>
              </w:rPr>
              <w:fldChar w:fldCharType="begin"/>
            </w:r>
            <w:r>
              <w:rPr>
                <w:noProof/>
                <w:webHidden/>
              </w:rPr>
              <w:instrText xml:space="preserve"> PAGEREF _Toc227451607 \h </w:instrText>
            </w:r>
            <w:r>
              <w:rPr>
                <w:noProof/>
                <w:webHidden/>
              </w:rPr>
            </w:r>
            <w:r>
              <w:rPr>
                <w:noProof/>
                <w:webHidden/>
              </w:rPr>
              <w:fldChar w:fldCharType="separate"/>
            </w:r>
            <w:r>
              <w:rPr>
                <w:noProof/>
                <w:webHidden/>
              </w:rPr>
              <w:t>73</w:t>
            </w:r>
            <w:r>
              <w:rPr>
                <w:noProof/>
                <w:webHidden/>
              </w:rPr>
              <w:fldChar w:fldCharType="end"/>
            </w:r>
          </w:hyperlink>
        </w:p>
        <w:p w:rsidR="00E94928" w:rsidRDefault="00E94928" w14:paraId="3DE663E8" w14:textId="18BE3875">
          <w:pPr>
            <w:pStyle w:val="TOC2"/>
            <w:rPr>
              <w:rFonts w:asciiTheme="minorHAnsi" w:hAnsiTheme="minorHAnsi" w:eastAsiaTheme="minorEastAsia"/>
              <w:noProof/>
              <w:kern w:val="2"/>
              <w:sz w:val="24"/>
              <w:szCs w:val="24"/>
              <w14:ligatures w14:val="standardContextual"/>
            </w:rPr>
          </w:pPr>
          <w:hyperlink w:history="1" w:anchor="_Toc227451608">
            <w:r w:rsidRPr="00A52F3A">
              <w:rPr>
                <w:rStyle w:val="Hyperlink"/>
                <w:noProof/>
                <w:specVanish/>
              </w:rPr>
              <w:t>18.4</w:t>
            </w:r>
            <w:r>
              <w:rPr>
                <w:rFonts w:asciiTheme="minorHAnsi" w:hAnsiTheme="minorHAnsi" w:eastAsiaTheme="minorEastAsia"/>
                <w:noProof/>
                <w:kern w:val="2"/>
                <w:sz w:val="24"/>
                <w:szCs w:val="24"/>
                <w14:ligatures w14:val="standardContextual"/>
              </w:rPr>
              <w:tab/>
            </w:r>
            <w:r w:rsidRPr="00A52F3A">
              <w:rPr>
                <w:rStyle w:val="Hyperlink"/>
                <w:noProof/>
              </w:rPr>
              <w:t>General Requirements.</w:t>
            </w:r>
            <w:r>
              <w:rPr>
                <w:noProof/>
                <w:webHidden/>
              </w:rPr>
              <w:tab/>
            </w:r>
            <w:r>
              <w:rPr>
                <w:noProof/>
                <w:webHidden/>
              </w:rPr>
              <w:fldChar w:fldCharType="begin"/>
            </w:r>
            <w:r>
              <w:rPr>
                <w:noProof/>
                <w:webHidden/>
              </w:rPr>
              <w:instrText xml:space="preserve"> PAGEREF _Toc227451608 \h </w:instrText>
            </w:r>
            <w:r>
              <w:rPr>
                <w:noProof/>
                <w:webHidden/>
              </w:rPr>
            </w:r>
            <w:r>
              <w:rPr>
                <w:noProof/>
                <w:webHidden/>
              </w:rPr>
              <w:fldChar w:fldCharType="separate"/>
            </w:r>
            <w:r>
              <w:rPr>
                <w:noProof/>
                <w:webHidden/>
              </w:rPr>
              <w:t>74</w:t>
            </w:r>
            <w:r>
              <w:rPr>
                <w:noProof/>
                <w:webHidden/>
              </w:rPr>
              <w:fldChar w:fldCharType="end"/>
            </w:r>
          </w:hyperlink>
        </w:p>
        <w:p w:rsidR="00E94928" w:rsidRDefault="00E94928" w14:paraId="4A9394F8" w14:textId="165A1018">
          <w:pPr>
            <w:pStyle w:val="TOC1"/>
            <w:rPr>
              <w:rFonts w:asciiTheme="minorHAnsi" w:hAnsiTheme="minorHAnsi" w:eastAsiaTheme="minorEastAsia" w:cstheme="minorBidi"/>
              <w:b w:val="0"/>
              <w:caps w:val="0"/>
              <w:noProof/>
              <w:kern w:val="2"/>
              <w:sz w:val="24"/>
              <w:szCs w:val="24"/>
              <w14:ligatures w14:val="standardContextual"/>
            </w:rPr>
          </w:pPr>
          <w:hyperlink w:history="1" w:anchor="_Toc227451609">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19</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Dispute Resolution</w:t>
            </w:r>
            <w:r>
              <w:rPr>
                <w:noProof/>
                <w:webHidden/>
              </w:rPr>
              <w:tab/>
            </w:r>
            <w:r>
              <w:rPr>
                <w:noProof/>
                <w:webHidden/>
              </w:rPr>
              <w:fldChar w:fldCharType="begin"/>
            </w:r>
            <w:r>
              <w:rPr>
                <w:noProof/>
                <w:webHidden/>
              </w:rPr>
              <w:instrText xml:space="preserve"> PAGEREF _Toc227451609 \h </w:instrText>
            </w:r>
            <w:r>
              <w:rPr>
                <w:noProof/>
                <w:webHidden/>
              </w:rPr>
            </w:r>
            <w:r>
              <w:rPr>
                <w:noProof/>
                <w:webHidden/>
              </w:rPr>
              <w:fldChar w:fldCharType="separate"/>
            </w:r>
            <w:r>
              <w:rPr>
                <w:noProof/>
                <w:webHidden/>
              </w:rPr>
              <w:t>74</w:t>
            </w:r>
            <w:r>
              <w:rPr>
                <w:noProof/>
                <w:webHidden/>
              </w:rPr>
              <w:fldChar w:fldCharType="end"/>
            </w:r>
          </w:hyperlink>
        </w:p>
        <w:p w:rsidR="00E94928" w:rsidRDefault="00E94928" w14:paraId="1AC6D832" w14:textId="58525EDE">
          <w:pPr>
            <w:pStyle w:val="TOC2"/>
            <w:rPr>
              <w:rFonts w:asciiTheme="minorHAnsi" w:hAnsiTheme="minorHAnsi" w:eastAsiaTheme="minorEastAsia"/>
              <w:noProof/>
              <w:kern w:val="2"/>
              <w:sz w:val="24"/>
              <w:szCs w:val="24"/>
              <w14:ligatures w14:val="standardContextual"/>
            </w:rPr>
          </w:pPr>
          <w:hyperlink w:history="1" w:anchor="_Toc227451610">
            <w:r w:rsidRPr="00A52F3A">
              <w:rPr>
                <w:rStyle w:val="Hyperlink"/>
                <w:noProof/>
                <w:specVanish/>
              </w:rPr>
              <w:t>19.1</w:t>
            </w:r>
            <w:r>
              <w:rPr>
                <w:rFonts w:asciiTheme="minorHAnsi" w:hAnsiTheme="minorHAnsi" w:eastAsiaTheme="minorEastAsia"/>
                <w:noProof/>
                <w:kern w:val="2"/>
                <w:sz w:val="24"/>
                <w:szCs w:val="24"/>
                <w14:ligatures w14:val="standardContextual"/>
              </w:rPr>
              <w:tab/>
            </w:r>
            <w:r w:rsidRPr="00A52F3A">
              <w:rPr>
                <w:rStyle w:val="Hyperlink"/>
                <w:noProof/>
              </w:rPr>
              <w:t>Notice of Dispute; Dispute Resolution Process.</w:t>
            </w:r>
            <w:r>
              <w:rPr>
                <w:noProof/>
                <w:webHidden/>
              </w:rPr>
              <w:tab/>
            </w:r>
            <w:r>
              <w:rPr>
                <w:noProof/>
                <w:webHidden/>
              </w:rPr>
              <w:fldChar w:fldCharType="begin"/>
            </w:r>
            <w:r>
              <w:rPr>
                <w:noProof/>
                <w:webHidden/>
              </w:rPr>
              <w:instrText xml:space="preserve"> PAGEREF _Toc227451610 \h </w:instrText>
            </w:r>
            <w:r>
              <w:rPr>
                <w:noProof/>
                <w:webHidden/>
              </w:rPr>
            </w:r>
            <w:r>
              <w:rPr>
                <w:noProof/>
                <w:webHidden/>
              </w:rPr>
              <w:fldChar w:fldCharType="separate"/>
            </w:r>
            <w:r>
              <w:rPr>
                <w:noProof/>
                <w:webHidden/>
              </w:rPr>
              <w:t>74</w:t>
            </w:r>
            <w:r>
              <w:rPr>
                <w:noProof/>
                <w:webHidden/>
              </w:rPr>
              <w:fldChar w:fldCharType="end"/>
            </w:r>
          </w:hyperlink>
        </w:p>
        <w:p w:rsidR="00E94928" w:rsidRDefault="00E94928" w14:paraId="5960B16E" w14:textId="1CF90600">
          <w:pPr>
            <w:pStyle w:val="TOC2"/>
            <w:rPr>
              <w:rFonts w:asciiTheme="minorHAnsi" w:hAnsiTheme="minorHAnsi" w:eastAsiaTheme="minorEastAsia"/>
              <w:noProof/>
              <w:kern w:val="2"/>
              <w:sz w:val="24"/>
              <w:szCs w:val="24"/>
              <w14:ligatures w14:val="standardContextual"/>
            </w:rPr>
          </w:pPr>
          <w:hyperlink w:history="1" w:anchor="_Toc227451611">
            <w:r w:rsidRPr="00A52F3A">
              <w:rPr>
                <w:rStyle w:val="Hyperlink"/>
                <w:noProof/>
                <w:specVanish/>
              </w:rPr>
              <w:t>19.2</w:t>
            </w:r>
            <w:r>
              <w:rPr>
                <w:rFonts w:asciiTheme="minorHAnsi" w:hAnsiTheme="minorHAnsi" w:eastAsiaTheme="minorEastAsia"/>
                <w:noProof/>
                <w:kern w:val="2"/>
                <w:sz w:val="24"/>
                <w:szCs w:val="24"/>
                <w14:ligatures w14:val="standardContextual"/>
              </w:rPr>
              <w:tab/>
            </w:r>
            <w:r w:rsidRPr="00A52F3A">
              <w:rPr>
                <w:rStyle w:val="Hyperlink"/>
                <w:noProof/>
              </w:rPr>
              <w:t>Expert Arbitration.</w:t>
            </w:r>
            <w:r>
              <w:rPr>
                <w:noProof/>
                <w:webHidden/>
              </w:rPr>
              <w:tab/>
            </w:r>
            <w:r>
              <w:rPr>
                <w:noProof/>
                <w:webHidden/>
              </w:rPr>
              <w:fldChar w:fldCharType="begin"/>
            </w:r>
            <w:r>
              <w:rPr>
                <w:noProof/>
                <w:webHidden/>
              </w:rPr>
              <w:instrText xml:space="preserve"> PAGEREF _Toc227451611 \h </w:instrText>
            </w:r>
            <w:r>
              <w:rPr>
                <w:noProof/>
                <w:webHidden/>
              </w:rPr>
            </w:r>
            <w:r>
              <w:rPr>
                <w:noProof/>
                <w:webHidden/>
              </w:rPr>
              <w:fldChar w:fldCharType="separate"/>
            </w:r>
            <w:r>
              <w:rPr>
                <w:noProof/>
                <w:webHidden/>
              </w:rPr>
              <w:t>75</w:t>
            </w:r>
            <w:r>
              <w:rPr>
                <w:noProof/>
                <w:webHidden/>
              </w:rPr>
              <w:fldChar w:fldCharType="end"/>
            </w:r>
          </w:hyperlink>
        </w:p>
        <w:p w:rsidR="00E94928" w:rsidRDefault="00E94928" w14:paraId="6D83BCCC" w14:textId="64A95256">
          <w:pPr>
            <w:pStyle w:val="TOC2"/>
            <w:rPr>
              <w:rFonts w:asciiTheme="minorHAnsi" w:hAnsiTheme="minorHAnsi" w:eastAsiaTheme="minorEastAsia"/>
              <w:noProof/>
              <w:kern w:val="2"/>
              <w:sz w:val="24"/>
              <w:szCs w:val="24"/>
              <w14:ligatures w14:val="standardContextual"/>
            </w:rPr>
          </w:pPr>
          <w:hyperlink w:history="1" w:anchor="_Toc227451612">
            <w:r w:rsidRPr="00A52F3A">
              <w:rPr>
                <w:rStyle w:val="Hyperlink"/>
                <w:noProof/>
                <w:specVanish/>
              </w:rPr>
              <w:t>19.3</w:t>
            </w:r>
            <w:r>
              <w:rPr>
                <w:rFonts w:asciiTheme="minorHAnsi" w:hAnsiTheme="minorHAnsi" w:eastAsiaTheme="minorEastAsia"/>
                <w:noProof/>
                <w:kern w:val="2"/>
                <w:sz w:val="24"/>
                <w:szCs w:val="24"/>
                <w14:ligatures w14:val="standardContextual"/>
              </w:rPr>
              <w:tab/>
            </w:r>
            <w:r w:rsidRPr="00A52F3A">
              <w:rPr>
                <w:rStyle w:val="Hyperlink"/>
                <w:noProof/>
              </w:rPr>
              <w:t>JAMS Arbitration.</w:t>
            </w:r>
            <w:r>
              <w:rPr>
                <w:noProof/>
                <w:webHidden/>
              </w:rPr>
              <w:tab/>
            </w:r>
            <w:r>
              <w:rPr>
                <w:noProof/>
                <w:webHidden/>
              </w:rPr>
              <w:fldChar w:fldCharType="begin"/>
            </w:r>
            <w:r>
              <w:rPr>
                <w:noProof/>
                <w:webHidden/>
              </w:rPr>
              <w:instrText xml:space="preserve"> PAGEREF _Toc227451612 \h </w:instrText>
            </w:r>
            <w:r>
              <w:rPr>
                <w:noProof/>
                <w:webHidden/>
              </w:rPr>
            </w:r>
            <w:r>
              <w:rPr>
                <w:noProof/>
                <w:webHidden/>
              </w:rPr>
              <w:fldChar w:fldCharType="separate"/>
            </w:r>
            <w:r>
              <w:rPr>
                <w:noProof/>
                <w:webHidden/>
              </w:rPr>
              <w:t>75</w:t>
            </w:r>
            <w:r>
              <w:rPr>
                <w:noProof/>
                <w:webHidden/>
              </w:rPr>
              <w:fldChar w:fldCharType="end"/>
            </w:r>
          </w:hyperlink>
        </w:p>
        <w:p w:rsidR="00E94928" w:rsidRDefault="00E94928" w14:paraId="71EED744" w14:textId="7EA53A47">
          <w:pPr>
            <w:pStyle w:val="TOC2"/>
            <w:rPr>
              <w:rFonts w:asciiTheme="minorHAnsi" w:hAnsiTheme="minorHAnsi" w:eastAsiaTheme="minorEastAsia"/>
              <w:noProof/>
              <w:kern w:val="2"/>
              <w:sz w:val="24"/>
              <w:szCs w:val="24"/>
              <w14:ligatures w14:val="standardContextual"/>
            </w:rPr>
          </w:pPr>
          <w:hyperlink w:history="1" w:anchor="_Toc227451613">
            <w:r w:rsidRPr="00A52F3A">
              <w:rPr>
                <w:rStyle w:val="Hyperlink"/>
                <w:noProof/>
                <w:specVanish/>
              </w:rPr>
              <w:t>19.4</w:t>
            </w:r>
            <w:r>
              <w:rPr>
                <w:rFonts w:asciiTheme="minorHAnsi" w:hAnsiTheme="minorHAnsi" w:eastAsiaTheme="minorEastAsia"/>
                <w:noProof/>
                <w:kern w:val="2"/>
                <w:sz w:val="24"/>
                <w:szCs w:val="24"/>
                <w14:ligatures w14:val="standardContextual"/>
              </w:rPr>
              <w:tab/>
            </w:r>
            <w:r w:rsidRPr="00A52F3A">
              <w:rPr>
                <w:rStyle w:val="Hyperlink"/>
                <w:noProof/>
              </w:rPr>
              <w:t>Location of Arbitration.</w:t>
            </w:r>
            <w:r>
              <w:rPr>
                <w:noProof/>
                <w:webHidden/>
              </w:rPr>
              <w:tab/>
            </w:r>
            <w:r>
              <w:rPr>
                <w:noProof/>
                <w:webHidden/>
              </w:rPr>
              <w:fldChar w:fldCharType="begin"/>
            </w:r>
            <w:r>
              <w:rPr>
                <w:noProof/>
                <w:webHidden/>
              </w:rPr>
              <w:instrText xml:space="preserve"> PAGEREF _Toc227451613 \h </w:instrText>
            </w:r>
            <w:r>
              <w:rPr>
                <w:noProof/>
                <w:webHidden/>
              </w:rPr>
            </w:r>
            <w:r>
              <w:rPr>
                <w:noProof/>
                <w:webHidden/>
              </w:rPr>
              <w:fldChar w:fldCharType="separate"/>
            </w:r>
            <w:r>
              <w:rPr>
                <w:noProof/>
                <w:webHidden/>
              </w:rPr>
              <w:t>77</w:t>
            </w:r>
            <w:r>
              <w:rPr>
                <w:noProof/>
                <w:webHidden/>
              </w:rPr>
              <w:fldChar w:fldCharType="end"/>
            </w:r>
          </w:hyperlink>
        </w:p>
        <w:p w:rsidR="00E94928" w:rsidRDefault="00E94928" w14:paraId="72C540F7" w14:textId="286AB3A9">
          <w:pPr>
            <w:pStyle w:val="TOC2"/>
            <w:rPr>
              <w:rFonts w:asciiTheme="minorHAnsi" w:hAnsiTheme="minorHAnsi" w:eastAsiaTheme="minorEastAsia"/>
              <w:noProof/>
              <w:kern w:val="2"/>
              <w:sz w:val="24"/>
              <w:szCs w:val="24"/>
              <w14:ligatures w14:val="standardContextual"/>
            </w:rPr>
          </w:pPr>
          <w:hyperlink w:history="1" w:anchor="_Toc227451614">
            <w:r w:rsidRPr="00A52F3A">
              <w:rPr>
                <w:rStyle w:val="Hyperlink"/>
                <w:noProof/>
                <w:specVanish/>
              </w:rPr>
              <w:t>19.5</w:t>
            </w:r>
            <w:r>
              <w:rPr>
                <w:rFonts w:asciiTheme="minorHAnsi" w:hAnsiTheme="minorHAnsi" w:eastAsiaTheme="minorEastAsia"/>
                <w:noProof/>
                <w:kern w:val="2"/>
                <w:sz w:val="24"/>
                <w:szCs w:val="24"/>
                <w14:ligatures w14:val="standardContextual"/>
              </w:rPr>
              <w:tab/>
            </w:r>
            <w:r w:rsidRPr="00A52F3A">
              <w:rPr>
                <w:rStyle w:val="Hyperlink"/>
                <w:noProof/>
              </w:rPr>
              <w:t>Mandatory Arbitration.</w:t>
            </w:r>
            <w:r>
              <w:rPr>
                <w:noProof/>
                <w:webHidden/>
              </w:rPr>
              <w:tab/>
            </w:r>
            <w:r>
              <w:rPr>
                <w:noProof/>
                <w:webHidden/>
              </w:rPr>
              <w:fldChar w:fldCharType="begin"/>
            </w:r>
            <w:r>
              <w:rPr>
                <w:noProof/>
                <w:webHidden/>
              </w:rPr>
              <w:instrText xml:space="preserve"> PAGEREF _Toc227451614 \h </w:instrText>
            </w:r>
            <w:r>
              <w:rPr>
                <w:noProof/>
                <w:webHidden/>
              </w:rPr>
            </w:r>
            <w:r>
              <w:rPr>
                <w:noProof/>
                <w:webHidden/>
              </w:rPr>
              <w:fldChar w:fldCharType="separate"/>
            </w:r>
            <w:r>
              <w:rPr>
                <w:noProof/>
                <w:webHidden/>
              </w:rPr>
              <w:t>77</w:t>
            </w:r>
            <w:r>
              <w:rPr>
                <w:noProof/>
                <w:webHidden/>
              </w:rPr>
              <w:fldChar w:fldCharType="end"/>
            </w:r>
          </w:hyperlink>
        </w:p>
        <w:p w:rsidR="00E94928" w:rsidRDefault="00E94928" w14:paraId="145A27EA" w14:textId="2C850D8A">
          <w:pPr>
            <w:pStyle w:val="TOC2"/>
            <w:rPr>
              <w:rFonts w:asciiTheme="minorHAnsi" w:hAnsiTheme="minorHAnsi" w:eastAsiaTheme="minorEastAsia"/>
              <w:noProof/>
              <w:kern w:val="2"/>
              <w:sz w:val="24"/>
              <w:szCs w:val="24"/>
              <w14:ligatures w14:val="standardContextual"/>
            </w:rPr>
          </w:pPr>
          <w:hyperlink w:history="1" w:anchor="_Toc227451615">
            <w:r w:rsidRPr="00A52F3A">
              <w:rPr>
                <w:rStyle w:val="Hyperlink"/>
                <w:noProof/>
                <w:specVanish/>
              </w:rPr>
              <w:t>19.6</w:t>
            </w:r>
            <w:r>
              <w:rPr>
                <w:rFonts w:asciiTheme="minorHAnsi" w:hAnsiTheme="minorHAnsi" w:eastAsiaTheme="minorEastAsia"/>
                <w:noProof/>
                <w:kern w:val="2"/>
                <w:sz w:val="24"/>
                <w:szCs w:val="24"/>
                <w14:ligatures w14:val="standardContextual"/>
              </w:rPr>
              <w:tab/>
            </w:r>
            <w:r w:rsidRPr="00A52F3A">
              <w:rPr>
                <w:rStyle w:val="Hyperlink"/>
                <w:noProof/>
              </w:rPr>
              <w:t>Injunctive Relief.</w:t>
            </w:r>
            <w:r>
              <w:rPr>
                <w:noProof/>
                <w:webHidden/>
              </w:rPr>
              <w:tab/>
            </w:r>
            <w:r>
              <w:rPr>
                <w:noProof/>
                <w:webHidden/>
              </w:rPr>
              <w:fldChar w:fldCharType="begin"/>
            </w:r>
            <w:r>
              <w:rPr>
                <w:noProof/>
                <w:webHidden/>
              </w:rPr>
              <w:instrText xml:space="preserve"> PAGEREF _Toc227451615 \h </w:instrText>
            </w:r>
            <w:r>
              <w:rPr>
                <w:noProof/>
                <w:webHidden/>
              </w:rPr>
            </w:r>
            <w:r>
              <w:rPr>
                <w:noProof/>
                <w:webHidden/>
              </w:rPr>
              <w:fldChar w:fldCharType="separate"/>
            </w:r>
            <w:r>
              <w:rPr>
                <w:noProof/>
                <w:webHidden/>
              </w:rPr>
              <w:t>77</w:t>
            </w:r>
            <w:r>
              <w:rPr>
                <w:noProof/>
                <w:webHidden/>
              </w:rPr>
              <w:fldChar w:fldCharType="end"/>
            </w:r>
          </w:hyperlink>
        </w:p>
        <w:p w:rsidR="00E94928" w:rsidRDefault="00E94928" w14:paraId="61B9E9F0" w14:textId="4DFF75BB">
          <w:pPr>
            <w:pStyle w:val="TOC2"/>
            <w:rPr>
              <w:rFonts w:asciiTheme="minorHAnsi" w:hAnsiTheme="minorHAnsi" w:eastAsiaTheme="minorEastAsia"/>
              <w:noProof/>
              <w:kern w:val="2"/>
              <w:sz w:val="24"/>
              <w:szCs w:val="24"/>
              <w14:ligatures w14:val="standardContextual"/>
            </w:rPr>
          </w:pPr>
          <w:hyperlink w:history="1" w:anchor="_Toc227451616">
            <w:r w:rsidRPr="00A52F3A">
              <w:rPr>
                <w:rStyle w:val="Hyperlink"/>
                <w:noProof/>
                <w:specVanish/>
              </w:rPr>
              <w:t>19.7</w:t>
            </w:r>
            <w:r>
              <w:rPr>
                <w:rFonts w:asciiTheme="minorHAnsi" w:hAnsiTheme="minorHAnsi" w:eastAsiaTheme="minorEastAsia"/>
                <w:noProof/>
                <w:kern w:val="2"/>
                <w:sz w:val="24"/>
                <w:szCs w:val="24"/>
                <w14:ligatures w14:val="standardContextual"/>
              </w:rPr>
              <w:tab/>
            </w:r>
            <w:r w:rsidRPr="00A52F3A">
              <w:rPr>
                <w:rStyle w:val="Hyperlink"/>
                <w:noProof/>
              </w:rPr>
              <w:t>Continued Performance.</w:t>
            </w:r>
            <w:r>
              <w:rPr>
                <w:noProof/>
                <w:webHidden/>
              </w:rPr>
              <w:tab/>
            </w:r>
            <w:r>
              <w:rPr>
                <w:noProof/>
                <w:webHidden/>
              </w:rPr>
              <w:fldChar w:fldCharType="begin"/>
            </w:r>
            <w:r>
              <w:rPr>
                <w:noProof/>
                <w:webHidden/>
              </w:rPr>
              <w:instrText xml:space="preserve"> PAGEREF _Toc227451616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3450834A" w14:textId="2B340790">
          <w:pPr>
            <w:pStyle w:val="TOC1"/>
            <w:rPr>
              <w:rFonts w:asciiTheme="minorHAnsi" w:hAnsiTheme="minorHAnsi" w:eastAsiaTheme="minorEastAsia" w:cstheme="minorBidi"/>
              <w:b w:val="0"/>
              <w:caps w:val="0"/>
              <w:noProof/>
              <w:kern w:val="2"/>
              <w:sz w:val="24"/>
              <w:szCs w:val="24"/>
              <w14:ligatures w14:val="standardContextual"/>
            </w:rPr>
          </w:pPr>
          <w:hyperlink w:history="1" w:anchor="_Toc227451617">
            <w:r w:rsidRPr="00A52F3A">
              <w:rPr>
                <w:rStyle w:val="Hyperlink"/>
                <w:rFonts w:cs="Times New Roman"/>
                <w:noProof/>
                <w14:scene3d>
                  <w14:camera w14:prst="orthographicFront"/>
                  <w14:lightRig w14:rig="threePt" w14:dir="t">
                    <w14:rot w14:lat="0" w14:lon="0" w14:rev="0"/>
                  </w14:lightRig>
                </w14:scene3d>
                <w14:props3d w14:extrusionH="0" w14:contourW="0" w14:prstMaterial="warmMatte"/>
              </w:rPr>
              <w:t>Part 20</w:t>
            </w:r>
            <w:r>
              <w:rPr>
                <w:rFonts w:asciiTheme="minorHAnsi" w:hAnsiTheme="minorHAnsi" w:eastAsiaTheme="minorEastAsia" w:cstheme="minorBidi"/>
                <w:b w:val="0"/>
                <w:caps w:val="0"/>
                <w:noProof/>
                <w:kern w:val="2"/>
                <w:sz w:val="24"/>
                <w:szCs w:val="24"/>
                <w14:ligatures w14:val="standardContextual"/>
              </w:rPr>
              <w:tab/>
            </w:r>
            <w:r w:rsidRPr="00A52F3A">
              <w:rPr>
                <w:rStyle w:val="Hyperlink"/>
                <w:noProof/>
              </w:rPr>
              <w:t>Miscellaneous Provisions</w:t>
            </w:r>
            <w:r>
              <w:rPr>
                <w:noProof/>
                <w:webHidden/>
              </w:rPr>
              <w:tab/>
            </w:r>
            <w:r>
              <w:rPr>
                <w:noProof/>
                <w:webHidden/>
              </w:rPr>
              <w:fldChar w:fldCharType="begin"/>
            </w:r>
            <w:r>
              <w:rPr>
                <w:noProof/>
                <w:webHidden/>
              </w:rPr>
              <w:instrText xml:space="preserve"> PAGEREF _Toc227451617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0FC98554" w14:textId="1CABAFDB">
          <w:pPr>
            <w:pStyle w:val="TOC2"/>
            <w:rPr>
              <w:rFonts w:asciiTheme="minorHAnsi" w:hAnsiTheme="minorHAnsi" w:eastAsiaTheme="minorEastAsia"/>
              <w:noProof/>
              <w:kern w:val="2"/>
              <w:sz w:val="24"/>
              <w:szCs w:val="24"/>
              <w14:ligatures w14:val="standardContextual"/>
            </w:rPr>
          </w:pPr>
          <w:hyperlink w:history="1" w:anchor="_Toc227451618">
            <w:r w:rsidRPr="00A52F3A">
              <w:rPr>
                <w:rStyle w:val="Hyperlink"/>
                <w:rFonts w:cs="Arial"/>
                <w:noProof/>
                <w:specVanish/>
              </w:rPr>
              <w:t>20.1</w:t>
            </w:r>
            <w:r>
              <w:rPr>
                <w:rFonts w:asciiTheme="minorHAnsi" w:hAnsiTheme="minorHAnsi" w:eastAsiaTheme="minorEastAsia"/>
                <w:noProof/>
                <w:kern w:val="2"/>
                <w:sz w:val="24"/>
                <w:szCs w:val="24"/>
                <w14:ligatures w14:val="standardContextual"/>
              </w:rPr>
              <w:tab/>
            </w:r>
            <w:r w:rsidRPr="00A52F3A">
              <w:rPr>
                <w:rStyle w:val="Hyperlink"/>
                <w:rFonts w:cs="Arial"/>
                <w:noProof/>
              </w:rPr>
              <w:t>Amendments.</w:t>
            </w:r>
            <w:r>
              <w:rPr>
                <w:noProof/>
                <w:webHidden/>
              </w:rPr>
              <w:tab/>
            </w:r>
            <w:r>
              <w:rPr>
                <w:noProof/>
                <w:webHidden/>
              </w:rPr>
              <w:fldChar w:fldCharType="begin"/>
            </w:r>
            <w:r>
              <w:rPr>
                <w:noProof/>
                <w:webHidden/>
              </w:rPr>
              <w:instrText xml:space="preserve"> PAGEREF _Toc227451618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410C9A04" w14:textId="145CD484">
          <w:pPr>
            <w:pStyle w:val="TOC2"/>
            <w:rPr>
              <w:rFonts w:asciiTheme="minorHAnsi" w:hAnsiTheme="minorHAnsi" w:eastAsiaTheme="minorEastAsia"/>
              <w:noProof/>
              <w:kern w:val="2"/>
              <w:sz w:val="24"/>
              <w:szCs w:val="24"/>
              <w14:ligatures w14:val="standardContextual"/>
            </w:rPr>
          </w:pPr>
          <w:hyperlink w:history="1" w:anchor="_Toc227451619">
            <w:r w:rsidRPr="00A52F3A">
              <w:rPr>
                <w:rStyle w:val="Hyperlink"/>
                <w:rFonts w:cs="Arial"/>
                <w:iCs/>
                <w:noProof/>
                <w:specVanish/>
              </w:rPr>
              <w:t>20.2</w:t>
            </w:r>
            <w:r>
              <w:rPr>
                <w:rFonts w:asciiTheme="minorHAnsi" w:hAnsiTheme="minorHAnsi" w:eastAsiaTheme="minorEastAsia"/>
                <w:noProof/>
                <w:kern w:val="2"/>
                <w:sz w:val="24"/>
                <w:szCs w:val="24"/>
                <w14:ligatures w14:val="standardContextual"/>
              </w:rPr>
              <w:tab/>
            </w:r>
            <w:r w:rsidRPr="00A52F3A">
              <w:rPr>
                <w:rStyle w:val="Hyperlink"/>
                <w:rFonts w:cs="Arial"/>
                <w:noProof/>
              </w:rPr>
              <w:t>Binding Effect</w:t>
            </w:r>
            <w:r w:rsidRPr="00A52F3A">
              <w:rPr>
                <w:rStyle w:val="Hyperlink"/>
                <w:rFonts w:cs="Arial"/>
                <w:i/>
                <w:iCs/>
                <w:noProof/>
              </w:rPr>
              <w:t>.</w:t>
            </w:r>
            <w:r>
              <w:rPr>
                <w:noProof/>
                <w:webHidden/>
              </w:rPr>
              <w:tab/>
            </w:r>
            <w:r>
              <w:rPr>
                <w:noProof/>
                <w:webHidden/>
              </w:rPr>
              <w:fldChar w:fldCharType="begin"/>
            </w:r>
            <w:r>
              <w:rPr>
                <w:noProof/>
                <w:webHidden/>
              </w:rPr>
              <w:instrText xml:space="preserve"> PAGEREF _Toc227451619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1B7D75A1" w14:textId="7C024011">
          <w:pPr>
            <w:pStyle w:val="TOC2"/>
            <w:rPr>
              <w:rFonts w:asciiTheme="minorHAnsi" w:hAnsiTheme="minorHAnsi" w:eastAsiaTheme="minorEastAsia"/>
              <w:noProof/>
              <w:kern w:val="2"/>
              <w:sz w:val="24"/>
              <w:szCs w:val="24"/>
              <w14:ligatures w14:val="standardContextual"/>
            </w:rPr>
          </w:pPr>
          <w:hyperlink w:history="1" w:anchor="_Toc227451620">
            <w:r w:rsidRPr="00A52F3A">
              <w:rPr>
                <w:rStyle w:val="Hyperlink"/>
                <w:rFonts w:cs="Arial"/>
                <w:noProof/>
                <w:specVanish/>
              </w:rPr>
              <w:t>20.3</w:t>
            </w:r>
            <w:r>
              <w:rPr>
                <w:rFonts w:asciiTheme="minorHAnsi" w:hAnsiTheme="minorHAnsi" w:eastAsiaTheme="minorEastAsia"/>
                <w:noProof/>
                <w:kern w:val="2"/>
                <w:sz w:val="24"/>
                <w:szCs w:val="24"/>
                <w14:ligatures w14:val="standardContextual"/>
              </w:rPr>
              <w:tab/>
            </w:r>
            <w:r w:rsidRPr="00A52F3A">
              <w:rPr>
                <w:rStyle w:val="Hyperlink"/>
                <w:rFonts w:cs="Arial"/>
                <w:noProof/>
              </w:rPr>
              <w:t>Counterparts.</w:t>
            </w:r>
            <w:r>
              <w:rPr>
                <w:noProof/>
                <w:webHidden/>
              </w:rPr>
              <w:tab/>
            </w:r>
            <w:r>
              <w:rPr>
                <w:noProof/>
                <w:webHidden/>
              </w:rPr>
              <w:fldChar w:fldCharType="begin"/>
            </w:r>
            <w:r>
              <w:rPr>
                <w:noProof/>
                <w:webHidden/>
              </w:rPr>
              <w:instrText xml:space="preserve"> PAGEREF _Toc227451620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371663BA" w14:textId="05E6930E">
          <w:pPr>
            <w:pStyle w:val="TOC2"/>
            <w:rPr>
              <w:rFonts w:asciiTheme="minorHAnsi" w:hAnsiTheme="minorHAnsi" w:eastAsiaTheme="minorEastAsia"/>
              <w:noProof/>
              <w:kern w:val="2"/>
              <w:sz w:val="24"/>
              <w:szCs w:val="24"/>
              <w14:ligatures w14:val="standardContextual"/>
            </w:rPr>
          </w:pPr>
          <w:hyperlink w:history="1" w:anchor="_Toc227451621">
            <w:r w:rsidRPr="00A52F3A">
              <w:rPr>
                <w:rStyle w:val="Hyperlink"/>
                <w:rFonts w:cs="Arial"/>
                <w:noProof/>
                <w:specVanish/>
              </w:rPr>
              <w:t>20.4</w:t>
            </w:r>
            <w:r>
              <w:rPr>
                <w:rFonts w:asciiTheme="minorHAnsi" w:hAnsiTheme="minorHAnsi" w:eastAsiaTheme="minorEastAsia"/>
                <w:noProof/>
                <w:kern w:val="2"/>
                <w:sz w:val="24"/>
                <w:szCs w:val="24"/>
                <w14:ligatures w14:val="standardContextual"/>
              </w:rPr>
              <w:tab/>
            </w:r>
            <w:r w:rsidRPr="00A52F3A">
              <w:rPr>
                <w:rStyle w:val="Hyperlink"/>
                <w:rFonts w:cs="Arial"/>
                <w:noProof/>
              </w:rPr>
              <w:t>Notice.</w:t>
            </w:r>
            <w:r>
              <w:rPr>
                <w:noProof/>
                <w:webHidden/>
              </w:rPr>
              <w:tab/>
            </w:r>
            <w:r>
              <w:rPr>
                <w:noProof/>
                <w:webHidden/>
              </w:rPr>
              <w:fldChar w:fldCharType="begin"/>
            </w:r>
            <w:r>
              <w:rPr>
                <w:noProof/>
                <w:webHidden/>
              </w:rPr>
              <w:instrText xml:space="preserve"> PAGEREF _Toc227451621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70FC9FEC" w14:textId="2B7D6B6F">
          <w:pPr>
            <w:pStyle w:val="TOC2"/>
            <w:rPr>
              <w:rFonts w:asciiTheme="minorHAnsi" w:hAnsiTheme="minorHAnsi" w:eastAsiaTheme="minorEastAsia"/>
              <w:noProof/>
              <w:kern w:val="2"/>
              <w:sz w:val="24"/>
              <w:szCs w:val="24"/>
              <w14:ligatures w14:val="standardContextual"/>
            </w:rPr>
          </w:pPr>
          <w:hyperlink w:history="1" w:anchor="_Toc227451622">
            <w:r w:rsidRPr="00A52F3A">
              <w:rPr>
                <w:rStyle w:val="Hyperlink"/>
                <w:rFonts w:cs="Arial"/>
                <w:noProof/>
                <w:specVanish/>
              </w:rPr>
              <w:t>20.5</w:t>
            </w:r>
            <w:r>
              <w:rPr>
                <w:rFonts w:asciiTheme="minorHAnsi" w:hAnsiTheme="minorHAnsi" w:eastAsiaTheme="minorEastAsia"/>
                <w:noProof/>
                <w:kern w:val="2"/>
                <w:sz w:val="24"/>
                <w:szCs w:val="24"/>
                <w14:ligatures w14:val="standardContextual"/>
              </w:rPr>
              <w:tab/>
            </w:r>
            <w:r w:rsidRPr="00A52F3A">
              <w:rPr>
                <w:rStyle w:val="Hyperlink"/>
                <w:rFonts w:cs="Arial"/>
                <w:noProof/>
              </w:rPr>
              <w:t>Entire Agreement.</w:t>
            </w:r>
            <w:r>
              <w:rPr>
                <w:noProof/>
                <w:webHidden/>
              </w:rPr>
              <w:tab/>
            </w:r>
            <w:r>
              <w:rPr>
                <w:noProof/>
                <w:webHidden/>
              </w:rPr>
              <w:fldChar w:fldCharType="begin"/>
            </w:r>
            <w:r>
              <w:rPr>
                <w:noProof/>
                <w:webHidden/>
              </w:rPr>
              <w:instrText xml:space="preserve"> PAGEREF _Toc227451622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26901A45" w14:textId="65F43F96">
          <w:pPr>
            <w:pStyle w:val="TOC2"/>
            <w:rPr>
              <w:rFonts w:asciiTheme="minorHAnsi" w:hAnsiTheme="minorHAnsi" w:eastAsiaTheme="minorEastAsia"/>
              <w:noProof/>
              <w:kern w:val="2"/>
              <w:sz w:val="24"/>
              <w:szCs w:val="24"/>
              <w14:ligatures w14:val="standardContextual"/>
            </w:rPr>
          </w:pPr>
          <w:hyperlink w:history="1" w:anchor="_Toc227451623">
            <w:r w:rsidRPr="00A52F3A">
              <w:rPr>
                <w:rStyle w:val="Hyperlink"/>
                <w:rFonts w:cs="Arial"/>
                <w:noProof/>
                <w:specVanish/>
              </w:rPr>
              <w:t>20.6</w:t>
            </w:r>
            <w:r>
              <w:rPr>
                <w:rFonts w:asciiTheme="minorHAnsi" w:hAnsiTheme="minorHAnsi" w:eastAsiaTheme="minorEastAsia"/>
                <w:noProof/>
                <w:kern w:val="2"/>
                <w:sz w:val="24"/>
                <w:szCs w:val="24"/>
                <w14:ligatures w14:val="standardContextual"/>
              </w:rPr>
              <w:tab/>
            </w:r>
            <w:r w:rsidRPr="00A52F3A">
              <w:rPr>
                <w:rStyle w:val="Hyperlink"/>
                <w:rFonts w:cs="Arial"/>
                <w:noProof/>
              </w:rPr>
              <w:t>Governing Law.</w:t>
            </w:r>
            <w:r>
              <w:rPr>
                <w:noProof/>
                <w:webHidden/>
              </w:rPr>
              <w:tab/>
            </w:r>
            <w:r>
              <w:rPr>
                <w:noProof/>
                <w:webHidden/>
              </w:rPr>
              <w:fldChar w:fldCharType="begin"/>
            </w:r>
            <w:r>
              <w:rPr>
                <w:noProof/>
                <w:webHidden/>
              </w:rPr>
              <w:instrText xml:space="preserve"> PAGEREF _Toc227451623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014C9486" w14:textId="1781349A">
          <w:pPr>
            <w:pStyle w:val="TOC2"/>
            <w:rPr>
              <w:rFonts w:asciiTheme="minorHAnsi" w:hAnsiTheme="minorHAnsi" w:eastAsiaTheme="minorEastAsia"/>
              <w:noProof/>
              <w:kern w:val="2"/>
              <w:sz w:val="24"/>
              <w:szCs w:val="24"/>
              <w14:ligatures w14:val="standardContextual"/>
            </w:rPr>
          </w:pPr>
          <w:hyperlink w:history="1" w:anchor="_Toc227451624">
            <w:r w:rsidRPr="00A52F3A">
              <w:rPr>
                <w:rStyle w:val="Hyperlink"/>
                <w:noProof/>
                <w:specVanish/>
              </w:rPr>
              <w:t>20.7</w:t>
            </w:r>
            <w:r>
              <w:rPr>
                <w:rFonts w:asciiTheme="minorHAnsi" w:hAnsiTheme="minorHAnsi" w:eastAsiaTheme="minorEastAsia"/>
                <w:noProof/>
                <w:kern w:val="2"/>
                <w:sz w:val="24"/>
                <w:szCs w:val="24"/>
                <w14:ligatures w14:val="standardContextual"/>
              </w:rPr>
              <w:tab/>
            </w:r>
            <w:r w:rsidRPr="00A52F3A">
              <w:rPr>
                <w:rStyle w:val="Hyperlink"/>
                <w:noProof/>
              </w:rPr>
              <w:t>Liability.</w:t>
            </w:r>
            <w:r>
              <w:rPr>
                <w:noProof/>
                <w:webHidden/>
              </w:rPr>
              <w:tab/>
            </w:r>
            <w:r>
              <w:rPr>
                <w:noProof/>
                <w:webHidden/>
              </w:rPr>
              <w:fldChar w:fldCharType="begin"/>
            </w:r>
            <w:r>
              <w:rPr>
                <w:noProof/>
                <w:webHidden/>
              </w:rPr>
              <w:instrText xml:space="preserve"> PAGEREF _Toc227451624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71EA88C8" w14:textId="6DDA791B">
          <w:pPr>
            <w:pStyle w:val="TOC2"/>
            <w:rPr>
              <w:rFonts w:asciiTheme="minorHAnsi" w:hAnsiTheme="minorHAnsi" w:eastAsiaTheme="minorEastAsia"/>
              <w:noProof/>
              <w:kern w:val="2"/>
              <w:sz w:val="24"/>
              <w:szCs w:val="24"/>
              <w14:ligatures w14:val="standardContextual"/>
            </w:rPr>
          </w:pPr>
          <w:hyperlink w:history="1" w:anchor="_Toc227451625">
            <w:r w:rsidRPr="00A52F3A">
              <w:rPr>
                <w:rStyle w:val="Hyperlink"/>
                <w:noProof/>
                <w:specVanish/>
              </w:rPr>
              <w:t>20.8</w:t>
            </w:r>
            <w:r>
              <w:rPr>
                <w:rFonts w:asciiTheme="minorHAnsi" w:hAnsiTheme="minorHAnsi" w:eastAsiaTheme="minorEastAsia"/>
                <w:noProof/>
                <w:kern w:val="2"/>
                <w:sz w:val="24"/>
                <w:szCs w:val="24"/>
                <w14:ligatures w14:val="standardContextual"/>
              </w:rPr>
              <w:tab/>
            </w:r>
            <w:r w:rsidRPr="00A52F3A">
              <w:rPr>
                <w:rStyle w:val="Hyperlink"/>
                <w:noProof/>
              </w:rPr>
              <w:t>GPC’s Agent.</w:t>
            </w:r>
            <w:r>
              <w:rPr>
                <w:noProof/>
                <w:webHidden/>
              </w:rPr>
              <w:tab/>
            </w:r>
            <w:r>
              <w:rPr>
                <w:noProof/>
                <w:webHidden/>
              </w:rPr>
              <w:fldChar w:fldCharType="begin"/>
            </w:r>
            <w:r>
              <w:rPr>
                <w:noProof/>
                <w:webHidden/>
              </w:rPr>
              <w:instrText xml:space="preserve"> PAGEREF _Toc227451625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4D8E5206" w14:textId="4985F19D">
          <w:pPr>
            <w:pStyle w:val="TOC2"/>
            <w:rPr>
              <w:rFonts w:asciiTheme="minorHAnsi" w:hAnsiTheme="minorHAnsi" w:eastAsiaTheme="minorEastAsia"/>
              <w:noProof/>
              <w:kern w:val="2"/>
              <w:sz w:val="24"/>
              <w:szCs w:val="24"/>
              <w14:ligatures w14:val="standardContextual"/>
            </w:rPr>
          </w:pPr>
          <w:hyperlink w:history="1" w:anchor="_Toc227451626">
            <w:r w:rsidRPr="00A52F3A">
              <w:rPr>
                <w:rStyle w:val="Hyperlink"/>
                <w:noProof/>
                <w:specVanish/>
              </w:rPr>
              <w:t>20.9</w:t>
            </w:r>
            <w:r>
              <w:rPr>
                <w:rFonts w:asciiTheme="minorHAnsi" w:hAnsiTheme="minorHAnsi" w:eastAsiaTheme="minorEastAsia"/>
                <w:noProof/>
                <w:kern w:val="2"/>
                <w:sz w:val="24"/>
                <w:szCs w:val="24"/>
                <w14:ligatures w14:val="standardContextual"/>
              </w:rPr>
              <w:tab/>
            </w:r>
            <w:r w:rsidRPr="00A52F3A">
              <w:rPr>
                <w:rStyle w:val="Hyperlink"/>
                <w:noProof/>
              </w:rPr>
              <w:t>No GPC Affiliate Liability.</w:t>
            </w:r>
            <w:r>
              <w:rPr>
                <w:noProof/>
                <w:webHidden/>
              </w:rPr>
              <w:tab/>
            </w:r>
            <w:r>
              <w:rPr>
                <w:noProof/>
                <w:webHidden/>
              </w:rPr>
              <w:fldChar w:fldCharType="begin"/>
            </w:r>
            <w:r>
              <w:rPr>
                <w:noProof/>
                <w:webHidden/>
              </w:rPr>
              <w:instrText xml:space="preserve"> PAGEREF _Toc227451626 \h </w:instrText>
            </w:r>
            <w:r>
              <w:rPr>
                <w:noProof/>
                <w:webHidden/>
              </w:rPr>
            </w:r>
            <w:r>
              <w:rPr>
                <w:noProof/>
                <w:webHidden/>
              </w:rPr>
              <w:fldChar w:fldCharType="separate"/>
            </w:r>
            <w:r>
              <w:rPr>
                <w:noProof/>
                <w:webHidden/>
              </w:rPr>
              <w:t>78</w:t>
            </w:r>
            <w:r>
              <w:rPr>
                <w:noProof/>
                <w:webHidden/>
              </w:rPr>
              <w:fldChar w:fldCharType="end"/>
            </w:r>
          </w:hyperlink>
        </w:p>
        <w:p w:rsidR="00E94928" w:rsidRDefault="00E94928" w14:paraId="67ED8ED0" w14:textId="4B54A9AF">
          <w:pPr>
            <w:pStyle w:val="TOC2"/>
            <w:rPr>
              <w:rFonts w:asciiTheme="minorHAnsi" w:hAnsiTheme="minorHAnsi" w:eastAsiaTheme="minorEastAsia"/>
              <w:noProof/>
              <w:kern w:val="2"/>
              <w:sz w:val="24"/>
              <w:szCs w:val="24"/>
              <w14:ligatures w14:val="standardContextual"/>
            </w:rPr>
          </w:pPr>
          <w:hyperlink w:history="1" w:anchor="_Toc227451627">
            <w:r w:rsidRPr="00A52F3A">
              <w:rPr>
                <w:rStyle w:val="Hyperlink"/>
                <w:rFonts w:cs="Arial"/>
                <w:noProof/>
                <w:specVanish/>
              </w:rPr>
              <w:t>20.10</w:t>
            </w:r>
            <w:r>
              <w:rPr>
                <w:rFonts w:asciiTheme="minorHAnsi" w:hAnsiTheme="minorHAnsi" w:eastAsiaTheme="minorEastAsia"/>
                <w:noProof/>
                <w:kern w:val="2"/>
                <w:sz w:val="24"/>
                <w:szCs w:val="24"/>
                <w14:ligatures w14:val="standardContextual"/>
              </w:rPr>
              <w:tab/>
            </w:r>
            <w:r w:rsidRPr="00A52F3A">
              <w:rPr>
                <w:rStyle w:val="Hyperlink"/>
                <w:rFonts w:cs="Arial"/>
                <w:noProof/>
              </w:rPr>
              <w:t>Time of Essence; No Waiver.</w:t>
            </w:r>
            <w:r>
              <w:rPr>
                <w:noProof/>
                <w:webHidden/>
              </w:rPr>
              <w:tab/>
            </w:r>
            <w:r>
              <w:rPr>
                <w:noProof/>
                <w:webHidden/>
              </w:rPr>
              <w:fldChar w:fldCharType="begin"/>
            </w:r>
            <w:r>
              <w:rPr>
                <w:noProof/>
                <w:webHidden/>
              </w:rPr>
              <w:instrText xml:space="preserve"> PAGEREF _Toc227451627 \h </w:instrText>
            </w:r>
            <w:r>
              <w:rPr>
                <w:noProof/>
                <w:webHidden/>
              </w:rPr>
            </w:r>
            <w:r>
              <w:rPr>
                <w:noProof/>
                <w:webHidden/>
              </w:rPr>
              <w:fldChar w:fldCharType="separate"/>
            </w:r>
            <w:r>
              <w:rPr>
                <w:noProof/>
                <w:webHidden/>
              </w:rPr>
              <w:t>79</w:t>
            </w:r>
            <w:r>
              <w:rPr>
                <w:noProof/>
                <w:webHidden/>
              </w:rPr>
              <w:fldChar w:fldCharType="end"/>
            </w:r>
          </w:hyperlink>
        </w:p>
        <w:p w:rsidR="00E94928" w:rsidRDefault="00E94928" w14:paraId="1F8CAB37" w14:textId="00D75DC6">
          <w:pPr>
            <w:pStyle w:val="TOC2"/>
            <w:rPr>
              <w:rFonts w:asciiTheme="minorHAnsi" w:hAnsiTheme="minorHAnsi" w:eastAsiaTheme="minorEastAsia"/>
              <w:noProof/>
              <w:kern w:val="2"/>
              <w:sz w:val="24"/>
              <w:szCs w:val="24"/>
              <w14:ligatures w14:val="standardContextual"/>
            </w:rPr>
          </w:pPr>
          <w:hyperlink w:history="1" w:anchor="_Toc227451628">
            <w:r w:rsidRPr="00A52F3A">
              <w:rPr>
                <w:rStyle w:val="Hyperlink"/>
                <w:rFonts w:cs="Arial"/>
                <w:noProof/>
                <w:specVanish/>
              </w:rPr>
              <w:t>20.11</w:t>
            </w:r>
            <w:r>
              <w:rPr>
                <w:rFonts w:asciiTheme="minorHAnsi" w:hAnsiTheme="minorHAnsi" w:eastAsiaTheme="minorEastAsia"/>
                <w:noProof/>
                <w:kern w:val="2"/>
                <w:sz w:val="24"/>
                <w:szCs w:val="24"/>
                <w14:ligatures w14:val="standardContextual"/>
              </w:rPr>
              <w:tab/>
            </w:r>
            <w:r w:rsidRPr="00A52F3A">
              <w:rPr>
                <w:rStyle w:val="Hyperlink"/>
                <w:rFonts w:cs="Arial"/>
                <w:noProof/>
              </w:rPr>
              <w:t>Headings.</w:t>
            </w:r>
            <w:r>
              <w:rPr>
                <w:noProof/>
                <w:webHidden/>
              </w:rPr>
              <w:tab/>
            </w:r>
            <w:r>
              <w:rPr>
                <w:noProof/>
                <w:webHidden/>
              </w:rPr>
              <w:fldChar w:fldCharType="begin"/>
            </w:r>
            <w:r>
              <w:rPr>
                <w:noProof/>
                <w:webHidden/>
              </w:rPr>
              <w:instrText xml:space="preserve"> PAGEREF _Toc227451628 \h </w:instrText>
            </w:r>
            <w:r>
              <w:rPr>
                <w:noProof/>
                <w:webHidden/>
              </w:rPr>
            </w:r>
            <w:r>
              <w:rPr>
                <w:noProof/>
                <w:webHidden/>
              </w:rPr>
              <w:fldChar w:fldCharType="separate"/>
            </w:r>
            <w:r>
              <w:rPr>
                <w:noProof/>
                <w:webHidden/>
              </w:rPr>
              <w:t>79</w:t>
            </w:r>
            <w:r>
              <w:rPr>
                <w:noProof/>
                <w:webHidden/>
              </w:rPr>
              <w:fldChar w:fldCharType="end"/>
            </w:r>
          </w:hyperlink>
        </w:p>
        <w:p w:rsidR="00E94928" w:rsidRDefault="00E94928" w14:paraId="729114CD" w14:textId="4D0BCA18">
          <w:pPr>
            <w:pStyle w:val="TOC2"/>
            <w:rPr>
              <w:rFonts w:asciiTheme="minorHAnsi" w:hAnsiTheme="minorHAnsi" w:eastAsiaTheme="minorEastAsia"/>
              <w:noProof/>
              <w:kern w:val="2"/>
              <w:sz w:val="24"/>
              <w:szCs w:val="24"/>
              <w14:ligatures w14:val="standardContextual"/>
            </w:rPr>
          </w:pPr>
          <w:hyperlink w:history="1" w:anchor="_Toc227451629">
            <w:r w:rsidRPr="00A52F3A">
              <w:rPr>
                <w:rStyle w:val="Hyperlink"/>
                <w:rFonts w:cs="Arial"/>
                <w:noProof/>
                <w:specVanish/>
              </w:rPr>
              <w:t>20.12</w:t>
            </w:r>
            <w:r>
              <w:rPr>
                <w:rFonts w:asciiTheme="minorHAnsi" w:hAnsiTheme="minorHAnsi" w:eastAsiaTheme="minorEastAsia"/>
                <w:noProof/>
                <w:kern w:val="2"/>
                <w:sz w:val="24"/>
                <w:szCs w:val="24"/>
                <w14:ligatures w14:val="standardContextual"/>
              </w:rPr>
              <w:tab/>
            </w:r>
            <w:r w:rsidRPr="00A52F3A">
              <w:rPr>
                <w:rStyle w:val="Hyperlink"/>
                <w:rFonts w:cs="Arial"/>
                <w:noProof/>
              </w:rPr>
              <w:t>Third Parties.</w:t>
            </w:r>
            <w:r>
              <w:rPr>
                <w:noProof/>
                <w:webHidden/>
              </w:rPr>
              <w:tab/>
            </w:r>
            <w:r>
              <w:rPr>
                <w:noProof/>
                <w:webHidden/>
              </w:rPr>
              <w:fldChar w:fldCharType="begin"/>
            </w:r>
            <w:r>
              <w:rPr>
                <w:noProof/>
                <w:webHidden/>
              </w:rPr>
              <w:instrText xml:space="preserve"> PAGEREF _Toc227451629 \h </w:instrText>
            </w:r>
            <w:r>
              <w:rPr>
                <w:noProof/>
                <w:webHidden/>
              </w:rPr>
            </w:r>
            <w:r>
              <w:rPr>
                <w:noProof/>
                <w:webHidden/>
              </w:rPr>
              <w:fldChar w:fldCharType="separate"/>
            </w:r>
            <w:r>
              <w:rPr>
                <w:noProof/>
                <w:webHidden/>
              </w:rPr>
              <w:t>79</w:t>
            </w:r>
            <w:r>
              <w:rPr>
                <w:noProof/>
                <w:webHidden/>
              </w:rPr>
              <w:fldChar w:fldCharType="end"/>
            </w:r>
          </w:hyperlink>
        </w:p>
        <w:p w:rsidR="00E94928" w:rsidRDefault="00E94928" w14:paraId="42D7E2AD" w14:textId="4BCF8813">
          <w:pPr>
            <w:pStyle w:val="TOC2"/>
            <w:rPr>
              <w:rFonts w:asciiTheme="minorHAnsi" w:hAnsiTheme="minorHAnsi" w:eastAsiaTheme="minorEastAsia"/>
              <w:noProof/>
              <w:kern w:val="2"/>
              <w:sz w:val="24"/>
              <w:szCs w:val="24"/>
              <w14:ligatures w14:val="standardContextual"/>
            </w:rPr>
          </w:pPr>
          <w:hyperlink w:history="1" w:anchor="_Toc227451630">
            <w:r w:rsidRPr="00A52F3A">
              <w:rPr>
                <w:rStyle w:val="Hyperlink"/>
                <w:rFonts w:cs="Arial"/>
                <w:noProof/>
                <w:specVanish/>
              </w:rPr>
              <w:t>20.13</w:t>
            </w:r>
            <w:r>
              <w:rPr>
                <w:rFonts w:asciiTheme="minorHAnsi" w:hAnsiTheme="minorHAnsi" w:eastAsiaTheme="minorEastAsia"/>
                <w:noProof/>
                <w:kern w:val="2"/>
                <w:sz w:val="24"/>
                <w:szCs w:val="24"/>
                <w14:ligatures w14:val="standardContextual"/>
              </w:rPr>
              <w:tab/>
            </w:r>
            <w:r w:rsidRPr="00A52F3A">
              <w:rPr>
                <w:rStyle w:val="Hyperlink"/>
                <w:rFonts w:cs="Arial"/>
                <w:noProof/>
              </w:rPr>
              <w:t>Agency.</w:t>
            </w:r>
            <w:r>
              <w:rPr>
                <w:noProof/>
                <w:webHidden/>
              </w:rPr>
              <w:tab/>
            </w:r>
            <w:r>
              <w:rPr>
                <w:noProof/>
                <w:webHidden/>
              </w:rPr>
              <w:fldChar w:fldCharType="begin"/>
            </w:r>
            <w:r>
              <w:rPr>
                <w:noProof/>
                <w:webHidden/>
              </w:rPr>
              <w:instrText xml:space="preserve"> PAGEREF _Toc227451630 \h </w:instrText>
            </w:r>
            <w:r>
              <w:rPr>
                <w:noProof/>
                <w:webHidden/>
              </w:rPr>
            </w:r>
            <w:r>
              <w:rPr>
                <w:noProof/>
                <w:webHidden/>
              </w:rPr>
              <w:fldChar w:fldCharType="separate"/>
            </w:r>
            <w:r>
              <w:rPr>
                <w:noProof/>
                <w:webHidden/>
              </w:rPr>
              <w:t>79</w:t>
            </w:r>
            <w:r>
              <w:rPr>
                <w:noProof/>
                <w:webHidden/>
              </w:rPr>
              <w:fldChar w:fldCharType="end"/>
            </w:r>
          </w:hyperlink>
        </w:p>
        <w:p w:rsidR="00E94928" w:rsidRDefault="00E94928" w14:paraId="6F1FD765" w14:textId="7A40D594">
          <w:pPr>
            <w:pStyle w:val="TOC2"/>
            <w:rPr>
              <w:rFonts w:asciiTheme="minorHAnsi" w:hAnsiTheme="minorHAnsi" w:eastAsiaTheme="minorEastAsia"/>
              <w:noProof/>
              <w:kern w:val="2"/>
              <w:sz w:val="24"/>
              <w:szCs w:val="24"/>
              <w14:ligatures w14:val="standardContextual"/>
            </w:rPr>
          </w:pPr>
          <w:hyperlink w:history="1" w:anchor="_Toc227451631">
            <w:r w:rsidRPr="00A52F3A">
              <w:rPr>
                <w:rStyle w:val="Hyperlink"/>
                <w:rFonts w:cs="Arial"/>
                <w:noProof/>
                <w:specVanish/>
              </w:rPr>
              <w:t>20.14</w:t>
            </w:r>
            <w:r>
              <w:rPr>
                <w:rFonts w:asciiTheme="minorHAnsi" w:hAnsiTheme="minorHAnsi" w:eastAsiaTheme="minorEastAsia"/>
                <w:noProof/>
                <w:kern w:val="2"/>
                <w:sz w:val="24"/>
                <w:szCs w:val="24"/>
                <w14:ligatures w14:val="standardContextual"/>
              </w:rPr>
              <w:tab/>
            </w:r>
            <w:r w:rsidRPr="00A52F3A">
              <w:rPr>
                <w:rStyle w:val="Hyperlink"/>
                <w:rFonts w:cs="Arial"/>
                <w:noProof/>
              </w:rPr>
              <w:t>Severability.</w:t>
            </w:r>
            <w:r>
              <w:rPr>
                <w:noProof/>
                <w:webHidden/>
              </w:rPr>
              <w:tab/>
            </w:r>
            <w:r>
              <w:rPr>
                <w:noProof/>
                <w:webHidden/>
              </w:rPr>
              <w:fldChar w:fldCharType="begin"/>
            </w:r>
            <w:r>
              <w:rPr>
                <w:noProof/>
                <w:webHidden/>
              </w:rPr>
              <w:instrText xml:space="preserve"> PAGEREF _Toc227451631 \h </w:instrText>
            </w:r>
            <w:r>
              <w:rPr>
                <w:noProof/>
                <w:webHidden/>
              </w:rPr>
            </w:r>
            <w:r>
              <w:rPr>
                <w:noProof/>
                <w:webHidden/>
              </w:rPr>
              <w:fldChar w:fldCharType="separate"/>
            </w:r>
            <w:r>
              <w:rPr>
                <w:noProof/>
                <w:webHidden/>
              </w:rPr>
              <w:t>79</w:t>
            </w:r>
            <w:r>
              <w:rPr>
                <w:noProof/>
                <w:webHidden/>
              </w:rPr>
              <w:fldChar w:fldCharType="end"/>
            </w:r>
          </w:hyperlink>
        </w:p>
        <w:p w:rsidR="00E94928" w:rsidRDefault="00E94928" w14:paraId="339721A6" w14:textId="75484C68">
          <w:pPr>
            <w:pStyle w:val="TOC2"/>
            <w:rPr>
              <w:rFonts w:asciiTheme="minorHAnsi" w:hAnsiTheme="minorHAnsi" w:eastAsiaTheme="minorEastAsia"/>
              <w:noProof/>
              <w:kern w:val="2"/>
              <w:sz w:val="24"/>
              <w:szCs w:val="24"/>
              <w14:ligatures w14:val="standardContextual"/>
            </w:rPr>
          </w:pPr>
          <w:hyperlink w:history="1" w:anchor="_Toc227451632">
            <w:r w:rsidRPr="00A52F3A">
              <w:rPr>
                <w:rStyle w:val="Hyperlink"/>
                <w:rFonts w:cs="Arial"/>
                <w:noProof/>
                <w:specVanish/>
              </w:rPr>
              <w:t>20.15</w:t>
            </w:r>
            <w:r>
              <w:rPr>
                <w:rFonts w:asciiTheme="minorHAnsi" w:hAnsiTheme="minorHAnsi" w:eastAsiaTheme="minorEastAsia"/>
                <w:noProof/>
                <w:kern w:val="2"/>
                <w:sz w:val="24"/>
                <w:szCs w:val="24"/>
                <w14:ligatures w14:val="standardContextual"/>
              </w:rPr>
              <w:tab/>
            </w:r>
            <w:r w:rsidRPr="00A52F3A">
              <w:rPr>
                <w:rStyle w:val="Hyperlink"/>
                <w:rFonts w:cs="Arial"/>
                <w:noProof/>
              </w:rPr>
              <w:t>Negotiated Agreement.</w:t>
            </w:r>
            <w:r>
              <w:rPr>
                <w:noProof/>
                <w:webHidden/>
              </w:rPr>
              <w:tab/>
            </w:r>
            <w:r>
              <w:rPr>
                <w:noProof/>
                <w:webHidden/>
              </w:rPr>
              <w:fldChar w:fldCharType="begin"/>
            </w:r>
            <w:r>
              <w:rPr>
                <w:noProof/>
                <w:webHidden/>
              </w:rPr>
              <w:instrText xml:space="preserve"> PAGEREF _Toc227451632 \h </w:instrText>
            </w:r>
            <w:r>
              <w:rPr>
                <w:noProof/>
                <w:webHidden/>
              </w:rPr>
            </w:r>
            <w:r>
              <w:rPr>
                <w:noProof/>
                <w:webHidden/>
              </w:rPr>
              <w:fldChar w:fldCharType="separate"/>
            </w:r>
            <w:r>
              <w:rPr>
                <w:noProof/>
                <w:webHidden/>
              </w:rPr>
              <w:t>79</w:t>
            </w:r>
            <w:r>
              <w:rPr>
                <w:noProof/>
                <w:webHidden/>
              </w:rPr>
              <w:fldChar w:fldCharType="end"/>
            </w:r>
          </w:hyperlink>
        </w:p>
        <w:p w:rsidR="00E94928" w:rsidRDefault="00E94928" w14:paraId="47F29CC5" w14:textId="5A9B58D9">
          <w:pPr>
            <w:pStyle w:val="TOC2"/>
            <w:rPr>
              <w:rFonts w:asciiTheme="minorHAnsi" w:hAnsiTheme="minorHAnsi" w:eastAsiaTheme="minorEastAsia"/>
              <w:noProof/>
              <w:kern w:val="2"/>
              <w:sz w:val="24"/>
              <w:szCs w:val="24"/>
              <w14:ligatures w14:val="standardContextual"/>
            </w:rPr>
          </w:pPr>
          <w:hyperlink w:history="1" w:anchor="_Toc227451633">
            <w:r w:rsidRPr="00A52F3A">
              <w:rPr>
                <w:rStyle w:val="Hyperlink"/>
                <w:rFonts w:cs="Arial"/>
                <w:noProof/>
                <w:specVanish/>
              </w:rPr>
              <w:t>20.16</w:t>
            </w:r>
            <w:r>
              <w:rPr>
                <w:rFonts w:asciiTheme="minorHAnsi" w:hAnsiTheme="minorHAnsi" w:eastAsiaTheme="minorEastAsia"/>
                <w:noProof/>
                <w:kern w:val="2"/>
                <w:sz w:val="24"/>
                <w:szCs w:val="24"/>
                <w14:ligatures w14:val="standardContextual"/>
              </w:rPr>
              <w:tab/>
            </w:r>
            <w:r w:rsidRPr="00A52F3A">
              <w:rPr>
                <w:rStyle w:val="Hyperlink"/>
                <w:rFonts w:cs="Arial"/>
                <w:noProof/>
              </w:rPr>
              <w:t>Confidentiality.</w:t>
            </w:r>
            <w:r>
              <w:rPr>
                <w:noProof/>
                <w:webHidden/>
              </w:rPr>
              <w:tab/>
            </w:r>
            <w:r>
              <w:rPr>
                <w:noProof/>
                <w:webHidden/>
              </w:rPr>
              <w:fldChar w:fldCharType="begin"/>
            </w:r>
            <w:r>
              <w:rPr>
                <w:noProof/>
                <w:webHidden/>
              </w:rPr>
              <w:instrText xml:space="preserve"> PAGEREF _Toc227451633 \h </w:instrText>
            </w:r>
            <w:r>
              <w:rPr>
                <w:noProof/>
                <w:webHidden/>
              </w:rPr>
            </w:r>
            <w:r>
              <w:rPr>
                <w:noProof/>
                <w:webHidden/>
              </w:rPr>
              <w:fldChar w:fldCharType="separate"/>
            </w:r>
            <w:r>
              <w:rPr>
                <w:noProof/>
                <w:webHidden/>
              </w:rPr>
              <w:t>79</w:t>
            </w:r>
            <w:r>
              <w:rPr>
                <w:noProof/>
                <w:webHidden/>
              </w:rPr>
              <w:fldChar w:fldCharType="end"/>
            </w:r>
          </w:hyperlink>
        </w:p>
        <w:p w:rsidR="00E94928" w:rsidRDefault="00E94928" w14:paraId="417505A3" w14:textId="370F21E9">
          <w:pPr>
            <w:pStyle w:val="TOC2"/>
            <w:rPr>
              <w:rFonts w:asciiTheme="minorHAnsi" w:hAnsiTheme="minorHAnsi" w:eastAsiaTheme="minorEastAsia"/>
              <w:noProof/>
              <w:kern w:val="2"/>
              <w:sz w:val="24"/>
              <w:szCs w:val="24"/>
              <w14:ligatures w14:val="standardContextual"/>
            </w:rPr>
          </w:pPr>
          <w:hyperlink w:history="1" w:anchor="_Toc227451634">
            <w:r w:rsidRPr="00A52F3A">
              <w:rPr>
                <w:rStyle w:val="Hyperlink"/>
                <w:rFonts w:cs="Arial"/>
                <w:noProof/>
                <w:specVanish/>
              </w:rPr>
              <w:t>20.17</w:t>
            </w:r>
            <w:r>
              <w:rPr>
                <w:rFonts w:asciiTheme="minorHAnsi" w:hAnsiTheme="minorHAnsi" w:eastAsiaTheme="minorEastAsia"/>
                <w:noProof/>
                <w:kern w:val="2"/>
                <w:sz w:val="24"/>
                <w:szCs w:val="24"/>
                <w14:ligatures w14:val="standardContextual"/>
              </w:rPr>
              <w:tab/>
            </w:r>
            <w:r w:rsidRPr="00A52F3A">
              <w:rPr>
                <w:rStyle w:val="Hyperlink"/>
                <w:rFonts w:cs="Arial"/>
                <w:noProof/>
              </w:rPr>
              <w:t>Contract Interpretation.</w:t>
            </w:r>
            <w:r>
              <w:rPr>
                <w:noProof/>
                <w:webHidden/>
              </w:rPr>
              <w:tab/>
            </w:r>
            <w:r>
              <w:rPr>
                <w:noProof/>
                <w:webHidden/>
              </w:rPr>
              <w:fldChar w:fldCharType="begin"/>
            </w:r>
            <w:r>
              <w:rPr>
                <w:noProof/>
                <w:webHidden/>
              </w:rPr>
              <w:instrText xml:space="preserve"> PAGEREF _Toc227451634 \h </w:instrText>
            </w:r>
            <w:r>
              <w:rPr>
                <w:noProof/>
                <w:webHidden/>
              </w:rPr>
            </w:r>
            <w:r>
              <w:rPr>
                <w:noProof/>
                <w:webHidden/>
              </w:rPr>
              <w:fldChar w:fldCharType="separate"/>
            </w:r>
            <w:r>
              <w:rPr>
                <w:noProof/>
                <w:webHidden/>
              </w:rPr>
              <w:t>80</w:t>
            </w:r>
            <w:r>
              <w:rPr>
                <w:noProof/>
                <w:webHidden/>
              </w:rPr>
              <w:fldChar w:fldCharType="end"/>
            </w:r>
          </w:hyperlink>
        </w:p>
        <w:p w:rsidR="00E94928" w:rsidRDefault="00E94928" w14:paraId="41661069" w14:textId="1573DEE1">
          <w:pPr>
            <w:pStyle w:val="TOC2"/>
            <w:rPr>
              <w:rFonts w:asciiTheme="minorHAnsi" w:hAnsiTheme="minorHAnsi" w:eastAsiaTheme="minorEastAsia"/>
              <w:noProof/>
              <w:kern w:val="2"/>
              <w:sz w:val="24"/>
              <w:szCs w:val="24"/>
              <w14:ligatures w14:val="standardContextual"/>
            </w:rPr>
          </w:pPr>
          <w:hyperlink w:history="1" w:anchor="_Toc227451635">
            <w:r w:rsidRPr="00A52F3A">
              <w:rPr>
                <w:rStyle w:val="Hyperlink"/>
                <w:rFonts w:cs="Arial"/>
                <w:noProof/>
                <w:specVanish/>
              </w:rPr>
              <w:t>20.18</w:t>
            </w:r>
            <w:r>
              <w:rPr>
                <w:rFonts w:asciiTheme="minorHAnsi" w:hAnsiTheme="minorHAnsi" w:eastAsiaTheme="minorEastAsia"/>
                <w:noProof/>
                <w:kern w:val="2"/>
                <w:sz w:val="24"/>
                <w:szCs w:val="24"/>
                <w14:ligatures w14:val="standardContextual"/>
              </w:rPr>
              <w:tab/>
            </w:r>
            <w:r w:rsidRPr="00A52F3A">
              <w:rPr>
                <w:rStyle w:val="Hyperlink"/>
                <w:rFonts w:cs="Arial"/>
                <w:noProof/>
              </w:rPr>
              <w:t>Replacement Index.</w:t>
            </w:r>
            <w:r>
              <w:rPr>
                <w:noProof/>
                <w:webHidden/>
              </w:rPr>
              <w:tab/>
            </w:r>
            <w:r>
              <w:rPr>
                <w:noProof/>
                <w:webHidden/>
              </w:rPr>
              <w:fldChar w:fldCharType="begin"/>
            </w:r>
            <w:r>
              <w:rPr>
                <w:noProof/>
                <w:webHidden/>
              </w:rPr>
              <w:instrText xml:space="preserve"> PAGEREF _Toc227451635 \h </w:instrText>
            </w:r>
            <w:r>
              <w:rPr>
                <w:noProof/>
                <w:webHidden/>
              </w:rPr>
            </w:r>
            <w:r>
              <w:rPr>
                <w:noProof/>
                <w:webHidden/>
              </w:rPr>
              <w:fldChar w:fldCharType="separate"/>
            </w:r>
            <w:r>
              <w:rPr>
                <w:noProof/>
                <w:webHidden/>
              </w:rPr>
              <w:t>81</w:t>
            </w:r>
            <w:r>
              <w:rPr>
                <w:noProof/>
                <w:webHidden/>
              </w:rPr>
              <w:fldChar w:fldCharType="end"/>
            </w:r>
          </w:hyperlink>
        </w:p>
        <w:p w:rsidR="00E94928" w:rsidRDefault="00E94928" w14:paraId="03906FF4" w14:textId="66D81870">
          <w:pPr>
            <w:pStyle w:val="TOC2"/>
            <w:rPr>
              <w:rFonts w:asciiTheme="minorHAnsi" w:hAnsiTheme="minorHAnsi" w:eastAsiaTheme="minorEastAsia"/>
              <w:noProof/>
              <w:kern w:val="2"/>
              <w:sz w:val="24"/>
              <w:szCs w:val="24"/>
              <w14:ligatures w14:val="standardContextual"/>
            </w:rPr>
          </w:pPr>
          <w:hyperlink w:history="1" w:anchor="_Toc227451636">
            <w:r w:rsidRPr="00A52F3A">
              <w:rPr>
                <w:rStyle w:val="Hyperlink"/>
                <w:rFonts w:cs="Arial"/>
                <w:noProof/>
                <w:specVanish/>
              </w:rPr>
              <w:t>20.19</w:t>
            </w:r>
            <w:r>
              <w:rPr>
                <w:rFonts w:asciiTheme="minorHAnsi" w:hAnsiTheme="minorHAnsi" w:eastAsiaTheme="minorEastAsia"/>
                <w:noProof/>
                <w:kern w:val="2"/>
                <w:sz w:val="24"/>
                <w:szCs w:val="24"/>
                <w14:ligatures w14:val="standardContextual"/>
              </w:rPr>
              <w:tab/>
            </w:r>
            <w:r w:rsidRPr="00A52F3A">
              <w:rPr>
                <w:rStyle w:val="Hyperlink"/>
                <w:rFonts w:cs="Arial"/>
                <w:noProof/>
              </w:rPr>
              <w:t>Recording.</w:t>
            </w:r>
            <w:r>
              <w:rPr>
                <w:noProof/>
                <w:webHidden/>
              </w:rPr>
              <w:tab/>
            </w:r>
            <w:r>
              <w:rPr>
                <w:noProof/>
                <w:webHidden/>
              </w:rPr>
              <w:fldChar w:fldCharType="begin"/>
            </w:r>
            <w:r>
              <w:rPr>
                <w:noProof/>
                <w:webHidden/>
              </w:rPr>
              <w:instrText xml:space="preserve"> PAGEREF _Toc227451636 \h </w:instrText>
            </w:r>
            <w:r>
              <w:rPr>
                <w:noProof/>
                <w:webHidden/>
              </w:rPr>
            </w:r>
            <w:r>
              <w:rPr>
                <w:noProof/>
                <w:webHidden/>
              </w:rPr>
              <w:fldChar w:fldCharType="separate"/>
            </w:r>
            <w:r>
              <w:rPr>
                <w:noProof/>
                <w:webHidden/>
              </w:rPr>
              <w:t>81</w:t>
            </w:r>
            <w:r>
              <w:rPr>
                <w:noProof/>
                <w:webHidden/>
              </w:rPr>
              <w:fldChar w:fldCharType="end"/>
            </w:r>
          </w:hyperlink>
        </w:p>
        <w:p w:rsidR="00E94928" w:rsidRDefault="00E94928" w14:paraId="57239504" w14:textId="118F4274">
          <w:pPr>
            <w:pStyle w:val="TOC2"/>
            <w:rPr>
              <w:rFonts w:asciiTheme="minorHAnsi" w:hAnsiTheme="minorHAnsi" w:eastAsiaTheme="minorEastAsia"/>
              <w:noProof/>
              <w:kern w:val="2"/>
              <w:sz w:val="24"/>
              <w:szCs w:val="24"/>
              <w14:ligatures w14:val="standardContextual"/>
            </w:rPr>
          </w:pPr>
          <w:hyperlink w:history="1" w:anchor="_Toc227451637">
            <w:r w:rsidRPr="00A52F3A">
              <w:rPr>
                <w:rStyle w:val="Hyperlink"/>
                <w:rFonts w:cs="Arial"/>
                <w:noProof/>
                <w:specVanish/>
              </w:rPr>
              <w:t>20.20</w:t>
            </w:r>
            <w:r>
              <w:rPr>
                <w:rFonts w:asciiTheme="minorHAnsi" w:hAnsiTheme="minorHAnsi" w:eastAsiaTheme="minorEastAsia"/>
                <w:noProof/>
                <w:kern w:val="2"/>
                <w:sz w:val="24"/>
                <w:szCs w:val="24"/>
                <w14:ligatures w14:val="standardContextual"/>
              </w:rPr>
              <w:tab/>
            </w:r>
            <w:r w:rsidRPr="00A52F3A">
              <w:rPr>
                <w:rStyle w:val="Hyperlink"/>
                <w:rFonts w:cs="Arial"/>
                <w:noProof/>
              </w:rPr>
              <w:t>Further Assurances.</w:t>
            </w:r>
            <w:r>
              <w:rPr>
                <w:noProof/>
                <w:webHidden/>
              </w:rPr>
              <w:tab/>
            </w:r>
            <w:r>
              <w:rPr>
                <w:noProof/>
                <w:webHidden/>
              </w:rPr>
              <w:fldChar w:fldCharType="begin"/>
            </w:r>
            <w:r>
              <w:rPr>
                <w:noProof/>
                <w:webHidden/>
              </w:rPr>
              <w:instrText xml:space="preserve"> PAGEREF _Toc227451637 \h </w:instrText>
            </w:r>
            <w:r>
              <w:rPr>
                <w:noProof/>
                <w:webHidden/>
              </w:rPr>
            </w:r>
            <w:r>
              <w:rPr>
                <w:noProof/>
                <w:webHidden/>
              </w:rPr>
              <w:fldChar w:fldCharType="separate"/>
            </w:r>
            <w:r>
              <w:rPr>
                <w:noProof/>
                <w:webHidden/>
              </w:rPr>
              <w:t>81</w:t>
            </w:r>
            <w:r>
              <w:rPr>
                <w:noProof/>
                <w:webHidden/>
              </w:rPr>
              <w:fldChar w:fldCharType="end"/>
            </w:r>
          </w:hyperlink>
        </w:p>
        <w:p w:rsidR="00E94928" w:rsidRDefault="00E94928" w14:paraId="0B18AF32" w14:textId="36FD76BA">
          <w:pPr>
            <w:pStyle w:val="TOC2"/>
            <w:rPr>
              <w:rFonts w:asciiTheme="minorHAnsi" w:hAnsiTheme="minorHAnsi" w:eastAsiaTheme="minorEastAsia"/>
              <w:noProof/>
              <w:kern w:val="2"/>
              <w:sz w:val="24"/>
              <w:szCs w:val="24"/>
              <w14:ligatures w14:val="standardContextual"/>
            </w:rPr>
          </w:pPr>
          <w:hyperlink w:history="1" w:anchor="_Toc227451638">
            <w:r w:rsidRPr="00A52F3A">
              <w:rPr>
                <w:rStyle w:val="Hyperlink"/>
                <w:rFonts w:cs="Arial"/>
                <w:noProof/>
                <w:specVanish/>
              </w:rPr>
              <w:t>20.21</w:t>
            </w:r>
            <w:r>
              <w:rPr>
                <w:rFonts w:asciiTheme="minorHAnsi" w:hAnsiTheme="minorHAnsi" w:eastAsiaTheme="minorEastAsia"/>
                <w:noProof/>
                <w:kern w:val="2"/>
                <w:sz w:val="24"/>
                <w:szCs w:val="24"/>
                <w14:ligatures w14:val="standardContextual"/>
              </w:rPr>
              <w:tab/>
            </w:r>
            <w:r w:rsidRPr="00A52F3A">
              <w:rPr>
                <w:rStyle w:val="Hyperlink"/>
                <w:rFonts w:cs="Arial"/>
                <w:noProof/>
              </w:rPr>
              <w:t>Transfer of Information Acknowledgement.</w:t>
            </w:r>
            <w:r>
              <w:rPr>
                <w:noProof/>
                <w:webHidden/>
              </w:rPr>
              <w:tab/>
            </w:r>
            <w:r>
              <w:rPr>
                <w:noProof/>
                <w:webHidden/>
              </w:rPr>
              <w:fldChar w:fldCharType="begin"/>
            </w:r>
            <w:r>
              <w:rPr>
                <w:noProof/>
                <w:webHidden/>
              </w:rPr>
              <w:instrText xml:space="preserve"> PAGEREF _Toc227451638 \h </w:instrText>
            </w:r>
            <w:r>
              <w:rPr>
                <w:noProof/>
                <w:webHidden/>
              </w:rPr>
            </w:r>
            <w:r>
              <w:rPr>
                <w:noProof/>
                <w:webHidden/>
              </w:rPr>
              <w:fldChar w:fldCharType="separate"/>
            </w:r>
            <w:r>
              <w:rPr>
                <w:noProof/>
                <w:webHidden/>
              </w:rPr>
              <w:t>81</w:t>
            </w:r>
            <w:r>
              <w:rPr>
                <w:noProof/>
                <w:webHidden/>
              </w:rPr>
              <w:fldChar w:fldCharType="end"/>
            </w:r>
          </w:hyperlink>
        </w:p>
        <w:p w:rsidR="00E94928" w:rsidRDefault="00E94928" w14:paraId="4D05C47D" w14:textId="5AA8B263">
          <w:pPr>
            <w:pStyle w:val="TOC2"/>
            <w:rPr>
              <w:rFonts w:asciiTheme="minorHAnsi" w:hAnsiTheme="minorHAnsi" w:eastAsiaTheme="minorEastAsia"/>
              <w:noProof/>
              <w:kern w:val="2"/>
              <w:sz w:val="24"/>
              <w:szCs w:val="24"/>
              <w14:ligatures w14:val="standardContextual"/>
            </w:rPr>
          </w:pPr>
          <w:hyperlink w:history="1" w:anchor="_Toc227451639">
            <w:r w:rsidRPr="00A52F3A">
              <w:rPr>
                <w:rStyle w:val="Hyperlink"/>
                <w:noProof/>
                <w:specVanish/>
              </w:rPr>
              <w:t>20.22</w:t>
            </w:r>
            <w:r>
              <w:rPr>
                <w:rFonts w:asciiTheme="minorHAnsi" w:hAnsiTheme="minorHAnsi" w:eastAsiaTheme="minorEastAsia"/>
                <w:noProof/>
                <w:kern w:val="2"/>
                <w:sz w:val="24"/>
                <w:szCs w:val="24"/>
                <w14:ligatures w14:val="standardContextual"/>
              </w:rPr>
              <w:tab/>
            </w:r>
            <w:r w:rsidRPr="00A52F3A">
              <w:rPr>
                <w:rStyle w:val="Hyperlink"/>
                <w:noProof/>
              </w:rPr>
              <w:t>Service Contract.</w:t>
            </w:r>
            <w:r>
              <w:rPr>
                <w:noProof/>
                <w:webHidden/>
              </w:rPr>
              <w:tab/>
            </w:r>
            <w:r>
              <w:rPr>
                <w:noProof/>
                <w:webHidden/>
              </w:rPr>
              <w:fldChar w:fldCharType="begin"/>
            </w:r>
            <w:r>
              <w:rPr>
                <w:noProof/>
                <w:webHidden/>
              </w:rPr>
              <w:instrText xml:space="preserve"> PAGEREF _Toc227451639 \h </w:instrText>
            </w:r>
            <w:r>
              <w:rPr>
                <w:noProof/>
                <w:webHidden/>
              </w:rPr>
            </w:r>
            <w:r>
              <w:rPr>
                <w:noProof/>
                <w:webHidden/>
              </w:rPr>
              <w:fldChar w:fldCharType="separate"/>
            </w:r>
            <w:r>
              <w:rPr>
                <w:noProof/>
                <w:webHidden/>
              </w:rPr>
              <w:t>81</w:t>
            </w:r>
            <w:r>
              <w:rPr>
                <w:noProof/>
                <w:webHidden/>
              </w:rPr>
              <w:fldChar w:fldCharType="end"/>
            </w:r>
          </w:hyperlink>
        </w:p>
        <w:p w:rsidR="00E94928" w:rsidRDefault="00E94928" w14:paraId="714FD982" w14:textId="17B609A6">
          <w:pPr>
            <w:pStyle w:val="TOC1"/>
            <w:rPr>
              <w:rFonts w:asciiTheme="minorHAnsi" w:hAnsiTheme="minorHAnsi" w:eastAsiaTheme="minorEastAsia" w:cstheme="minorBidi"/>
              <w:b w:val="0"/>
              <w:caps w:val="0"/>
              <w:noProof/>
              <w:kern w:val="2"/>
              <w:sz w:val="24"/>
              <w:szCs w:val="24"/>
              <w14:ligatures w14:val="standardContextual"/>
            </w:rPr>
          </w:pPr>
          <w:hyperlink w:history="1" w:anchor="_Toc227451640">
            <w:r w:rsidRPr="00A52F3A">
              <w:rPr>
                <w:rStyle w:val="Hyperlink"/>
                <w:rFonts w:eastAsia="Calibri"/>
                <w:noProof/>
              </w:rPr>
              <w:t xml:space="preserve">Exhibit A </w:t>
            </w:r>
            <w:r w:rsidRPr="00A52F3A">
              <w:rPr>
                <w:rStyle w:val="Hyperlink"/>
                <w:rFonts w:eastAsia="Arial"/>
                <w:noProof/>
              </w:rPr>
              <w:t>–</w:t>
            </w:r>
            <w:r w:rsidRPr="00A52F3A">
              <w:rPr>
                <w:rStyle w:val="Hyperlink"/>
                <w:noProof/>
              </w:rPr>
              <w:t xml:space="preserve"> </w:t>
            </w:r>
            <w:r w:rsidRPr="00A52F3A">
              <w:rPr>
                <w:rStyle w:val="Hyperlink"/>
                <w:rFonts w:eastAsia="Calibri"/>
                <w:noProof/>
              </w:rPr>
              <w:t>Facility Description and Additional Details</w:t>
            </w:r>
            <w:r>
              <w:rPr>
                <w:noProof/>
                <w:webHidden/>
              </w:rPr>
              <w:tab/>
            </w:r>
            <w:r>
              <w:rPr>
                <w:noProof/>
                <w:webHidden/>
              </w:rPr>
              <w:fldChar w:fldCharType="begin"/>
            </w:r>
            <w:r>
              <w:rPr>
                <w:noProof/>
                <w:webHidden/>
              </w:rPr>
              <w:instrText xml:space="preserve"> PAGEREF _Toc227451640 \h </w:instrText>
            </w:r>
            <w:r>
              <w:rPr>
                <w:noProof/>
                <w:webHidden/>
              </w:rPr>
            </w:r>
            <w:r>
              <w:rPr>
                <w:noProof/>
                <w:webHidden/>
              </w:rPr>
              <w:fldChar w:fldCharType="separate"/>
            </w:r>
            <w:r>
              <w:rPr>
                <w:noProof/>
                <w:webHidden/>
              </w:rPr>
              <w:t>82</w:t>
            </w:r>
            <w:r>
              <w:rPr>
                <w:noProof/>
                <w:webHidden/>
              </w:rPr>
              <w:fldChar w:fldCharType="end"/>
            </w:r>
          </w:hyperlink>
        </w:p>
        <w:p w:rsidR="00E94928" w:rsidRDefault="00E94928" w14:paraId="1F5831DC" w14:textId="47A7E623">
          <w:pPr>
            <w:pStyle w:val="TOC1"/>
            <w:rPr>
              <w:rFonts w:asciiTheme="minorHAnsi" w:hAnsiTheme="minorHAnsi" w:eastAsiaTheme="minorEastAsia" w:cstheme="minorBidi"/>
              <w:b w:val="0"/>
              <w:caps w:val="0"/>
              <w:noProof/>
              <w:kern w:val="2"/>
              <w:sz w:val="24"/>
              <w:szCs w:val="24"/>
              <w14:ligatures w14:val="standardContextual"/>
            </w:rPr>
          </w:pPr>
          <w:hyperlink w:history="1" w:anchor="_Toc227451641">
            <w:r w:rsidRPr="00A52F3A">
              <w:rPr>
                <w:rStyle w:val="Hyperlink"/>
                <w:noProof/>
              </w:rPr>
              <w:t>Exhibit A-1 – Key Milestones and Required Key Milestone Dates</w:t>
            </w:r>
            <w:r>
              <w:rPr>
                <w:noProof/>
                <w:webHidden/>
              </w:rPr>
              <w:tab/>
            </w:r>
            <w:r>
              <w:rPr>
                <w:noProof/>
                <w:webHidden/>
              </w:rPr>
              <w:fldChar w:fldCharType="begin"/>
            </w:r>
            <w:r>
              <w:rPr>
                <w:noProof/>
                <w:webHidden/>
              </w:rPr>
              <w:instrText xml:space="preserve"> PAGEREF _Toc227451641 \h </w:instrText>
            </w:r>
            <w:r>
              <w:rPr>
                <w:noProof/>
                <w:webHidden/>
              </w:rPr>
            </w:r>
            <w:r>
              <w:rPr>
                <w:noProof/>
                <w:webHidden/>
              </w:rPr>
              <w:fldChar w:fldCharType="separate"/>
            </w:r>
            <w:r>
              <w:rPr>
                <w:noProof/>
                <w:webHidden/>
              </w:rPr>
              <w:t>85</w:t>
            </w:r>
            <w:r>
              <w:rPr>
                <w:noProof/>
                <w:webHidden/>
              </w:rPr>
              <w:fldChar w:fldCharType="end"/>
            </w:r>
          </w:hyperlink>
        </w:p>
        <w:p w:rsidR="00E94928" w:rsidRDefault="00E94928" w14:paraId="157D927A" w14:textId="6F6E03B5">
          <w:pPr>
            <w:pStyle w:val="TOC1"/>
            <w:rPr>
              <w:rFonts w:asciiTheme="minorHAnsi" w:hAnsiTheme="minorHAnsi" w:eastAsiaTheme="minorEastAsia" w:cstheme="minorBidi"/>
              <w:b w:val="0"/>
              <w:caps w:val="0"/>
              <w:noProof/>
              <w:kern w:val="2"/>
              <w:sz w:val="24"/>
              <w:szCs w:val="24"/>
              <w14:ligatures w14:val="standardContextual"/>
            </w:rPr>
          </w:pPr>
          <w:hyperlink w:history="1" w:anchor="_Toc227451642">
            <w:r w:rsidRPr="00A52F3A">
              <w:rPr>
                <w:rStyle w:val="Hyperlink"/>
                <w:noProof/>
              </w:rPr>
              <w:t>Exhibit A-2 – Performance Security and Liquidated Damages</w:t>
            </w:r>
            <w:r>
              <w:rPr>
                <w:noProof/>
                <w:webHidden/>
              </w:rPr>
              <w:tab/>
            </w:r>
            <w:r>
              <w:rPr>
                <w:noProof/>
                <w:webHidden/>
              </w:rPr>
              <w:fldChar w:fldCharType="begin"/>
            </w:r>
            <w:r>
              <w:rPr>
                <w:noProof/>
                <w:webHidden/>
              </w:rPr>
              <w:instrText xml:space="preserve"> PAGEREF _Toc227451642 \h </w:instrText>
            </w:r>
            <w:r>
              <w:rPr>
                <w:noProof/>
                <w:webHidden/>
              </w:rPr>
            </w:r>
            <w:r>
              <w:rPr>
                <w:noProof/>
                <w:webHidden/>
              </w:rPr>
              <w:fldChar w:fldCharType="separate"/>
            </w:r>
            <w:r>
              <w:rPr>
                <w:noProof/>
                <w:webHidden/>
              </w:rPr>
              <w:t>88</w:t>
            </w:r>
            <w:r>
              <w:rPr>
                <w:noProof/>
                <w:webHidden/>
              </w:rPr>
              <w:fldChar w:fldCharType="end"/>
            </w:r>
          </w:hyperlink>
        </w:p>
        <w:p w:rsidR="00E94928" w:rsidRDefault="00E94928" w14:paraId="0D6905B9" w14:textId="5DC87FD7">
          <w:pPr>
            <w:pStyle w:val="TOC1"/>
            <w:rPr>
              <w:rFonts w:asciiTheme="minorHAnsi" w:hAnsiTheme="minorHAnsi" w:eastAsiaTheme="minorEastAsia" w:cstheme="minorBidi"/>
              <w:b w:val="0"/>
              <w:caps w:val="0"/>
              <w:noProof/>
              <w:kern w:val="2"/>
              <w:sz w:val="24"/>
              <w:szCs w:val="24"/>
              <w14:ligatures w14:val="standardContextual"/>
            </w:rPr>
          </w:pPr>
          <w:hyperlink w:history="1" w:anchor="_Toc227451643">
            <w:r w:rsidRPr="00A52F3A">
              <w:rPr>
                <w:rStyle w:val="Hyperlink"/>
                <w:noProof/>
              </w:rPr>
              <w:t>Exhibit B – Capacity; Capacity Payments and Payment Reductions; Buydown</w:t>
            </w:r>
            <w:r>
              <w:rPr>
                <w:noProof/>
                <w:webHidden/>
              </w:rPr>
              <w:tab/>
            </w:r>
            <w:r>
              <w:rPr>
                <w:noProof/>
                <w:webHidden/>
              </w:rPr>
              <w:fldChar w:fldCharType="begin"/>
            </w:r>
            <w:r>
              <w:rPr>
                <w:noProof/>
                <w:webHidden/>
              </w:rPr>
              <w:instrText xml:space="preserve"> PAGEREF _Toc227451643 \h </w:instrText>
            </w:r>
            <w:r>
              <w:rPr>
                <w:noProof/>
                <w:webHidden/>
              </w:rPr>
            </w:r>
            <w:r>
              <w:rPr>
                <w:noProof/>
                <w:webHidden/>
              </w:rPr>
              <w:fldChar w:fldCharType="separate"/>
            </w:r>
            <w:r>
              <w:rPr>
                <w:noProof/>
                <w:webHidden/>
              </w:rPr>
              <w:t>89</w:t>
            </w:r>
            <w:r>
              <w:rPr>
                <w:noProof/>
                <w:webHidden/>
              </w:rPr>
              <w:fldChar w:fldCharType="end"/>
            </w:r>
          </w:hyperlink>
        </w:p>
        <w:p w:rsidR="00E94928" w:rsidRDefault="00E94928" w14:paraId="18145D6B" w14:textId="71426667">
          <w:pPr>
            <w:pStyle w:val="TOC1"/>
            <w:rPr>
              <w:rFonts w:asciiTheme="minorHAnsi" w:hAnsiTheme="minorHAnsi" w:eastAsiaTheme="minorEastAsia" w:cstheme="minorBidi"/>
              <w:b w:val="0"/>
              <w:caps w:val="0"/>
              <w:noProof/>
              <w:kern w:val="2"/>
              <w:sz w:val="24"/>
              <w:szCs w:val="24"/>
              <w14:ligatures w14:val="standardContextual"/>
            </w:rPr>
          </w:pPr>
          <w:hyperlink w:history="1" w:anchor="_Toc227451656">
            <w:r w:rsidRPr="00A52F3A">
              <w:rPr>
                <w:rStyle w:val="Hyperlink"/>
                <w:noProof/>
              </w:rPr>
              <w:t>Exhibit C – Monthly Capacity Payments; Monthly Capacity Reductions; AGC Performance METRICS AND Requirements</w:t>
            </w:r>
            <w:r>
              <w:rPr>
                <w:noProof/>
                <w:webHidden/>
              </w:rPr>
              <w:tab/>
            </w:r>
            <w:r>
              <w:rPr>
                <w:noProof/>
                <w:webHidden/>
              </w:rPr>
              <w:fldChar w:fldCharType="begin"/>
            </w:r>
            <w:r>
              <w:rPr>
                <w:noProof/>
                <w:webHidden/>
              </w:rPr>
              <w:instrText xml:space="preserve"> PAGEREF _Toc227451656 \h </w:instrText>
            </w:r>
            <w:r>
              <w:rPr>
                <w:noProof/>
                <w:webHidden/>
              </w:rPr>
            </w:r>
            <w:r>
              <w:rPr>
                <w:noProof/>
                <w:webHidden/>
              </w:rPr>
              <w:fldChar w:fldCharType="separate"/>
            </w:r>
            <w:r>
              <w:rPr>
                <w:noProof/>
                <w:webHidden/>
              </w:rPr>
              <w:t>93</w:t>
            </w:r>
            <w:r>
              <w:rPr>
                <w:noProof/>
                <w:webHidden/>
              </w:rPr>
              <w:fldChar w:fldCharType="end"/>
            </w:r>
          </w:hyperlink>
        </w:p>
        <w:p w:rsidR="00E94928" w:rsidRDefault="00E94928" w14:paraId="57CC195C" w14:textId="5BA54258">
          <w:pPr>
            <w:pStyle w:val="TOC1"/>
            <w:rPr>
              <w:rFonts w:asciiTheme="minorHAnsi" w:hAnsiTheme="minorHAnsi" w:eastAsiaTheme="minorEastAsia" w:cstheme="minorBidi"/>
              <w:b w:val="0"/>
              <w:caps w:val="0"/>
              <w:noProof/>
              <w:kern w:val="2"/>
              <w:sz w:val="24"/>
              <w:szCs w:val="24"/>
              <w14:ligatures w14:val="standardContextual"/>
            </w:rPr>
          </w:pPr>
          <w:hyperlink w:history="1" w:anchor="_Toc227451675">
            <w:r w:rsidRPr="00A52F3A">
              <w:rPr>
                <w:rStyle w:val="Hyperlink"/>
                <w:noProof/>
              </w:rPr>
              <w:t>Exhibit D – Reserved</w:t>
            </w:r>
            <w:r>
              <w:rPr>
                <w:noProof/>
                <w:webHidden/>
              </w:rPr>
              <w:tab/>
            </w:r>
            <w:r>
              <w:rPr>
                <w:noProof/>
                <w:webHidden/>
              </w:rPr>
              <w:fldChar w:fldCharType="begin"/>
            </w:r>
            <w:r>
              <w:rPr>
                <w:noProof/>
                <w:webHidden/>
              </w:rPr>
              <w:instrText xml:space="preserve"> PAGEREF _Toc227451675 \h </w:instrText>
            </w:r>
            <w:r>
              <w:rPr>
                <w:noProof/>
                <w:webHidden/>
              </w:rPr>
            </w:r>
            <w:r>
              <w:rPr>
                <w:noProof/>
                <w:webHidden/>
              </w:rPr>
              <w:fldChar w:fldCharType="separate"/>
            </w:r>
            <w:r>
              <w:rPr>
                <w:noProof/>
                <w:webHidden/>
              </w:rPr>
              <w:t>102</w:t>
            </w:r>
            <w:r>
              <w:rPr>
                <w:noProof/>
                <w:webHidden/>
              </w:rPr>
              <w:fldChar w:fldCharType="end"/>
            </w:r>
          </w:hyperlink>
        </w:p>
        <w:p w:rsidR="00E94928" w:rsidRDefault="00E94928" w14:paraId="4BF5D27C" w14:textId="094621C6">
          <w:pPr>
            <w:pStyle w:val="TOC1"/>
            <w:rPr>
              <w:rFonts w:asciiTheme="minorHAnsi" w:hAnsiTheme="minorHAnsi" w:eastAsiaTheme="minorEastAsia" w:cstheme="minorBidi"/>
              <w:b w:val="0"/>
              <w:caps w:val="0"/>
              <w:noProof/>
              <w:kern w:val="2"/>
              <w:sz w:val="24"/>
              <w:szCs w:val="24"/>
              <w14:ligatures w14:val="standardContextual"/>
            </w:rPr>
          </w:pPr>
          <w:hyperlink w:history="1" w:anchor="_Toc227451676">
            <w:r w:rsidRPr="00A52F3A">
              <w:rPr>
                <w:rStyle w:val="Hyperlink"/>
                <w:noProof/>
              </w:rPr>
              <w:t>Exhibit E – Performance Testing Procedures</w:t>
            </w:r>
            <w:r>
              <w:rPr>
                <w:noProof/>
                <w:webHidden/>
              </w:rPr>
              <w:tab/>
            </w:r>
            <w:r>
              <w:rPr>
                <w:noProof/>
                <w:webHidden/>
              </w:rPr>
              <w:fldChar w:fldCharType="begin"/>
            </w:r>
            <w:r>
              <w:rPr>
                <w:noProof/>
                <w:webHidden/>
              </w:rPr>
              <w:instrText xml:space="preserve"> PAGEREF _Toc227451676 \h </w:instrText>
            </w:r>
            <w:r>
              <w:rPr>
                <w:noProof/>
                <w:webHidden/>
              </w:rPr>
            </w:r>
            <w:r>
              <w:rPr>
                <w:noProof/>
                <w:webHidden/>
              </w:rPr>
              <w:fldChar w:fldCharType="separate"/>
            </w:r>
            <w:r>
              <w:rPr>
                <w:noProof/>
                <w:webHidden/>
              </w:rPr>
              <w:t>103</w:t>
            </w:r>
            <w:r>
              <w:rPr>
                <w:noProof/>
                <w:webHidden/>
              </w:rPr>
              <w:fldChar w:fldCharType="end"/>
            </w:r>
          </w:hyperlink>
        </w:p>
        <w:p w:rsidR="00E94928" w:rsidRDefault="00E94928" w14:paraId="79AF2537" w14:textId="79B1E7A6">
          <w:pPr>
            <w:pStyle w:val="TOC1"/>
            <w:rPr>
              <w:rFonts w:asciiTheme="minorHAnsi" w:hAnsiTheme="minorHAnsi" w:eastAsiaTheme="minorEastAsia" w:cstheme="minorBidi"/>
              <w:b w:val="0"/>
              <w:caps w:val="0"/>
              <w:noProof/>
              <w:kern w:val="2"/>
              <w:sz w:val="24"/>
              <w:szCs w:val="24"/>
              <w14:ligatures w14:val="standardContextual"/>
            </w:rPr>
          </w:pPr>
          <w:hyperlink w:history="1" w:anchor="_Toc227451690">
            <w:r w:rsidRPr="00A52F3A">
              <w:rPr>
                <w:rStyle w:val="Hyperlink"/>
                <w:noProof/>
              </w:rPr>
              <w:t>Exhibit G – AGC and Facility Minimum Data Requirements</w:t>
            </w:r>
            <w:r>
              <w:rPr>
                <w:noProof/>
                <w:webHidden/>
              </w:rPr>
              <w:tab/>
            </w:r>
            <w:r>
              <w:rPr>
                <w:noProof/>
                <w:webHidden/>
              </w:rPr>
              <w:fldChar w:fldCharType="begin"/>
            </w:r>
            <w:r>
              <w:rPr>
                <w:noProof/>
                <w:webHidden/>
              </w:rPr>
              <w:instrText xml:space="preserve"> PAGEREF _Toc227451690 \h </w:instrText>
            </w:r>
            <w:r>
              <w:rPr>
                <w:noProof/>
                <w:webHidden/>
              </w:rPr>
            </w:r>
            <w:r>
              <w:rPr>
                <w:noProof/>
                <w:webHidden/>
              </w:rPr>
              <w:fldChar w:fldCharType="separate"/>
            </w:r>
            <w:r>
              <w:rPr>
                <w:noProof/>
                <w:webHidden/>
              </w:rPr>
              <w:t>105</w:t>
            </w:r>
            <w:r>
              <w:rPr>
                <w:noProof/>
                <w:webHidden/>
              </w:rPr>
              <w:fldChar w:fldCharType="end"/>
            </w:r>
          </w:hyperlink>
        </w:p>
        <w:p w:rsidR="00E94928" w:rsidRDefault="00E94928" w14:paraId="0BB4FCC2" w14:textId="74D119E7">
          <w:pPr>
            <w:pStyle w:val="TOC1"/>
            <w:rPr>
              <w:rFonts w:asciiTheme="minorHAnsi" w:hAnsiTheme="minorHAnsi" w:eastAsiaTheme="minorEastAsia" w:cstheme="minorBidi"/>
              <w:b w:val="0"/>
              <w:caps w:val="0"/>
              <w:noProof/>
              <w:kern w:val="2"/>
              <w:sz w:val="24"/>
              <w:szCs w:val="24"/>
              <w14:ligatures w14:val="standardContextual"/>
            </w:rPr>
          </w:pPr>
          <w:hyperlink w:history="1" w:anchor="_Toc227451692">
            <w:r w:rsidRPr="00A52F3A">
              <w:rPr>
                <w:rStyle w:val="Hyperlink"/>
                <w:noProof/>
              </w:rPr>
              <w:t>Exhibit H – Facility One-Line Diagram</w:t>
            </w:r>
            <w:r>
              <w:rPr>
                <w:noProof/>
                <w:webHidden/>
              </w:rPr>
              <w:tab/>
            </w:r>
            <w:r>
              <w:rPr>
                <w:noProof/>
                <w:webHidden/>
              </w:rPr>
              <w:fldChar w:fldCharType="begin"/>
            </w:r>
            <w:r>
              <w:rPr>
                <w:noProof/>
                <w:webHidden/>
              </w:rPr>
              <w:instrText xml:space="preserve"> PAGEREF _Toc227451692 \h </w:instrText>
            </w:r>
            <w:r>
              <w:rPr>
                <w:noProof/>
                <w:webHidden/>
              </w:rPr>
            </w:r>
            <w:r>
              <w:rPr>
                <w:noProof/>
                <w:webHidden/>
              </w:rPr>
              <w:fldChar w:fldCharType="separate"/>
            </w:r>
            <w:r>
              <w:rPr>
                <w:noProof/>
                <w:webHidden/>
              </w:rPr>
              <w:t>112</w:t>
            </w:r>
            <w:r>
              <w:rPr>
                <w:noProof/>
                <w:webHidden/>
              </w:rPr>
              <w:fldChar w:fldCharType="end"/>
            </w:r>
          </w:hyperlink>
        </w:p>
        <w:p w:rsidR="00E94928" w:rsidRDefault="00E94928" w14:paraId="39514E95" w14:textId="49B03263">
          <w:pPr>
            <w:pStyle w:val="TOC1"/>
            <w:rPr>
              <w:rFonts w:asciiTheme="minorHAnsi" w:hAnsiTheme="minorHAnsi" w:eastAsiaTheme="minorEastAsia" w:cstheme="minorBidi"/>
              <w:b w:val="0"/>
              <w:caps w:val="0"/>
              <w:noProof/>
              <w:kern w:val="2"/>
              <w:sz w:val="24"/>
              <w:szCs w:val="24"/>
              <w14:ligatures w14:val="standardContextual"/>
            </w:rPr>
          </w:pPr>
          <w:hyperlink w:history="1" w:anchor="_Toc227451693">
            <w:r w:rsidRPr="00A52F3A">
              <w:rPr>
                <w:rStyle w:val="Hyperlink"/>
                <w:noProof/>
              </w:rPr>
              <w:t>Exhibit I – Requirements for PPA Facility</w:t>
            </w:r>
            <w:r>
              <w:rPr>
                <w:noProof/>
                <w:webHidden/>
              </w:rPr>
              <w:tab/>
            </w:r>
            <w:r>
              <w:rPr>
                <w:noProof/>
                <w:webHidden/>
              </w:rPr>
              <w:fldChar w:fldCharType="begin"/>
            </w:r>
            <w:r>
              <w:rPr>
                <w:noProof/>
                <w:webHidden/>
              </w:rPr>
              <w:instrText xml:space="preserve"> PAGEREF _Toc227451693 \h </w:instrText>
            </w:r>
            <w:r>
              <w:rPr>
                <w:noProof/>
                <w:webHidden/>
              </w:rPr>
            </w:r>
            <w:r>
              <w:rPr>
                <w:noProof/>
                <w:webHidden/>
              </w:rPr>
              <w:fldChar w:fldCharType="separate"/>
            </w:r>
            <w:r>
              <w:rPr>
                <w:noProof/>
                <w:webHidden/>
              </w:rPr>
              <w:t>113</w:t>
            </w:r>
            <w:r>
              <w:rPr>
                <w:noProof/>
                <w:webHidden/>
              </w:rPr>
              <w:fldChar w:fldCharType="end"/>
            </w:r>
          </w:hyperlink>
        </w:p>
        <w:p w:rsidR="00E94928" w:rsidRDefault="00E94928" w14:paraId="7655476C" w14:textId="15BE6703">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2">
            <w:r w:rsidRPr="00A52F3A">
              <w:rPr>
                <w:rStyle w:val="Hyperlink"/>
                <w:noProof/>
              </w:rPr>
              <w:t>Exhibit J – Form of Commercial Operation Completion Certificate</w:t>
            </w:r>
            <w:r>
              <w:rPr>
                <w:noProof/>
                <w:webHidden/>
              </w:rPr>
              <w:tab/>
            </w:r>
            <w:r>
              <w:rPr>
                <w:noProof/>
                <w:webHidden/>
              </w:rPr>
              <w:fldChar w:fldCharType="begin"/>
            </w:r>
            <w:r>
              <w:rPr>
                <w:noProof/>
                <w:webHidden/>
              </w:rPr>
              <w:instrText xml:space="preserve"> PAGEREF _Toc227451702 \h </w:instrText>
            </w:r>
            <w:r>
              <w:rPr>
                <w:noProof/>
                <w:webHidden/>
              </w:rPr>
            </w:r>
            <w:r>
              <w:rPr>
                <w:noProof/>
                <w:webHidden/>
              </w:rPr>
              <w:fldChar w:fldCharType="separate"/>
            </w:r>
            <w:r>
              <w:rPr>
                <w:noProof/>
                <w:webHidden/>
              </w:rPr>
              <w:t>116</w:t>
            </w:r>
            <w:r>
              <w:rPr>
                <w:noProof/>
                <w:webHidden/>
              </w:rPr>
              <w:fldChar w:fldCharType="end"/>
            </w:r>
          </w:hyperlink>
        </w:p>
        <w:p w:rsidR="00E94928" w:rsidRDefault="00E94928" w14:paraId="40A1F5A4" w14:textId="5FCF5C94">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3">
            <w:r w:rsidRPr="00A52F3A">
              <w:rPr>
                <w:rStyle w:val="Hyperlink"/>
                <w:noProof/>
              </w:rPr>
              <w:t>Exhibit K – Form of Standby Letter of Credit</w:t>
            </w:r>
            <w:r>
              <w:rPr>
                <w:noProof/>
                <w:webHidden/>
              </w:rPr>
              <w:tab/>
            </w:r>
            <w:r>
              <w:rPr>
                <w:noProof/>
                <w:webHidden/>
              </w:rPr>
              <w:fldChar w:fldCharType="begin"/>
            </w:r>
            <w:r>
              <w:rPr>
                <w:noProof/>
                <w:webHidden/>
              </w:rPr>
              <w:instrText xml:space="preserve"> PAGEREF _Toc227451703 \h </w:instrText>
            </w:r>
            <w:r>
              <w:rPr>
                <w:noProof/>
                <w:webHidden/>
              </w:rPr>
            </w:r>
            <w:r>
              <w:rPr>
                <w:noProof/>
                <w:webHidden/>
              </w:rPr>
              <w:fldChar w:fldCharType="separate"/>
            </w:r>
            <w:r>
              <w:rPr>
                <w:noProof/>
                <w:webHidden/>
              </w:rPr>
              <w:t>118</w:t>
            </w:r>
            <w:r>
              <w:rPr>
                <w:noProof/>
                <w:webHidden/>
              </w:rPr>
              <w:fldChar w:fldCharType="end"/>
            </w:r>
          </w:hyperlink>
        </w:p>
        <w:p w:rsidR="00E94928" w:rsidRDefault="00E94928" w14:paraId="205974B7" w14:textId="2282865D">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4">
            <w:r w:rsidRPr="00A52F3A">
              <w:rPr>
                <w:rStyle w:val="Hyperlink"/>
                <w:noProof/>
              </w:rPr>
              <w:t>Exhibit L – Form of Guaranty</w:t>
            </w:r>
            <w:r>
              <w:rPr>
                <w:noProof/>
                <w:webHidden/>
              </w:rPr>
              <w:tab/>
            </w:r>
            <w:r>
              <w:rPr>
                <w:noProof/>
                <w:webHidden/>
              </w:rPr>
              <w:fldChar w:fldCharType="begin"/>
            </w:r>
            <w:r>
              <w:rPr>
                <w:noProof/>
                <w:webHidden/>
              </w:rPr>
              <w:instrText xml:space="preserve"> PAGEREF _Toc227451704 \h </w:instrText>
            </w:r>
            <w:r>
              <w:rPr>
                <w:noProof/>
                <w:webHidden/>
              </w:rPr>
            </w:r>
            <w:r>
              <w:rPr>
                <w:noProof/>
                <w:webHidden/>
              </w:rPr>
              <w:fldChar w:fldCharType="separate"/>
            </w:r>
            <w:r>
              <w:rPr>
                <w:noProof/>
                <w:webHidden/>
              </w:rPr>
              <w:t>123</w:t>
            </w:r>
            <w:r>
              <w:rPr>
                <w:noProof/>
                <w:webHidden/>
              </w:rPr>
              <w:fldChar w:fldCharType="end"/>
            </w:r>
          </w:hyperlink>
        </w:p>
        <w:p w:rsidR="00E94928" w:rsidRDefault="00E94928" w14:paraId="22DF45AF" w14:textId="5CB4AB95">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5">
            <w:r w:rsidRPr="00A52F3A">
              <w:rPr>
                <w:rStyle w:val="Hyperlink"/>
                <w:noProof/>
              </w:rPr>
              <w:t>Exhibit M – VIE Certification</w:t>
            </w:r>
            <w:r>
              <w:rPr>
                <w:noProof/>
                <w:webHidden/>
              </w:rPr>
              <w:tab/>
            </w:r>
            <w:r>
              <w:rPr>
                <w:noProof/>
                <w:webHidden/>
              </w:rPr>
              <w:fldChar w:fldCharType="begin"/>
            </w:r>
            <w:r>
              <w:rPr>
                <w:noProof/>
                <w:webHidden/>
              </w:rPr>
              <w:instrText xml:space="preserve"> PAGEREF _Toc227451705 \h </w:instrText>
            </w:r>
            <w:r>
              <w:rPr>
                <w:noProof/>
                <w:webHidden/>
              </w:rPr>
            </w:r>
            <w:r>
              <w:rPr>
                <w:noProof/>
                <w:webHidden/>
              </w:rPr>
              <w:fldChar w:fldCharType="separate"/>
            </w:r>
            <w:r>
              <w:rPr>
                <w:noProof/>
                <w:webHidden/>
              </w:rPr>
              <w:t>133</w:t>
            </w:r>
            <w:r>
              <w:rPr>
                <w:noProof/>
                <w:webHidden/>
              </w:rPr>
              <w:fldChar w:fldCharType="end"/>
            </w:r>
          </w:hyperlink>
        </w:p>
        <w:p w:rsidR="00E94928" w:rsidRDefault="00E94928" w14:paraId="6A80FCB3" w14:textId="3FE4A92D">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6">
            <w:r>
              <w:rPr>
                <w:noProof/>
                <w:webHidden/>
              </w:rPr>
              <w:tab/>
            </w:r>
            <w:r>
              <w:rPr>
                <w:noProof/>
                <w:webHidden/>
              </w:rPr>
              <w:fldChar w:fldCharType="begin"/>
            </w:r>
            <w:r>
              <w:rPr>
                <w:noProof/>
                <w:webHidden/>
              </w:rPr>
              <w:instrText xml:space="preserve"> PAGEREF _Toc227451706 \h </w:instrText>
            </w:r>
            <w:r>
              <w:rPr>
                <w:noProof/>
                <w:webHidden/>
              </w:rPr>
            </w:r>
            <w:r>
              <w:rPr>
                <w:noProof/>
                <w:webHidden/>
              </w:rPr>
              <w:fldChar w:fldCharType="separate"/>
            </w:r>
            <w:r>
              <w:rPr>
                <w:noProof/>
                <w:webHidden/>
              </w:rPr>
              <w:t>136</w:t>
            </w:r>
            <w:r>
              <w:rPr>
                <w:noProof/>
                <w:webHidden/>
              </w:rPr>
              <w:fldChar w:fldCharType="end"/>
            </w:r>
          </w:hyperlink>
        </w:p>
        <w:p w:rsidR="00E94928" w:rsidRDefault="00E94928" w14:paraId="716B4CB8" w14:textId="423B013C">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7">
            <w:r w:rsidRPr="00A52F3A">
              <w:rPr>
                <w:rStyle w:val="Hyperlink"/>
                <w:noProof/>
                <w:w w:val="0"/>
              </w:rPr>
              <w:t xml:space="preserve">Exhibit </w:t>
            </w:r>
            <w:r w:rsidR="007534BF">
              <w:rPr>
                <w:rStyle w:val="Hyperlink"/>
                <w:noProof/>
                <w:w w:val="0"/>
              </w:rPr>
              <w:t xml:space="preserve">N </w:t>
            </w:r>
            <w:r w:rsidRPr="00A52F3A">
              <w:rPr>
                <w:rStyle w:val="Hyperlink"/>
                <w:noProof/>
                <w:w w:val="0"/>
              </w:rPr>
              <w:t xml:space="preserve"> – Transfer of Information Acknowledgement</w:t>
            </w:r>
            <w:r>
              <w:rPr>
                <w:noProof/>
                <w:webHidden/>
              </w:rPr>
              <w:tab/>
            </w:r>
            <w:r>
              <w:rPr>
                <w:noProof/>
                <w:webHidden/>
              </w:rPr>
              <w:fldChar w:fldCharType="begin"/>
            </w:r>
            <w:r>
              <w:rPr>
                <w:noProof/>
                <w:webHidden/>
              </w:rPr>
              <w:instrText xml:space="preserve"> PAGEREF _Toc227451707 \h </w:instrText>
            </w:r>
            <w:r>
              <w:rPr>
                <w:noProof/>
                <w:webHidden/>
              </w:rPr>
            </w:r>
            <w:r>
              <w:rPr>
                <w:noProof/>
                <w:webHidden/>
              </w:rPr>
              <w:fldChar w:fldCharType="separate"/>
            </w:r>
            <w:r>
              <w:rPr>
                <w:noProof/>
                <w:webHidden/>
              </w:rPr>
              <w:t>137</w:t>
            </w:r>
            <w:r>
              <w:rPr>
                <w:noProof/>
                <w:webHidden/>
              </w:rPr>
              <w:fldChar w:fldCharType="end"/>
            </w:r>
          </w:hyperlink>
        </w:p>
        <w:p w:rsidR="00E94928" w:rsidRDefault="00E94928" w14:paraId="3C6B2C0D" w14:textId="6CAB2520">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8">
            <w:r w:rsidRPr="00A52F3A">
              <w:rPr>
                <w:rStyle w:val="Hyperlink"/>
                <w:noProof/>
              </w:rPr>
              <w:t xml:space="preserve">Exhibit </w:t>
            </w:r>
            <w:r w:rsidR="007534BF">
              <w:rPr>
                <w:rStyle w:val="Hyperlink"/>
                <w:noProof/>
              </w:rPr>
              <w:t>O</w:t>
            </w:r>
            <w:r w:rsidRPr="00A52F3A">
              <w:rPr>
                <w:rStyle w:val="Hyperlink"/>
                <w:noProof/>
              </w:rPr>
              <w:t xml:space="preserve"> – Environmental Compliance Certification</w:t>
            </w:r>
            <w:r>
              <w:rPr>
                <w:noProof/>
                <w:webHidden/>
              </w:rPr>
              <w:tab/>
            </w:r>
            <w:r>
              <w:rPr>
                <w:noProof/>
                <w:webHidden/>
              </w:rPr>
              <w:fldChar w:fldCharType="begin"/>
            </w:r>
            <w:r>
              <w:rPr>
                <w:noProof/>
                <w:webHidden/>
              </w:rPr>
              <w:instrText xml:space="preserve"> PAGEREF _Toc227451708 \h </w:instrText>
            </w:r>
            <w:r>
              <w:rPr>
                <w:noProof/>
                <w:webHidden/>
              </w:rPr>
            </w:r>
            <w:r>
              <w:rPr>
                <w:noProof/>
                <w:webHidden/>
              </w:rPr>
              <w:fldChar w:fldCharType="separate"/>
            </w:r>
            <w:r>
              <w:rPr>
                <w:noProof/>
                <w:webHidden/>
              </w:rPr>
              <w:t>138</w:t>
            </w:r>
            <w:r>
              <w:rPr>
                <w:noProof/>
                <w:webHidden/>
              </w:rPr>
              <w:fldChar w:fldCharType="end"/>
            </w:r>
          </w:hyperlink>
        </w:p>
        <w:p w:rsidR="00E94928" w:rsidRDefault="00E94928" w14:paraId="7685B647" w14:textId="7CBC1DA7">
          <w:pPr>
            <w:pStyle w:val="TOC1"/>
            <w:rPr>
              <w:rFonts w:asciiTheme="minorHAnsi" w:hAnsiTheme="minorHAnsi" w:eastAsiaTheme="minorEastAsia" w:cstheme="minorBidi"/>
              <w:b w:val="0"/>
              <w:caps w:val="0"/>
              <w:noProof/>
              <w:kern w:val="2"/>
              <w:sz w:val="24"/>
              <w:szCs w:val="24"/>
              <w14:ligatures w14:val="standardContextual"/>
            </w:rPr>
          </w:pPr>
          <w:hyperlink w:history="1" w:anchor="_Toc227451709">
            <w:r w:rsidRPr="00A52F3A">
              <w:rPr>
                <w:rStyle w:val="Hyperlink"/>
                <w:noProof/>
              </w:rPr>
              <w:t xml:space="preserve">Exhibit </w:t>
            </w:r>
            <w:r w:rsidR="007534BF">
              <w:rPr>
                <w:rStyle w:val="Hyperlink"/>
                <w:noProof/>
              </w:rPr>
              <w:t>P</w:t>
            </w:r>
            <w:r w:rsidRPr="00A52F3A">
              <w:rPr>
                <w:rStyle w:val="Hyperlink"/>
                <w:noProof/>
              </w:rPr>
              <w:t xml:space="preserve"> – Notices</w:t>
            </w:r>
            <w:r>
              <w:rPr>
                <w:noProof/>
                <w:webHidden/>
              </w:rPr>
              <w:tab/>
            </w:r>
            <w:r>
              <w:rPr>
                <w:noProof/>
                <w:webHidden/>
              </w:rPr>
              <w:fldChar w:fldCharType="begin"/>
            </w:r>
            <w:r>
              <w:rPr>
                <w:noProof/>
                <w:webHidden/>
              </w:rPr>
              <w:instrText xml:space="preserve"> PAGEREF _Toc227451709 \h </w:instrText>
            </w:r>
            <w:r>
              <w:rPr>
                <w:noProof/>
                <w:webHidden/>
              </w:rPr>
            </w:r>
            <w:r>
              <w:rPr>
                <w:noProof/>
                <w:webHidden/>
              </w:rPr>
              <w:fldChar w:fldCharType="separate"/>
            </w:r>
            <w:r>
              <w:rPr>
                <w:noProof/>
                <w:webHidden/>
              </w:rPr>
              <w:t>140</w:t>
            </w:r>
            <w:r>
              <w:rPr>
                <w:noProof/>
                <w:webHidden/>
              </w:rPr>
              <w:fldChar w:fldCharType="end"/>
            </w:r>
          </w:hyperlink>
        </w:p>
        <w:p w:rsidRPr="00F10071" w:rsidR="00B3048E" w:rsidP="00376ED9" w:rsidRDefault="00376ED9" w14:paraId="1068EA9C" w14:textId="02AEAD8B">
          <w:pPr>
            <w:pStyle w:val="zGTitle11"/>
            <w:rPr>
              <w:rFonts w:cs="Arial"/>
              <w:spacing w:val="0"/>
            </w:rPr>
          </w:pPr>
          <w:r w:rsidRPr="000247F7">
            <w:rPr>
              <w:rFonts w:ascii="Arial Bold" w:hAnsi="Arial Bold" w:cs="Arial"/>
              <w:sz w:val="20"/>
            </w:rPr>
            <w:fldChar w:fldCharType="end"/>
          </w:r>
        </w:p>
      </w:sdtContent>
    </w:sdt>
    <w:p w:rsidRPr="00EE10A8" w:rsidR="002D54C4" w:rsidP="00913D12" w:rsidRDefault="008B55A2" w14:paraId="291CC7CB" w14:textId="77777777">
      <w:pPr>
        <w:pStyle w:val="zGTitleExhibit"/>
        <w:keepNext/>
        <w:pageBreakBefore/>
        <w:rPr>
          <w:rFonts w:ascii="Arial Bold" w:hAnsi="Arial Bold" w:cs="Arial"/>
        </w:rPr>
      </w:pPr>
      <w:bookmarkStart w:name="_Toc160749094" w:id="7"/>
      <w:bookmarkStart w:name="_Toc194937456" w:id="8"/>
      <w:bookmarkStart w:name="_Toc227451505" w:id="9"/>
      <w:bookmarkEnd w:id="1"/>
      <w:r>
        <w:rPr>
          <w:rFonts w:ascii="Arial Bold" w:hAnsi="Arial Bold" w:cs="Arial"/>
        </w:rPr>
        <w:lastRenderedPageBreak/>
        <w:t>Schedule of Defined Terms</w:t>
      </w:r>
      <w:bookmarkEnd w:id="7"/>
      <w:bookmarkEnd w:id="8"/>
      <w:bookmarkEnd w:id="9"/>
    </w:p>
    <w:p w:rsidRPr="000D001A" w:rsidR="002D54C4" w:rsidP="004D586A" w:rsidRDefault="008B55A2" w14:paraId="502977DC" w14:textId="77777777">
      <w:pPr>
        <w:pStyle w:val="Heading2"/>
        <w:keepNext w:val="0"/>
        <w:widowControl w:val="0"/>
        <w:spacing w:before="0"/>
        <w:rPr>
          <w:rFonts w:cs="Arial"/>
          <w:sz w:val="20"/>
          <w:szCs w:val="20"/>
        </w:rPr>
      </w:pPr>
      <w:bookmarkStart w:name="_Toc206672942" w:id="10"/>
      <w:r>
        <w:rPr>
          <w:rFonts w:cs="Arial"/>
          <w:sz w:val="20"/>
          <w:szCs w:val="20"/>
        </w:rPr>
        <w:t xml:space="preserve">This PPA uses the defined terms identified in this </w:t>
      </w:r>
      <w:r>
        <w:rPr>
          <w:rFonts w:cs="Arial"/>
          <w:i/>
          <w:iCs/>
          <w:sz w:val="20"/>
          <w:szCs w:val="20"/>
        </w:rPr>
        <w:t>Schedule of Defined Terms</w:t>
      </w:r>
      <w:r>
        <w:rPr>
          <w:rFonts w:cs="Arial"/>
          <w:sz w:val="20"/>
          <w:szCs w:val="20"/>
        </w:rPr>
        <w:t xml:space="preserve"> or in the body of this PPA and the rules of construction identified in </w:t>
      </w:r>
      <w:r>
        <w:rPr>
          <w:rFonts w:cs="Arial"/>
          <w:sz w:val="20"/>
          <w:szCs w:val="20"/>
          <w:shd w:val="clear" w:color="auto" w:fill="FFFFFF" w:themeFill="background1"/>
        </w:rPr>
        <w:t>Section 20.17 (</w:t>
      </w:r>
      <w:r>
        <w:rPr>
          <w:rFonts w:cs="Arial"/>
          <w:i/>
          <w:sz w:val="20"/>
          <w:szCs w:val="20"/>
          <w:shd w:val="clear" w:color="auto" w:fill="FFFFFF" w:themeFill="background1"/>
        </w:rPr>
        <w:t>Contract Interpretation</w:t>
      </w:r>
      <w:r>
        <w:rPr>
          <w:rFonts w:cs="Arial"/>
          <w:sz w:val="20"/>
          <w:szCs w:val="20"/>
          <w:shd w:val="clear" w:color="auto" w:fill="FFFFFF" w:themeFill="background1"/>
        </w:rPr>
        <w:t>).</w:t>
      </w:r>
      <w:bookmarkEnd w:id="10"/>
      <w:r>
        <w:rPr>
          <w:rFonts w:cs="Arial"/>
          <w:sz w:val="20"/>
          <w:szCs w:val="20"/>
        </w:rPr>
        <w:t xml:space="preserve"> </w:t>
      </w:r>
      <w:bookmarkEnd w:id="2"/>
      <w:bookmarkEnd w:id="3"/>
      <w:bookmarkEnd w:id="4"/>
      <w:bookmarkEnd w:id="5"/>
      <w:bookmarkEnd w:id="6"/>
    </w:p>
    <w:p w:rsidR="00D25327" w:rsidP="00ED2D16" w:rsidRDefault="00994164" w14:paraId="374014FD" w14:textId="049F3A42">
      <w:pPr>
        <w:spacing w:before="120" w:after="120" w:line="240" w:lineRule="auto"/>
        <w:jc w:val="both"/>
        <w:rPr>
          <w:rFonts w:ascii="Arial" w:hAnsi="Arial" w:cs="Arial"/>
          <w:sz w:val="20"/>
          <w:szCs w:val="20"/>
        </w:rPr>
      </w:pPr>
      <w:bookmarkStart w:name="_Toc206672943" w:id="11"/>
      <w:r w:rsidRPr="000C0B43">
        <w:rPr>
          <w:rFonts w:ascii="Arial" w:hAnsi="Arial" w:cs="Arial"/>
          <w:b/>
          <w:bCs/>
          <w:sz w:val="20"/>
          <w:szCs w:val="20"/>
          <w:u w:val="single"/>
        </w:rPr>
        <w:t>Abandonment</w:t>
      </w:r>
      <w:r w:rsidRPr="000C0B43">
        <w:rPr>
          <w:rFonts w:ascii="Arial" w:hAnsi="Arial" w:cs="Arial"/>
          <w:sz w:val="20"/>
          <w:szCs w:val="20"/>
        </w:rPr>
        <w:t xml:space="preserve">: </w:t>
      </w:r>
      <w:r w:rsidR="0041179D">
        <w:rPr>
          <w:rFonts w:ascii="Arial" w:hAnsi="Arial" w:cs="Arial"/>
          <w:sz w:val="20"/>
          <w:szCs w:val="20"/>
        </w:rPr>
        <w:t>A</w:t>
      </w:r>
      <w:r w:rsidRPr="000C0B43" w:rsidR="00ED2D16">
        <w:rPr>
          <w:rFonts w:ascii="Arial" w:hAnsi="Arial" w:cs="Arial"/>
          <w:sz w:val="20"/>
          <w:szCs w:val="20"/>
        </w:rPr>
        <w:t>ny Seller</w:t>
      </w:r>
      <w:r w:rsidR="00ED0B88">
        <w:rPr>
          <w:rFonts w:ascii="Arial" w:hAnsi="Arial" w:cs="Arial"/>
          <w:sz w:val="20"/>
          <w:szCs w:val="20"/>
        </w:rPr>
        <w:t>:</w:t>
      </w:r>
      <w:r w:rsidRPr="000C0B43" w:rsidR="00ED2D16">
        <w:rPr>
          <w:rFonts w:ascii="Arial" w:hAnsi="Arial" w:cs="Arial"/>
          <w:sz w:val="20"/>
          <w:szCs w:val="20"/>
        </w:rPr>
        <w:t xml:space="preserve"> (i) cessation of </w:t>
      </w:r>
      <w:r w:rsidR="00ED2D16">
        <w:rPr>
          <w:rFonts w:ascii="Arial" w:hAnsi="Arial" w:cs="Arial"/>
          <w:sz w:val="20"/>
          <w:szCs w:val="20"/>
        </w:rPr>
        <w:t xml:space="preserve">Facility </w:t>
      </w:r>
      <w:r w:rsidRPr="000C0B43" w:rsidR="00ED2D16">
        <w:rPr>
          <w:rFonts w:ascii="Arial" w:hAnsi="Arial" w:cs="Arial"/>
          <w:sz w:val="20"/>
          <w:szCs w:val="20"/>
        </w:rPr>
        <w:t xml:space="preserve">development, construction, or installation activities for a continuous period of not less than </w:t>
      </w:r>
      <w:r w:rsidRPr="009D4C64" w:rsidR="00ED2D16">
        <w:rPr>
          <w:rFonts w:ascii="Arial" w:hAnsi="Arial" w:cs="Arial"/>
          <w:sz w:val="20"/>
          <w:szCs w:val="20"/>
        </w:rPr>
        <w:t>90</w:t>
      </w:r>
      <w:r w:rsidRPr="000C0B43" w:rsidR="00ED2D16">
        <w:rPr>
          <w:rFonts w:ascii="Arial" w:hAnsi="Arial" w:cs="Arial"/>
          <w:sz w:val="20"/>
          <w:szCs w:val="20"/>
        </w:rPr>
        <w:t xml:space="preserve"> consecutive </w:t>
      </w:r>
      <w:r w:rsidR="00ED2D16">
        <w:rPr>
          <w:rFonts w:ascii="Arial" w:hAnsi="Arial" w:cs="Arial"/>
          <w:sz w:val="20"/>
          <w:szCs w:val="20"/>
        </w:rPr>
        <w:t>D</w:t>
      </w:r>
      <w:r w:rsidRPr="000C0B43" w:rsidR="00ED2D16">
        <w:rPr>
          <w:rFonts w:ascii="Arial" w:hAnsi="Arial" w:cs="Arial"/>
          <w:sz w:val="20"/>
          <w:szCs w:val="20"/>
        </w:rPr>
        <w:t>ays, other than</w:t>
      </w:r>
      <w:r w:rsidR="00ED0B88">
        <w:rPr>
          <w:rFonts w:ascii="Arial" w:hAnsi="Arial" w:cs="Arial"/>
          <w:sz w:val="20"/>
          <w:szCs w:val="20"/>
        </w:rPr>
        <w:t>:</w:t>
      </w:r>
      <w:r w:rsidRPr="000C0B43" w:rsidR="00ED2D16">
        <w:rPr>
          <w:rFonts w:ascii="Arial" w:hAnsi="Arial" w:cs="Arial"/>
          <w:sz w:val="20"/>
          <w:szCs w:val="20"/>
        </w:rPr>
        <w:t xml:space="preserve"> </w:t>
      </w:r>
      <w:r w:rsidR="00ED2D16">
        <w:rPr>
          <w:rFonts w:ascii="Arial" w:hAnsi="Arial" w:cs="Arial"/>
          <w:sz w:val="20"/>
          <w:szCs w:val="20"/>
        </w:rPr>
        <w:t>(a) as mutually agreed by the Parties in writing</w:t>
      </w:r>
      <w:r w:rsidR="00ED0B88">
        <w:rPr>
          <w:rFonts w:ascii="Arial" w:hAnsi="Arial" w:cs="Arial"/>
          <w:sz w:val="20"/>
          <w:szCs w:val="20"/>
        </w:rPr>
        <w:t>;</w:t>
      </w:r>
      <w:r w:rsidR="00ED2D16">
        <w:rPr>
          <w:rFonts w:ascii="Arial" w:hAnsi="Arial" w:cs="Arial"/>
          <w:sz w:val="20"/>
          <w:szCs w:val="20"/>
        </w:rPr>
        <w:t xml:space="preserve"> (b) </w:t>
      </w:r>
      <w:r w:rsidRPr="000C0B43" w:rsidR="00ED2D16">
        <w:rPr>
          <w:rFonts w:ascii="Arial" w:hAnsi="Arial" w:cs="Arial"/>
          <w:sz w:val="20"/>
          <w:szCs w:val="20"/>
        </w:rPr>
        <w:t>a suspension resulting from an FME</w:t>
      </w:r>
      <w:r w:rsidR="00ED0B88">
        <w:rPr>
          <w:rFonts w:ascii="Arial" w:hAnsi="Arial" w:cs="Arial"/>
          <w:sz w:val="20"/>
          <w:szCs w:val="20"/>
        </w:rPr>
        <w:t>;</w:t>
      </w:r>
      <w:r w:rsidR="00ED2D16">
        <w:rPr>
          <w:rFonts w:ascii="Arial" w:hAnsi="Arial" w:cs="Arial"/>
          <w:sz w:val="20"/>
          <w:szCs w:val="20"/>
        </w:rPr>
        <w:t xml:space="preserve"> </w:t>
      </w:r>
      <w:r w:rsidRPr="006C202B" w:rsidR="00ED2D16">
        <w:rPr>
          <w:rFonts w:ascii="Arial" w:hAnsi="Arial" w:cs="Arial"/>
          <w:sz w:val="20"/>
          <w:szCs w:val="20"/>
        </w:rPr>
        <w:t>or (</w:t>
      </w:r>
      <w:r w:rsidR="00ED2D16">
        <w:rPr>
          <w:rFonts w:ascii="Arial" w:hAnsi="Arial" w:cs="Arial"/>
          <w:sz w:val="20"/>
          <w:szCs w:val="20"/>
        </w:rPr>
        <w:t>c</w:t>
      </w:r>
      <w:r w:rsidRPr="006C202B" w:rsidR="00ED2D16">
        <w:rPr>
          <w:rFonts w:ascii="Arial" w:hAnsi="Arial" w:cs="Arial"/>
          <w:sz w:val="20"/>
          <w:szCs w:val="20"/>
        </w:rPr>
        <w:t xml:space="preserve">) planned periods of inactivity reflected in the level 3 critical path method </w:t>
      </w:r>
      <w:r w:rsidRPr="006B33AA" w:rsidR="00ED2D16">
        <w:rPr>
          <w:rFonts w:ascii="Arial" w:hAnsi="Arial" w:cs="Arial"/>
          <w:sz w:val="20"/>
          <w:szCs w:val="20"/>
        </w:rPr>
        <w:t>EPC Contract Schedule</w:t>
      </w:r>
      <w:r w:rsidRPr="006C202B" w:rsidR="00ED2D16">
        <w:rPr>
          <w:rFonts w:ascii="Arial" w:hAnsi="Arial" w:cs="Arial"/>
          <w:sz w:val="20"/>
          <w:szCs w:val="20"/>
        </w:rPr>
        <w:t xml:space="preserve"> provided by Seller for the corresponding Key Milestone Date</w:t>
      </w:r>
      <w:r w:rsidRPr="000C0B43" w:rsidR="00ED2D16">
        <w:rPr>
          <w:rFonts w:ascii="Arial" w:hAnsi="Arial" w:cs="Arial"/>
          <w:sz w:val="20"/>
          <w:szCs w:val="20"/>
        </w:rPr>
        <w:t xml:space="preserve">; or (ii) written statement or action evidencing Seller’s intent to permanently discontinue development or construction of the Facility or otherwise not to achieve Commercial Operation. </w:t>
      </w:r>
    </w:p>
    <w:p w:rsidR="002D54C4" w:rsidP="00ED2D16" w:rsidRDefault="008B55A2" w14:paraId="61E806D7" w14:textId="69492C94">
      <w:pPr>
        <w:spacing w:before="120" w:after="120" w:line="240" w:lineRule="auto"/>
        <w:jc w:val="both"/>
        <w:rPr>
          <w:rFonts w:ascii="Arial" w:hAnsi="Arial" w:cs="Arial"/>
          <w:sz w:val="20"/>
          <w:szCs w:val="20"/>
        </w:rPr>
      </w:pPr>
      <w:r w:rsidRPr="00ED2D16">
        <w:rPr>
          <w:rFonts w:ascii="Arial" w:hAnsi="Arial" w:cs="Arial"/>
          <w:b/>
          <w:bCs/>
          <w:sz w:val="20"/>
          <w:szCs w:val="20"/>
          <w:u w:val="single"/>
        </w:rPr>
        <w:t>ACP</w:t>
      </w:r>
      <w:r w:rsidRPr="00ED2D16">
        <w:rPr>
          <w:rFonts w:ascii="Arial" w:hAnsi="Arial" w:cs="Arial"/>
          <w:sz w:val="20"/>
          <w:szCs w:val="20"/>
        </w:rPr>
        <w:t>: See</w:t>
      </w:r>
      <w:r w:rsidRPr="00ED2D16">
        <w:rPr>
          <w:rFonts w:ascii="Arial" w:hAnsi="Arial" w:cs="Arial"/>
          <w:i/>
          <w:sz w:val="20"/>
          <w:szCs w:val="20"/>
        </w:rPr>
        <w:t xml:space="preserve"> Annual Capacity Price</w:t>
      </w:r>
      <w:r w:rsidRPr="00ED2D16">
        <w:rPr>
          <w:rFonts w:ascii="Arial" w:hAnsi="Arial" w:cs="Arial"/>
          <w:sz w:val="20"/>
          <w:szCs w:val="20"/>
        </w:rPr>
        <w:t>.</w:t>
      </w:r>
      <w:bookmarkEnd w:id="11"/>
    </w:p>
    <w:p w:rsidRPr="00ED2D16" w:rsidR="00D25327" w:rsidP="00ED2D16" w:rsidRDefault="00644E48" w14:paraId="0F0DBFF3" w14:textId="3C6D13F5">
      <w:pPr>
        <w:spacing w:before="120" w:after="120" w:line="240" w:lineRule="auto"/>
        <w:jc w:val="both"/>
        <w:rPr>
          <w:rFonts w:ascii="Arial" w:hAnsi="Arial" w:cs="Arial"/>
          <w:b/>
          <w:sz w:val="20"/>
          <w:szCs w:val="20"/>
        </w:rPr>
      </w:pPr>
      <w:r>
        <w:rPr>
          <w:rFonts w:ascii="Arial" w:hAnsi="Arial" w:cs="Arial"/>
          <w:b/>
          <w:sz w:val="20"/>
          <w:szCs w:val="20"/>
          <w:u w:val="single"/>
        </w:rPr>
        <w:t>ACP Adjustment</w:t>
      </w:r>
      <w:r>
        <w:rPr>
          <w:rFonts w:ascii="Arial" w:hAnsi="Arial" w:cs="Arial"/>
          <w:b/>
          <w:sz w:val="20"/>
          <w:szCs w:val="20"/>
        </w:rPr>
        <w:t xml:space="preserve">: </w:t>
      </w:r>
      <w:r>
        <w:rPr>
          <w:rFonts w:ascii="Arial" w:hAnsi="Arial" w:cs="Arial"/>
          <w:bCs/>
          <w:sz w:val="20"/>
          <w:szCs w:val="20"/>
        </w:rPr>
        <w:t xml:space="preserve">As defined in </w:t>
      </w:r>
      <w:r w:rsidRPr="002E018B">
        <w:rPr>
          <w:rFonts w:ascii="Arial" w:hAnsi="Arial" w:cs="Arial"/>
          <w:bCs/>
          <w:sz w:val="20"/>
          <w:szCs w:val="20"/>
        </w:rPr>
        <w:t>Section 17.1.</w:t>
      </w:r>
      <w:r w:rsidRPr="002E018B" w:rsidR="00544474">
        <w:rPr>
          <w:rFonts w:ascii="Arial" w:hAnsi="Arial" w:cs="Arial"/>
          <w:bCs/>
          <w:sz w:val="20"/>
          <w:szCs w:val="20"/>
        </w:rPr>
        <w:t>3</w:t>
      </w:r>
      <w:r w:rsidRPr="002E018B">
        <w:rPr>
          <w:rFonts w:ascii="Arial" w:hAnsi="Arial" w:cs="Arial"/>
          <w:bCs/>
          <w:sz w:val="20"/>
          <w:szCs w:val="20"/>
        </w:rPr>
        <w:t xml:space="preserve"> (</w:t>
      </w:r>
      <w:r w:rsidRPr="009159D1">
        <w:rPr>
          <w:rFonts w:ascii="Arial" w:hAnsi="Arial" w:cs="Arial"/>
          <w:bCs/>
          <w:i/>
          <w:iCs/>
          <w:sz w:val="20"/>
          <w:szCs w:val="20"/>
        </w:rPr>
        <w:t>GPC Review; ACP Adjustment</w:t>
      </w:r>
      <w:r w:rsidRPr="002E018B">
        <w:rPr>
          <w:rFonts w:ascii="Arial" w:hAnsi="Arial" w:cs="Arial"/>
          <w:bCs/>
          <w:sz w:val="20"/>
          <w:szCs w:val="20"/>
        </w:rPr>
        <w:t>).</w:t>
      </w:r>
    </w:p>
    <w:p w:rsidRPr="00705CA8" w:rsidR="00705CA8" w:rsidP="00705CA8" w:rsidRDefault="00705CA8" w14:paraId="272AF342" w14:textId="7D94A024">
      <w:pPr>
        <w:rPr>
          <w:rFonts w:ascii="Arial" w:hAnsi="Arial" w:cs="Arial"/>
          <w:sz w:val="20"/>
          <w:szCs w:val="20"/>
        </w:rPr>
      </w:pPr>
      <w:r w:rsidRPr="00705CA8">
        <w:rPr>
          <w:rFonts w:ascii="Arial" w:hAnsi="Arial" w:cs="Arial"/>
          <w:b/>
          <w:bCs/>
          <w:sz w:val="20"/>
          <w:szCs w:val="20"/>
          <w:u w:val="single"/>
        </w:rPr>
        <w:t>Adjustment Period:</w:t>
      </w:r>
      <w:r w:rsidRPr="00705CA8">
        <w:rPr>
          <w:rFonts w:ascii="Arial" w:hAnsi="Arial" w:cs="Arial"/>
          <w:sz w:val="20"/>
          <w:szCs w:val="20"/>
        </w:rPr>
        <w:t xml:space="preserve"> As defined in Section 8.2.3 (</w:t>
      </w:r>
      <w:r w:rsidRPr="00705CA8">
        <w:rPr>
          <w:rFonts w:ascii="Arial" w:hAnsi="Arial" w:cs="Arial"/>
          <w:i/>
          <w:iCs/>
          <w:sz w:val="20"/>
          <w:szCs w:val="20"/>
        </w:rPr>
        <w:t>Adjustments</w:t>
      </w:r>
      <w:r w:rsidRPr="00705CA8">
        <w:rPr>
          <w:rFonts w:ascii="Arial" w:hAnsi="Arial" w:cs="Arial"/>
          <w:sz w:val="20"/>
          <w:szCs w:val="20"/>
        </w:rPr>
        <w:t>).</w:t>
      </w:r>
    </w:p>
    <w:p w:rsidR="00505725" w:rsidP="002A415D" w:rsidRDefault="008B55A2" w14:paraId="1D5B50BB" w14:textId="77777777">
      <w:pPr>
        <w:pStyle w:val="Heading3"/>
        <w:widowControl w:val="0"/>
        <w:rPr>
          <w:b w:val="0"/>
          <w:u w:val="none"/>
        </w:rPr>
      </w:pPr>
      <w:bookmarkStart w:name="_Toc206672944" w:id="12"/>
      <w:r>
        <w:t>Affiliate</w:t>
      </w:r>
      <w:r>
        <w:rPr>
          <w:u w:val="none"/>
        </w:rPr>
        <w:t xml:space="preserve">: </w:t>
      </w:r>
      <w:r>
        <w:rPr>
          <w:b w:val="0"/>
          <w:u w:val="none"/>
        </w:rPr>
        <w:t>For any specific Person, any other Person directly or indirectly controlling or controlled by or under common control with that Person. For purposes of this definition, “control” when used regarding any entity means the power to direct the management and policies of the entity, directly or indirectly, whether through the ownership of voting securities, by contract, or otherwise. For purposes of this PPA, it is assumed that a Person directly or indirectly owning 50% or more of the outstanding stock or other equity interest of another Person has “control” of that Person. The terms “controlling” and “controlled” have meanings correlative to “control.”</w:t>
      </w:r>
      <w:bookmarkEnd w:id="12"/>
    </w:p>
    <w:p w:rsidR="00094BA7" w:rsidP="004B0BBF" w:rsidRDefault="00094BA7" w14:paraId="09AA4BC7" w14:textId="1996ADE0">
      <w:pPr>
        <w:pStyle w:val="zGNormal6"/>
        <w:widowControl w:val="0"/>
        <w:rPr>
          <w:rFonts w:eastAsia="PMingLiU"/>
        </w:rPr>
      </w:pPr>
      <w:r w:rsidRPr="004B0BBF">
        <w:rPr>
          <w:b/>
          <w:u w:val="single"/>
        </w:rPr>
        <w:t>After-Tax Basis</w:t>
      </w:r>
      <w:r w:rsidRPr="00E611D5">
        <w:t xml:space="preserve">: </w:t>
      </w:r>
      <w:r>
        <w:rPr>
          <w:rFonts w:eastAsia="PMingLiU"/>
        </w:rPr>
        <w:t>W</w:t>
      </w:r>
      <w:r w:rsidRPr="00154F6B">
        <w:rPr>
          <w:rFonts w:eastAsia="PMingLiU"/>
        </w:rPr>
        <w:t>ith respect to a given</w:t>
      </w:r>
      <w:r w:rsidRPr="00564BE1">
        <w:t xml:space="preserve"> payment </w:t>
      </w:r>
      <w:r w:rsidRPr="00154F6B">
        <w:rPr>
          <w:rFonts w:eastAsia="PMingLiU"/>
        </w:rPr>
        <w:t xml:space="preserve">required to be made to </w:t>
      </w:r>
      <w:r w:rsidRPr="00E611D5">
        <w:t xml:space="preserve">any Person, the amount of </w:t>
      </w:r>
      <w:r w:rsidRPr="00154F6B">
        <w:rPr>
          <w:rFonts w:eastAsia="PMingLiU"/>
        </w:rPr>
        <w:t>such</w:t>
      </w:r>
      <w:r w:rsidRPr="00564BE1">
        <w:t xml:space="preserve"> payment </w:t>
      </w:r>
      <w:r w:rsidRPr="00154F6B">
        <w:rPr>
          <w:rFonts w:eastAsia="PMingLiU"/>
        </w:rPr>
        <w:t>(</w:t>
      </w:r>
      <w:r>
        <w:rPr>
          <w:rFonts w:eastAsia="PMingLiU"/>
        </w:rPr>
        <w:t>“</w:t>
      </w:r>
      <w:r w:rsidRPr="00182B12">
        <w:rPr>
          <w:rFonts w:eastAsia="PMingLiU"/>
          <w:b/>
        </w:rPr>
        <w:t>Base Payment</w:t>
      </w:r>
      <w:r>
        <w:rPr>
          <w:rFonts w:eastAsia="PMingLiU"/>
          <w:bCs/>
        </w:rPr>
        <w:t>”</w:t>
      </w:r>
      <w:r w:rsidRPr="00154F6B">
        <w:rPr>
          <w:rFonts w:eastAsia="PMingLiU"/>
        </w:rPr>
        <w:t>)</w:t>
      </w:r>
      <w:r w:rsidRPr="00E611D5">
        <w:t xml:space="preserve"> supplemented by a further payment </w:t>
      </w:r>
      <w:r w:rsidRPr="00154F6B">
        <w:rPr>
          <w:rFonts w:eastAsia="PMingLiU"/>
        </w:rPr>
        <w:t>(</w:t>
      </w:r>
      <w:r>
        <w:rPr>
          <w:rFonts w:eastAsia="PMingLiU"/>
        </w:rPr>
        <w:t>“</w:t>
      </w:r>
      <w:r w:rsidRPr="00182B12">
        <w:rPr>
          <w:rFonts w:eastAsia="PMingLiU"/>
          <w:b/>
        </w:rPr>
        <w:t>Additional</w:t>
      </w:r>
      <w:r w:rsidRPr="00182B12">
        <w:rPr>
          <w:rFonts w:eastAsia="PMingLiU"/>
        </w:rPr>
        <w:t xml:space="preserve"> </w:t>
      </w:r>
      <w:r w:rsidRPr="00182B12">
        <w:rPr>
          <w:rFonts w:eastAsia="PMingLiU"/>
          <w:b/>
        </w:rPr>
        <w:t>Payment</w:t>
      </w:r>
      <w:r>
        <w:rPr>
          <w:rFonts w:eastAsia="PMingLiU"/>
          <w:bCs/>
        </w:rPr>
        <w:t>”</w:t>
      </w:r>
      <w:r w:rsidRPr="00154F6B">
        <w:rPr>
          <w:rFonts w:eastAsia="PMingLiU"/>
        </w:rPr>
        <w:t>)</w:t>
      </w:r>
      <w:r w:rsidRPr="00E611D5">
        <w:t xml:space="preserve"> to that Person so that the sum of the </w:t>
      </w:r>
      <w:r w:rsidRPr="00154F6B">
        <w:rPr>
          <w:rFonts w:eastAsia="PMingLiU"/>
        </w:rPr>
        <w:t>Base Payment</w:t>
      </w:r>
      <w:r w:rsidRPr="00564BE1">
        <w:t xml:space="preserve"> plus the </w:t>
      </w:r>
      <w:r w:rsidRPr="00154F6B">
        <w:rPr>
          <w:rFonts w:eastAsia="PMingLiU"/>
        </w:rPr>
        <w:t>Additional Payment</w:t>
      </w:r>
      <w:r w:rsidRPr="00E611D5">
        <w:t xml:space="preserve"> will, after deduction of the amount of all </w:t>
      </w:r>
      <w:r w:rsidRPr="00154F6B">
        <w:rPr>
          <w:rFonts w:eastAsia="PMingLiU"/>
        </w:rPr>
        <w:t>income taxes</w:t>
      </w:r>
      <w:r w:rsidRPr="00564BE1">
        <w:t xml:space="preserve"> required to be paid </w:t>
      </w:r>
      <w:r w:rsidRPr="00E611D5">
        <w:t xml:space="preserve">by </w:t>
      </w:r>
      <w:r w:rsidRPr="00154F6B">
        <w:rPr>
          <w:rFonts w:eastAsia="PMingLiU"/>
        </w:rPr>
        <w:t>such</w:t>
      </w:r>
      <w:r w:rsidRPr="00564BE1">
        <w:t xml:space="preserve"> Person </w:t>
      </w:r>
      <w:r w:rsidRPr="00154F6B">
        <w:rPr>
          <w:rFonts w:eastAsia="PMingLiU"/>
        </w:rPr>
        <w:t>in respect of</w:t>
      </w:r>
      <w:r w:rsidRPr="00564BE1">
        <w:t xml:space="preserve"> the receipt or accrual of the </w:t>
      </w:r>
      <w:r w:rsidRPr="00154F6B">
        <w:rPr>
          <w:rFonts w:eastAsia="PMingLiU"/>
        </w:rPr>
        <w:t>Base Payment</w:t>
      </w:r>
      <w:r w:rsidRPr="00564BE1">
        <w:t xml:space="preserve"> and the </w:t>
      </w:r>
      <w:r w:rsidRPr="00154F6B">
        <w:rPr>
          <w:rFonts w:eastAsia="PMingLiU"/>
        </w:rPr>
        <w:t>Additional Payment</w:t>
      </w:r>
      <w:r w:rsidRPr="00E611D5">
        <w:t xml:space="preserve"> (taking into account </w:t>
      </w:r>
      <w:r w:rsidRPr="00154F6B">
        <w:rPr>
          <w:rFonts w:eastAsia="PMingLiU"/>
        </w:rPr>
        <w:t>the net present value of any reduction in such income taxes resulting</w:t>
      </w:r>
      <w:r w:rsidRPr="00E611D5">
        <w:t xml:space="preserve"> from </w:t>
      </w:r>
      <w:r w:rsidRPr="00154F6B">
        <w:rPr>
          <w:rFonts w:eastAsia="PMingLiU"/>
        </w:rPr>
        <w:t xml:space="preserve">tax benefits realized by </w:t>
      </w:r>
      <w:r w:rsidRPr="00564BE1">
        <w:t xml:space="preserve">the </w:t>
      </w:r>
      <w:r w:rsidRPr="00154F6B">
        <w:rPr>
          <w:rFonts w:eastAsia="PMingLiU"/>
        </w:rPr>
        <w:t>recipient as a result of</w:t>
      </w:r>
      <w:r w:rsidRPr="00E611D5">
        <w:t xml:space="preserve"> the </w:t>
      </w:r>
      <w:r w:rsidRPr="00564BE1">
        <w:t xml:space="preserve">payment </w:t>
      </w:r>
      <w:r w:rsidRPr="00154F6B">
        <w:rPr>
          <w:rFonts w:eastAsia="PMingLiU"/>
        </w:rPr>
        <w:t>or</w:t>
      </w:r>
      <w:r w:rsidRPr="00564BE1">
        <w:t xml:space="preserve"> the </w:t>
      </w:r>
      <w:r w:rsidRPr="00154F6B">
        <w:rPr>
          <w:rFonts w:eastAsia="PMingLiU"/>
        </w:rPr>
        <w:t>event giving rise to</w:t>
      </w:r>
      <w:r w:rsidRPr="00564BE1">
        <w:t xml:space="preserve"> the</w:t>
      </w:r>
      <w:r w:rsidRPr="00E611D5">
        <w:t xml:space="preserve"> payment), be equal to the amount required to be received. </w:t>
      </w:r>
      <w:r w:rsidRPr="00154F6B">
        <w:rPr>
          <w:rFonts w:eastAsia="PMingLiU"/>
        </w:rPr>
        <w:t>Such</w:t>
      </w:r>
      <w:r w:rsidRPr="00564BE1">
        <w:t xml:space="preserve"> calculations </w:t>
      </w:r>
      <w:r w:rsidRPr="00E611D5">
        <w:t xml:space="preserve">will be made on the basis of the highest </w:t>
      </w:r>
      <w:r w:rsidRPr="00154F6B">
        <w:rPr>
          <w:rFonts w:eastAsia="PMingLiU"/>
        </w:rPr>
        <w:t xml:space="preserve">generally </w:t>
      </w:r>
      <w:r w:rsidRPr="00564BE1">
        <w:t xml:space="preserve">applicable </w:t>
      </w:r>
      <w:r w:rsidRPr="00154F6B">
        <w:rPr>
          <w:rFonts w:eastAsia="PMingLiU"/>
        </w:rPr>
        <w:t>federal, state</w:t>
      </w:r>
      <w:r>
        <w:rPr>
          <w:rFonts w:eastAsia="PMingLiU"/>
        </w:rPr>
        <w:t>,</w:t>
      </w:r>
      <w:r w:rsidRPr="00154F6B">
        <w:rPr>
          <w:rFonts w:eastAsia="PMingLiU"/>
        </w:rPr>
        <w:t xml:space="preserve"> and local income tax rates</w:t>
      </w:r>
      <w:r w:rsidRPr="00564BE1">
        <w:t xml:space="preserve"> applicable to </w:t>
      </w:r>
      <w:r w:rsidRPr="00154F6B">
        <w:rPr>
          <w:rFonts w:eastAsia="PMingLiU"/>
        </w:rPr>
        <w:t>the Person</w:t>
      </w:r>
      <w:r w:rsidRPr="00E611D5">
        <w:t xml:space="preserve"> for </w:t>
      </w:r>
      <w:r w:rsidRPr="00154F6B">
        <w:rPr>
          <w:rFonts w:eastAsia="PMingLiU"/>
        </w:rPr>
        <w:t>whom the calculation is being made for all</w:t>
      </w:r>
      <w:r w:rsidRPr="00564BE1">
        <w:t xml:space="preserve"> relevant periods and </w:t>
      </w:r>
      <w:r w:rsidRPr="00154F6B">
        <w:rPr>
          <w:rFonts w:eastAsia="PMingLiU"/>
        </w:rPr>
        <w:t>will take into account the deductibility of state and local income taxes for federal income tax purposes</w:t>
      </w:r>
      <w:r w:rsidRPr="00E611D5">
        <w:t>.</w:t>
      </w:r>
    </w:p>
    <w:p w:rsidRPr="000D001A" w:rsidR="002D54C4" w:rsidP="002A415D" w:rsidRDefault="008B55A2" w14:paraId="2DDA1364" w14:textId="77777777">
      <w:pPr>
        <w:pStyle w:val="Heading3"/>
        <w:widowControl w:val="0"/>
        <w:rPr>
          <w:b w:val="0"/>
          <w:u w:val="none"/>
        </w:rPr>
      </w:pPr>
      <w:bookmarkStart w:name="_Toc206672945" w:id="13"/>
      <w:r>
        <w:t>AGC</w:t>
      </w:r>
      <w:r>
        <w:rPr>
          <w:u w:val="none"/>
        </w:rPr>
        <w:t xml:space="preserve">: </w:t>
      </w:r>
      <w:r>
        <w:rPr>
          <w:b w:val="0"/>
          <w:u w:val="none"/>
        </w:rPr>
        <w:t xml:space="preserve">See </w:t>
      </w:r>
      <w:r>
        <w:rPr>
          <w:b w:val="0"/>
          <w:i/>
          <w:u w:val="none"/>
        </w:rPr>
        <w:t>Automatic Generation Control</w:t>
      </w:r>
      <w:r>
        <w:rPr>
          <w:b w:val="0"/>
          <w:u w:val="none"/>
        </w:rPr>
        <w:t>.</w:t>
      </w:r>
      <w:bookmarkEnd w:id="13"/>
      <w:r>
        <w:rPr>
          <w:b w:val="0"/>
          <w:u w:val="none"/>
        </w:rPr>
        <w:t xml:space="preserve"> </w:t>
      </w:r>
    </w:p>
    <w:p w:rsidRPr="000D001A" w:rsidR="006B4EA4" w:rsidP="002A415D" w:rsidRDefault="008B55A2" w14:paraId="2226B8C0" w14:textId="225DE3EA">
      <w:pPr>
        <w:pStyle w:val="Heading3"/>
      </w:pPr>
      <w:bookmarkStart w:name="_Toc206672946" w:id="14"/>
      <w:r>
        <w:t>AGC Performance Requirements</w:t>
      </w:r>
      <w:r>
        <w:rPr>
          <w:u w:val="none"/>
        </w:rPr>
        <w:t xml:space="preserve">: </w:t>
      </w:r>
      <w:r>
        <w:rPr>
          <w:b w:val="0"/>
          <w:bCs w:val="0"/>
          <w:u w:val="none"/>
        </w:rPr>
        <w:t xml:space="preserve">The AGC </w:t>
      </w:r>
      <w:r w:rsidR="007B55B9">
        <w:rPr>
          <w:b w:val="0"/>
          <w:u w:val="none"/>
        </w:rPr>
        <w:t xml:space="preserve">Status </w:t>
      </w:r>
      <w:r w:rsidRPr="004B0BBF" w:rsidR="007B55B9">
        <w:rPr>
          <w:b w:val="0"/>
          <w:u w:val="none"/>
        </w:rPr>
        <w:t xml:space="preserve">Performance </w:t>
      </w:r>
      <w:r w:rsidR="007B55B9">
        <w:rPr>
          <w:b w:val="0"/>
          <w:u w:val="none"/>
        </w:rPr>
        <w:t>Requirement</w:t>
      </w:r>
      <w:r w:rsidRPr="004B0BBF" w:rsidR="007B55B9">
        <w:rPr>
          <w:b w:val="0"/>
          <w:u w:val="none"/>
        </w:rPr>
        <w:t xml:space="preserve"> and </w:t>
      </w:r>
      <w:r w:rsidR="007B55B9">
        <w:rPr>
          <w:b w:val="0"/>
          <w:u w:val="none"/>
        </w:rPr>
        <w:t xml:space="preserve">the AGC Setpoint Response </w:t>
      </w:r>
      <w:r w:rsidRPr="004B0BBF" w:rsidR="007B55B9">
        <w:rPr>
          <w:b w:val="0"/>
          <w:u w:val="none"/>
        </w:rPr>
        <w:t xml:space="preserve">Performance </w:t>
      </w:r>
      <w:r w:rsidR="007B55B9">
        <w:rPr>
          <w:b w:val="0"/>
          <w:u w:val="none"/>
        </w:rPr>
        <w:t>Requirement</w:t>
      </w:r>
      <w:r>
        <w:rPr>
          <w:b w:val="0"/>
          <w:bCs w:val="0"/>
          <w:u w:val="none"/>
        </w:rPr>
        <w:t>.</w:t>
      </w:r>
      <w:bookmarkEnd w:id="14"/>
    </w:p>
    <w:p w:rsidRPr="004B0BBF" w:rsidR="00274D24" w:rsidP="004B0BBF" w:rsidRDefault="008B55A2" w14:paraId="428A53EC" w14:textId="77777777">
      <w:pPr>
        <w:pStyle w:val="Heading3"/>
        <w:widowControl w:val="0"/>
        <w:rPr>
          <w:b w:val="0"/>
          <w:u w:val="none"/>
        </w:rPr>
      </w:pPr>
      <w:bookmarkStart w:name="_Toc206672947" w:id="15"/>
      <w:r>
        <w:t xml:space="preserve">AGC Plan: </w:t>
      </w:r>
      <w:r>
        <w:rPr>
          <w:b w:val="0"/>
          <w:bCs w:val="0"/>
          <w:u w:val="none"/>
        </w:rPr>
        <w:t>As defined in Section 10.9 (</w:t>
      </w:r>
      <w:r>
        <w:rPr>
          <w:b w:val="0"/>
          <w:bCs w:val="0"/>
          <w:i/>
          <w:iCs/>
          <w:u w:val="none"/>
        </w:rPr>
        <w:t>AGC Performance Requirements</w:t>
      </w:r>
      <w:r>
        <w:rPr>
          <w:b w:val="0"/>
          <w:bCs w:val="0"/>
          <w:u w:val="none"/>
        </w:rPr>
        <w:t>).</w:t>
      </w:r>
      <w:bookmarkEnd w:id="15"/>
    </w:p>
    <w:p w:rsidRPr="000D001A" w:rsidR="0023647C" w:rsidP="002A415D" w:rsidRDefault="008B55A2" w14:paraId="4FC26B16" w14:textId="77777777">
      <w:pPr>
        <w:pStyle w:val="Heading3"/>
        <w:widowControl w:val="0"/>
        <w:rPr>
          <w:b w:val="0"/>
        </w:rPr>
      </w:pPr>
      <w:bookmarkStart w:name="_Toc206672948" w:id="16"/>
      <w:r>
        <w:t>AGC Setpoint</w:t>
      </w:r>
      <w:r>
        <w:rPr>
          <w:u w:val="none"/>
        </w:rPr>
        <w:t xml:space="preserve">: </w:t>
      </w:r>
      <w:r>
        <w:rPr>
          <w:b w:val="0"/>
          <w:u w:val="none"/>
        </w:rPr>
        <w:t>A value (MW) that will range from the Operating Low Limit to the Operating High Limit.</w:t>
      </w:r>
      <w:bookmarkEnd w:id="16"/>
    </w:p>
    <w:p w:rsidRPr="000D001A" w:rsidR="0023647C" w:rsidP="002A415D" w:rsidRDefault="008B55A2" w14:paraId="70930979" w14:textId="77777777">
      <w:pPr>
        <w:pStyle w:val="Heading3"/>
        <w:widowControl w:val="0"/>
        <w:rPr>
          <w:b w:val="0"/>
          <w:u w:val="none"/>
        </w:rPr>
      </w:pPr>
      <w:bookmarkStart w:name="_Toc206672949" w:id="17"/>
      <w:r>
        <w:t>AGC Setpoint Response Performance Metric</w:t>
      </w:r>
      <w:r>
        <w:rPr>
          <w:u w:val="none"/>
        </w:rPr>
        <w:t xml:space="preserve">: </w:t>
      </w:r>
      <w:r>
        <w:rPr>
          <w:b w:val="0"/>
          <w:u w:val="none"/>
        </w:rPr>
        <w:t>As defined in Section 3.2.2 (</w:t>
      </w:r>
      <w:r>
        <w:rPr>
          <w:b w:val="0"/>
          <w:i/>
          <w:iCs/>
          <w:u w:val="none"/>
        </w:rPr>
        <w:t>AGC Setpoint Response Performance Requirement</w:t>
      </w:r>
      <w:r>
        <w:rPr>
          <w:b w:val="0"/>
          <w:u w:val="none"/>
        </w:rPr>
        <w:t>) of Exhibit C (</w:t>
      </w:r>
      <w:r>
        <w:rPr>
          <w:rFonts w:cs="Arial"/>
          <w:b w:val="0"/>
          <w:i/>
          <w:u w:val="none"/>
        </w:rPr>
        <w:t>Monthly Capacity Payments; Monthly Capacity Reductions; AGC Performance Metrics and Requirements</w:t>
      </w:r>
      <w:r>
        <w:rPr>
          <w:b w:val="0"/>
          <w:u w:val="none"/>
        </w:rPr>
        <w:t>).</w:t>
      </w:r>
      <w:bookmarkEnd w:id="17"/>
    </w:p>
    <w:p w:rsidRPr="000D001A" w:rsidR="0023647C" w:rsidP="002A415D" w:rsidRDefault="008B55A2" w14:paraId="53DF6908" w14:textId="694C7AFC">
      <w:pPr>
        <w:pStyle w:val="Heading3"/>
        <w:widowControl w:val="0"/>
      </w:pPr>
      <w:bookmarkStart w:name="_Toc206672950" w:id="18"/>
      <w:r>
        <w:t>AGC Setpoint Response Performance Requirement</w:t>
      </w:r>
      <w:r>
        <w:rPr>
          <w:u w:val="none"/>
        </w:rPr>
        <w:t xml:space="preserve">: </w:t>
      </w:r>
      <w:r>
        <w:rPr>
          <w:b w:val="0"/>
          <w:u w:val="none"/>
        </w:rPr>
        <w:t>As defined in Section 3.2.2 (</w:t>
      </w:r>
      <w:r>
        <w:rPr>
          <w:b w:val="0"/>
          <w:i/>
          <w:iCs/>
          <w:u w:val="none"/>
        </w:rPr>
        <w:t>AGC Setpoint Response Performance Requirement</w:t>
      </w:r>
      <w:r>
        <w:rPr>
          <w:b w:val="0"/>
          <w:u w:val="none"/>
        </w:rPr>
        <w:t>) of Exhibit C (</w:t>
      </w:r>
      <w:r>
        <w:rPr>
          <w:rFonts w:cs="Arial"/>
          <w:b w:val="0"/>
          <w:i/>
          <w:u w:val="none"/>
        </w:rPr>
        <w:t xml:space="preserve">Monthly Capacity Payments; Monthly Capacity Reductions; AGC Performance Metrics </w:t>
      </w:r>
      <w:r w:rsidR="003F3C0E">
        <w:rPr>
          <w:rFonts w:cs="Arial"/>
          <w:b w:val="0"/>
          <w:i/>
          <w:u w:val="none"/>
        </w:rPr>
        <w:t xml:space="preserve">and </w:t>
      </w:r>
      <w:r>
        <w:rPr>
          <w:rFonts w:cs="Arial"/>
          <w:b w:val="0"/>
          <w:i/>
          <w:u w:val="none"/>
        </w:rPr>
        <w:t>Requirements</w:t>
      </w:r>
      <w:r>
        <w:rPr>
          <w:b w:val="0"/>
          <w:u w:val="none"/>
        </w:rPr>
        <w:t>).</w:t>
      </w:r>
      <w:bookmarkEnd w:id="18"/>
    </w:p>
    <w:p w:rsidRPr="004B0BBF" w:rsidR="0023647C" w:rsidP="002A415D" w:rsidRDefault="008B55A2" w14:paraId="3CCD3E55" w14:textId="77777777">
      <w:pPr>
        <w:pStyle w:val="Heading3"/>
        <w:widowControl w:val="0"/>
      </w:pPr>
      <w:bookmarkStart w:name="_Toc206672951" w:id="19"/>
      <w:r>
        <w:t>AGC Status</w:t>
      </w:r>
      <w:r>
        <w:rPr>
          <w:u w:val="none"/>
        </w:rPr>
        <w:t>:</w:t>
      </w:r>
      <w:r>
        <w:rPr>
          <w:b w:val="0"/>
          <w:u w:val="none"/>
        </w:rPr>
        <w:t xml:space="preserve"> As defined in Section 3.2.1 (</w:t>
      </w:r>
      <w:r>
        <w:rPr>
          <w:b w:val="0"/>
          <w:i/>
          <w:iCs/>
          <w:u w:val="none"/>
        </w:rPr>
        <w:t>AGC Status Performance Requirement</w:t>
      </w:r>
      <w:r>
        <w:rPr>
          <w:b w:val="0"/>
          <w:u w:val="none"/>
        </w:rPr>
        <w:t>) of Exhibit C (</w:t>
      </w:r>
      <w:r>
        <w:rPr>
          <w:rFonts w:cs="Arial"/>
          <w:b w:val="0"/>
          <w:i/>
          <w:u w:val="none"/>
        </w:rPr>
        <w:t>Monthly Capacity Payments; Monthly Capacity Reductions; AGC Performance Metrics and Requirements</w:t>
      </w:r>
      <w:r>
        <w:rPr>
          <w:b w:val="0"/>
          <w:u w:val="none"/>
        </w:rPr>
        <w:t>).</w:t>
      </w:r>
      <w:bookmarkEnd w:id="19"/>
    </w:p>
    <w:p w:rsidRPr="000D001A" w:rsidR="0023647C" w:rsidP="002A415D" w:rsidRDefault="008B55A2" w14:paraId="28DD2855" w14:textId="77777777">
      <w:pPr>
        <w:pStyle w:val="Heading3"/>
        <w:widowControl w:val="0"/>
        <w:rPr>
          <w:b w:val="0"/>
          <w:u w:val="none"/>
        </w:rPr>
      </w:pPr>
      <w:bookmarkStart w:name="_Toc206672952" w:id="20"/>
      <w:r>
        <w:t>AGC Status Performance Metric</w:t>
      </w:r>
      <w:r>
        <w:rPr>
          <w:u w:val="none"/>
        </w:rPr>
        <w:t>:</w:t>
      </w:r>
      <w:r>
        <w:rPr>
          <w:b w:val="0"/>
          <w:u w:val="none"/>
        </w:rPr>
        <w:t xml:space="preserve"> As defined in Section 3.2.1 (</w:t>
      </w:r>
      <w:r>
        <w:rPr>
          <w:b w:val="0"/>
          <w:i/>
          <w:iCs/>
          <w:u w:val="none"/>
        </w:rPr>
        <w:t>AGC Status Performance Requirement</w:t>
      </w:r>
      <w:r>
        <w:rPr>
          <w:b w:val="0"/>
          <w:u w:val="none"/>
        </w:rPr>
        <w:t>) of Exhibit C (</w:t>
      </w:r>
      <w:r>
        <w:rPr>
          <w:rFonts w:cs="Arial"/>
          <w:b w:val="0"/>
          <w:i/>
          <w:u w:val="none"/>
        </w:rPr>
        <w:t>Monthly Capacity Payments; Monthly Capacity Reductions; AGC Performance Metrics and Requirements</w:t>
      </w:r>
      <w:r>
        <w:rPr>
          <w:b w:val="0"/>
          <w:u w:val="none"/>
        </w:rPr>
        <w:t>).</w:t>
      </w:r>
      <w:bookmarkEnd w:id="20"/>
    </w:p>
    <w:p w:rsidRPr="000D001A" w:rsidR="00B40F68" w:rsidP="002A415D" w:rsidRDefault="008B55A2" w14:paraId="47611C78" w14:textId="77777777">
      <w:pPr>
        <w:pStyle w:val="Heading3"/>
        <w:widowControl w:val="0"/>
        <w:rPr>
          <w:b w:val="0"/>
          <w:bCs w:val="0"/>
          <w:u w:val="none"/>
        </w:rPr>
      </w:pPr>
      <w:bookmarkStart w:name="_Toc206672953" w:id="21"/>
      <w:r>
        <w:t>AGC Status Performance Requirement</w:t>
      </w:r>
      <w:r>
        <w:rPr>
          <w:u w:val="none"/>
        </w:rPr>
        <w:t xml:space="preserve">: </w:t>
      </w:r>
      <w:r>
        <w:rPr>
          <w:b w:val="0"/>
          <w:bCs w:val="0"/>
          <w:u w:val="none"/>
        </w:rPr>
        <w:t xml:space="preserve">As defined in </w:t>
      </w:r>
      <w:r>
        <w:rPr>
          <w:b w:val="0"/>
          <w:u w:val="none"/>
        </w:rPr>
        <w:t>Section 3.2.1 (</w:t>
      </w:r>
      <w:r>
        <w:rPr>
          <w:b w:val="0"/>
          <w:i/>
          <w:iCs/>
          <w:u w:val="none"/>
        </w:rPr>
        <w:t xml:space="preserve">AGC Status Performance </w:t>
      </w:r>
      <w:r>
        <w:rPr>
          <w:b w:val="0"/>
          <w:i/>
          <w:iCs/>
          <w:u w:val="none"/>
        </w:rPr>
        <w:lastRenderedPageBreak/>
        <w:t>Requirement</w:t>
      </w:r>
      <w:r>
        <w:rPr>
          <w:b w:val="0"/>
          <w:u w:val="none"/>
        </w:rPr>
        <w:t>) of Exhibit C (</w:t>
      </w:r>
      <w:r>
        <w:rPr>
          <w:rFonts w:cs="Arial"/>
          <w:b w:val="0"/>
          <w:i/>
          <w:u w:val="none"/>
        </w:rPr>
        <w:t>Monthly Capacity Payments; Monthly Capacity Reductions; AGC Performance Metrics and Requirements</w:t>
      </w:r>
      <w:r>
        <w:rPr>
          <w:b w:val="0"/>
          <w:u w:val="none"/>
        </w:rPr>
        <w:t>)</w:t>
      </w:r>
      <w:r>
        <w:rPr>
          <w:b w:val="0"/>
          <w:bCs w:val="0"/>
          <w:u w:val="none"/>
        </w:rPr>
        <w:t>.</w:t>
      </w:r>
      <w:bookmarkEnd w:id="21"/>
    </w:p>
    <w:p w:rsidRPr="000D001A" w:rsidR="005B0065" w:rsidP="005B0065" w:rsidRDefault="005B0065" w14:paraId="3D3F0584" w14:textId="7B6F4910">
      <w:pPr>
        <w:pStyle w:val="Heading3"/>
        <w:widowControl w:val="0"/>
        <w:rPr>
          <w:b w:val="0"/>
          <w:u w:val="none"/>
        </w:rPr>
      </w:pPr>
      <w:bookmarkStart w:name="_Toc206672954" w:id="22"/>
      <w:r>
        <w:t>AIER</w:t>
      </w:r>
      <w:r>
        <w:rPr>
          <w:u w:val="none"/>
        </w:rPr>
        <w:t xml:space="preserve">: </w:t>
      </w:r>
      <w:r>
        <w:rPr>
          <w:b w:val="0"/>
          <w:u w:val="none"/>
        </w:rPr>
        <w:t>As determined for each Hour, the variable dispatch cost of the incremental resources that serve the collective obligations of the Southern Companies.</w:t>
      </w:r>
      <w:bookmarkEnd w:id="22"/>
    </w:p>
    <w:p w:rsidRPr="00EA10D1" w:rsidR="00EA10D1" w:rsidP="005B0065" w:rsidRDefault="00EA10D1" w14:paraId="710C743D" w14:textId="6BB8CCF2">
      <w:pPr>
        <w:spacing w:before="120" w:after="120" w:line="240" w:lineRule="auto"/>
        <w:rPr>
          <w:rFonts w:ascii="Arial" w:hAnsi="Arial" w:cs="Arial"/>
          <w:sz w:val="20"/>
          <w:szCs w:val="20"/>
        </w:rPr>
      </w:pPr>
      <w:r w:rsidRPr="00EA10D1">
        <w:rPr>
          <w:rFonts w:ascii="Arial" w:hAnsi="Arial" w:cs="Arial"/>
          <w:b/>
          <w:bCs/>
          <w:sz w:val="20"/>
          <w:szCs w:val="20"/>
          <w:u w:val="single"/>
        </w:rPr>
        <w:t>Amended Commission Certificate</w:t>
      </w:r>
      <w:r w:rsidRPr="00EA10D1">
        <w:rPr>
          <w:rFonts w:ascii="Arial" w:hAnsi="Arial" w:cs="Arial"/>
          <w:sz w:val="20"/>
          <w:szCs w:val="20"/>
        </w:rPr>
        <w:t>: As defined in Section 1.3.4 (</w:t>
      </w:r>
      <w:r w:rsidRPr="00EA10D1">
        <w:rPr>
          <w:rFonts w:ascii="Arial" w:hAnsi="Arial" w:cs="Arial"/>
          <w:i/>
          <w:iCs/>
          <w:sz w:val="20"/>
          <w:szCs w:val="20"/>
        </w:rPr>
        <w:t>Revocation, Qualifications, or Conditions</w:t>
      </w:r>
      <w:r w:rsidRPr="00EA10D1">
        <w:rPr>
          <w:rFonts w:ascii="Arial" w:hAnsi="Arial" w:cs="Arial"/>
          <w:sz w:val="20"/>
          <w:szCs w:val="20"/>
        </w:rPr>
        <w:t>).</w:t>
      </w:r>
    </w:p>
    <w:p w:rsidRPr="000D001A" w:rsidR="002D54C4" w:rsidP="002A415D" w:rsidRDefault="008B55A2" w14:paraId="738E0E64" w14:textId="7816ADA7">
      <w:pPr>
        <w:pStyle w:val="Heading3"/>
        <w:widowControl w:val="0"/>
        <w:rPr>
          <w:b w:val="0"/>
          <w:u w:val="none"/>
        </w:rPr>
      </w:pPr>
      <w:bookmarkStart w:name="_Toc206672955" w:id="23"/>
      <w:r>
        <w:t>Ancillary Services</w:t>
      </w:r>
      <w:r>
        <w:rPr>
          <w:u w:val="none"/>
        </w:rPr>
        <w:t xml:space="preserve">: </w:t>
      </w:r>
      <w:r>
        <w:rPr>
          <w:b w:val="0"/>
          <w:u w:val="none"/>
        </w:rPr>
        <w:t>All commercial products other than electrical output that are produced by or related to the Facility, including Electrical Products, Environmental Attributes, any other environmental or regulatory credits or allowances resulting from operation of the Facility, and any other benefit GPC otherwise would have realized from or related to the Facility</w:t>
      </w:r>
      <w:r w:rsidRPr="004B0BBF">
        <w:rPr>
          <w:b w:val="0"/>
          <w:color w:val="FF0000"/>
          <w:u w:val="none"/>
        </w:rPr>
        <w:t xml:space="preserve"> </w:t>
      </w:r>
      <w:r>
        <w:rPr>
          <w:b w:val="0"/>
          <w:u w:val="none"/>
        </w:rPr>
        <w:t>if GPC rather than Seller had constructed, owned, or operated the Facility, it being the Parties’ intent that all the benefits and entitlements in addition to electrical output that flow to the owner or operator of the Facility, whether existing as of the Effective Date or at any time during the Term, belong to GPC at no additional cost to GPC. However, if a commercial product is not produced by the Facility, Seller will not be required to acquire the commercial product in the market to comply with this PPA.</w:t>
      </w:r>
      <w:r>
        <w:rPr>
          <w:b w:val="0"/>
          <w:w w:val="0"/>
          <w:u w:val="none"/>
        </w:rPr>
        <w:t xml:space="preserve"> Ancillary Services </w:t>
      </w:r>
      <w:r>
        <w:rPr>
          <w:b w:val="0"/>
          <w:u w:val="none"/>
        </w:rPr>
        <w:t>do not include: (i) any federal, state, or local tax attributes arising from the ownership of the Facility, including investment tax credit (ITC), production tax credit (PTC), and depreciation deductions; (ii) grants in lieu of investment tax credits or any similar financial payment or grant regarding the Facility; or (iii) the metered electric energy produced by the Facility.</w:t>
      </w:r>
      <w:bookmarkEnd w:id="23"/>
    </w:p>
    <w:p w:rsidRPr="000D001A" w:rsidR="002D54C4" w:rsidP="002A415D" w:rsidRDefault="008B55A2" w14:paraId="2BCB1AA0" w14:textId="50118325">
      <w:pPr>
        <w:pStyle w:val="Heading3"/>
        <w:widowControl w:val="0"/>
        <w:rPr>
          <w:u w:val="none"/>
        </w:rPr>
      </w:pPr>
      <w:bookmarkStart w:name="_Toc206672956" w:id="24"/>
      <w:r>
        <w:t>Annual Capacity Price (ACP)</w:t>
      </w:r>
      <w:r>
        <w:rPr>
          <w:u w:val="none"/>
        </w:rPr>
        <w:t xml:space="preserve">: </w:t>
      </w:r>
      <w:r>
        <w:rPr>
          <w:b w:val="0"/>
          <w:u w:val="none"/>
        </w:rPr>
        <w:t>The annual price to be paid by GPC to Seller for GPC’s purchase of the Facility’s capacity, as set forth in Table C-1 (</w:t>
      </w:r>
      <w:r>
        <w:rPr>
          <w:b w:val="0"/>
          <w:i/>
          <w:iCs/>
          <w:u w:val="none"/>
        </w:rPr>
        <w:t>Annual Capacity Price</w:t>
      </w:r>
      <w:r>
        <w:rPr>
          <w:b w:val="0"/>
          <w:u w:val="none"/>
        </w:rPr>
        <w:t>) in Exhibit C</w:t>
      </w:r>
      <w:r>
        <w:rPr>
          <w:b w:val="0"/>
          <w:i/>
          <w:u w:val="none"/>
        </w:rPr>
        <w:t xml:space="preserve"> </w:t>
      </w:r>
      <w:r>
        <w:rPr>
          <w:b w:val="0"/>
          <w:u w:val="none"/>
        </w:rPr>
        <w:t>(</w:t>
      </w:r>
      <w:r>
        <w:rPr>
          <w:rFonts w:cs="Arial"/>
          <w:b w:val="0"/>
          <w:i/>
          <w:u w:val="none"/>
        </w:rPr>
        <w:t>Monthly Capacity Payments; Monthly Capacity Reductions; AGC Performance Metrics and Requirements</w:t>
      </w:r>
      <w:r>
        <w:rPr>
          <w:b w:val="0"/>
          <w:u w:val="none"/>
        </w:rPr>
        <w:t xml:space="preserve">), subject to adjustment as set forth in </w:t>
      </w:r>
      <w:r w:rsidR="009079A9">
        <w:rPr>
          <w:b w:val="0"/>
          <w:u w:val="none"/>
        </w:rPr>
        <w:t xml:space="preserve"> Part 17 (</w:t>
      </w:r>
      <w:r w:rsidRPr="009079A9" w:rsidR="009079A9">
        <w:rPr>
          <w:b w:val="0"/>
          <w:i/>
          <w:iCs/>
          <w:u w:val="none"/>
        </w:rPr>
        <w:t>Compliance with Laws</w:t>
      </w:r>
      <w:r w:rsidR="009079A9">
        <w:rPr>
          <w:b w:val="0"/>
          <w:u w:val="none"/>
        </w:rPr>
        <w:t>).</w:t>
      </w:r>
      <w:r>
        <w:rPr>
          <w:b w:val="0"/>
          <w:u w:val="none"/>
        </w:rPr>
        <w:t xml:space="preserve"> .</w:t>
      </w:r>
      <w:bookmarkEnd w:id="24"/>
    </w:p>
    <w:p w:rsidRPr="008D1E03" w:rsidR="005E232A" w:rsidP="004B0BBF" w:rsidRDefault="008B55A2" w14:paraId="6C4F26F4" w14:textId="744DA81D">
      <w:pPr>
        <w:pStyle w:val="Heading3"/>
        <w:rPr>
          <w:rFonts w:cs="Arial"/>
          <w:b w:val="0"/>
          <w:bCs w:val="0"/>
          <w:u w:val="none"/>
        </w:rPr>
      </w:pPr>
      <w:bookmarkStart w:name="_Toc206672957" w:id="25"/>
      <w:r>
        <w:t>Annual Period</w:t>
      </w:r>
      <w:r>
        <w:rPr>
          <w:u w:val="none"/>
        </w:rPr>
        <w:t>:</w:t>
      </w:r>
      <w:r>
        <w:rPr>
          <w:b w:val="0"/>
          <w:u w:val="none"/>
        </w:rPr>
        <w:t xml:space="preserve"> </w:t>
      </w:r>
      <w:r w:rsidR="00D57847">
        <w:rPr>
          <w:b w:val="0"/>
          <w:color w:val="000000" w:themeColor="text1"/>
          <w:u w:val="none"/>
        </w:rPr>
        <w:t>Each</w:t>
      </w:r>
      <w:r w:rsidRPr="008D1E03" w:rsidR="005E232A">
        <w:rPr>
          <w:rFonts w:cs="Arial"/>
          <w:b w:val="0"/>
          <w:bCs w:val="0"/>
          <w:u w:val="none"/>
        </w:rPr>
        <w:t xml:space="preserve"> consecutive 12-</w:t>
      </w:r>
      <w:r w:rsidR="003E3AD3">
        <w:rPr>
          <w:rFonts w:cs="Arial"/>
          <w:b w:val="0"/>
          <w:bCs w:val="0"/>
          <w:u w:val="none"/>
        </w:rPr>
        <w:t>M</w:t>
      </w:r>
      <w:r w:rsidRPr="008D1E03" w:rsidR="005E232A">
        <w:rPr>
          <w:rFonts w:cs="Arial"/>
          <w:b w:val="0"/>
          <w:bCs w:val="0"/>
          <w:u w:val="none"/>
        </w:rPr>
        <w:t>onth period during the Term</w:t>
      </w:r>
      <w:r w:rsidR="00255F6D">
        <w:rPr>
          <w:rFonts w:cs="Arial"/>
          <w:b w:val="0"/>
          <w:bCs w:val="0"/>
          <w:u w:val="none"/>
        </w:rPr>
        <w:t>, with the first Annual Period</w:t>
      </w:r>
      <w:r w:rsidRPr="008D1E03" w:rsidR="005E232A">
        <w:rPr>
          <w:rFonts w:cs="Arial"/>
          <w:b w:val="0"/>
          <w:bCs w:val="0"/>
          <w:u w:val="none"/>
        </w:rPr>
        <w:t xml:space="preserve"> beginning on the Delivery Commencement Date. </w:t>
      </w:r>
    </w:p>
    <w:p w:rsidRPr="000D001A" w:rsidR="00E221FB" w:rsidP="008D1E03" w:rsidRDefault="008B55A2" w14:paraId="26240DB8" w14:textId="63602F84">
      <w:pPr>
        <w:pStyle w:val="Heading3"/>
        <w:widowControl w:val="0"/>
      </w:pPr>
      <w:bookmarkStart w:name="_Toc206672958" w:id="26"/>
      <w:bookmarkEnd w:id="25"/>
      <w:r>
        <w:t>Annual RTE</w:t>
      </w:r>
      <w:r w:rsidRPr="00E10338">
        <w:rPr>
          <w:u w:val="none"/>
        </w:rPr>
        <w:t xml:space="preserve">: </w:t>
      </w:r>
      <w:r>
        <w:rPr>
          <w:b w:val="0"/>
          <w:bCs w:val="0"/>
          <w:u w:val="none"/>
        </w:rPr>
        <w:t xml:space="preserve">As defined in </w:t>
      </w:r>
      <w:r w:rsidR="00EF70C1">
        <w:rPr>
          <w:b w:val="0"/>
          <w:bCs w:val="0"/>
          <w:u w:val="none"/>
        </w:rPr>
        <w:t>Section 2.4</w:t>
      </w:r>
      <w:r w:rsidR="00764B49">
        <w:rPr>
          <w:b w:val="0"/>
          <w:bCs w:val="0"/>
          <w:u w:val="none"/>
        </w:rPr>
        <w:t>.1</w:t>
      </w:r>
      <w:r w:rsidR="00EF70C1">
        <w:rPr>
          <w:b w:val="0"/>
          <w:bCs w:val="0"/>
          <w:u w:val="none"/>
        </w:rPr>
        <w:t xml:space="preserve"> (</w:t>
      </w:r>
      <w:r w:rsidR="00764B49">
        <w:rPr>
          <w:b w:val="0"/>
          <w:bCs w:val="0"/>
          <w:i/>
          <w:iCs/>
          <w:u w:val="none"/>
        </w:rPr>
        <w:t>Annual RTE Performance Test</w:t>
      </w:r>
      <w:r w:rsidR="006C6FCC">
        <w:rPr>
          <w:b w:val="0"/>
          <w:bCs w:val="0"/>
          <w:u w:val="none"/>
        </w:rPr>
        <w:t xml:space="preserve">) of </w:t>
      </w:r>
      <w:r>
        <w:rPr>
          <w:b w:val="0"/>
          <w:u w:val="none"/>
        </w:rPr>
        <w:t>Exhibit C (</w:t>
      </w:r>
      <w:r>
        <w:rPr>
          <w:b w:val="0"/>
          <w:bCs w:val="0"/>
          <w:i/>
          <w:u w:val="none"/>
        </w:rPr>
        <w:t>Monthly Capacity Payments; Monthly Capacity Reductions; AGC Performance Metrics and Requirements</w:t>
      </w:r>
      <w:r>
        <w:rPr>
          <w:b w:val="0"/>
          <w:u w:val="none"/>
        </w:rPr>
        <w:t>)</w:t>
      </w:r>
      <w:r>
        <w:rPr>
          <w:b w:val="0"/>
          <w:bCs w:val="0"/>
          <w:u w:val="none"/>
        </w:rPr>
        <w:t>.</w:t>
      </w:r>
      <w:bookmarkEnd w:id="26"/>
    </w:p>
    <w:p w:rsidR="00E221FB" w:rsidP="002A415D" w:rsidRDefault="008B55A2" w14:paraId="502F180C" w14:textId="45F0F31C">
      <w:pPr>
        <w:pStyle w:val="Heading3"/>
        <w:widowControl w:val="0"/>
        <w:rPr>
          <w:b w:val="0"/>
          <w:u w:val="none"/>
        </w:rPr>
      </w:pPr>
      <w:bookmarkStart w:name="_Toc206672959" w:id="27"/>
      <w:r>
        <w:t>Annual RTE Test</w:t>
      </w:r>
      <w:r w:rsidRPr="00E10338">
        <w:rPr>
          <w:u w:val="none"/>
        </w:rPr>
        <w:t xml:space="preserve">: </w:t>
      </w:r>
      <w:r>
        <w:rPr>
          <w:b w:val="0"/>
          <w:bCs w:val="0"/>
          <w:u w:val="none"/>
        </w:rPr>
        <w:t xml:space="preserve">As defined in </w:t>
      </w:r>
      <w:r w:rsidR="007C075F">
        <w:rPr>
          <w:b w:val="0"/>
          <w:bCs w:val="0"/>
          <w:u w:val="none"/>
        </w:rPr>
        <w:t>Section 2.4.1 (</w:t>
      </w:r>
      <w:r w:rsidR="007C075F">
        <w:rPr>
          <w:b w:val="0"/>
          <w:bCs w:val="0"/>
          <w:i/>
          <w:iCs/>
          <w:u w:val="none"/>
        </w:rPr>
        <w:t>Annual RTE Performance Test</w:t>
      </w:r>
      <w:r w:rsidR="007C075F">
        <w:rPr>
          <w:b w:val="0"/>
          <w:bCs w:val="0"/>
          <w:u w:val="none"/>
        </w:rPr>
        <w:t xml:space="preserve">) of </w:t>
      </w:r>
      <w:r>
        <w:rPr>
          <w:b w:val="0"/>
          <w:bCs w:val="0"/>
          <w:u w:val="none"/>
        </w:rPr>
        <w:t>Exhibit C (</w:t>
      </w:r>
      <w:r w:rsidRPr="00E22672">
        <w:rPr>
          <w:b w:val="0"/>
          <w:i/>
          <w:u w:val="none"/>
        </w:rPr>
        <w:t>Monthly Capacity Payments; Monthly Capacity Reductions; AGC Performance Metrics and Requirements</w:t>
      </w:r>
      <w:r>
        <w:rPr>
          <w:b w:val="0"/>
          <w:bCs w:val="0"/>
          <w:u w:val="none"/>
        </w:rPr>
        <w:t>).</w:t>
      </w:r>
      <w:bookmarkEnd w:id="27"/>
    </w:p>
    <w:p w:rsidRPr="00FA07D2" w:rsidR="00FA07D2" w:rsidP="00962431" w:rsidRDefault="00FA07D2" w14:paraId="2FA6BADA" w14:textId="6739E043">
      <w:pPr>
        <w:spacing w:before="120" w:after="120" w:line="240" w:lineRule="auto"/>
        <w:jc w:val="both"/>
        <w:rPr>
          <w:rFonts w:ascii="Arial" w:hAnsi="Arial" w:cs="Arial"/>
          <w:sz w:val="20"/>
          <w:szCs w:val="20"/>
        </w:rPr>
      </w:pPr>
      <w:r w:rsidRPr="00FA07D2">
        <w:rPr>
          <w:rFonts w:ascii="Arial" w:hAnsi="Arial" w:cs="Arial"/>
          <w:b/>
          <w:bCs/>
          <w:sz w:val="20"/>
          <w:szCs w:val="20"/>
          <w:u w:val="single"/>
        </w:rPr>
        <w:t>Arbitration Panel</w:t>
      </w:r>
      <w:r w:rsidRPr="0089466A">
        <w:rPr>
          <w:rFonts w:ascii="Arial" w:hAnsi="Arial" w:cs="Arial"/>
          <w:b/>
          <w:bCs/>
          <w:sz w:val="20"/>
          <w:szCs w:val="20"/>
        </w:rPr>
        <w:t>:</w:t>
      </w:r>
      <w:r>
        <w:t xml:space="preserve"> </w:t>
      </w:r>
      <w:r w:rsidRPr="00863B68">
        <w:rPr>
          <w:rFonts w:ascii="Arial" w:hAnsi="Arial" w:cs="Arial"/>
          <w:sz w:val="20"/>
          <w:szCs w:val="20"/>
        </w:rPr>
        <w:t>As defined in Section 19.3.2</w:t>
      </w:r>
      <w:r w:rsidR="00414A01">
        <w:rPr>
          <w:rFonts w:ascii="Arial" w:hAnsi="Arial" w:cs="Arial"/>
          <w:sz w:val="20"/>
          <w:szCs w:val="20"/>
        </w:rPr>
        <w:t>(i)</w:t>
      </w:r>
      <w:r w:rsidRPr="00863B68">
        <w:rPr>
          <w:rFonts w:ascii="Arial" w:hAnsi="Arial" w:cs="Arial"/>
          <w:sz w:val="20"/>
          <w:szCs w:val="20"/>
        </w:rPr>
        <w:t xml:space="preserve"> (</w:t>
      </w:r>
      <w:r w:rsidRPr="00863B68">
        <w:rPr>
          <w:rFonts w:ascii="Arial" w:hAnsi="Arial" w:cs="Arial"/>
          <w:i/>
          <w:iCs/>
          <w:sz w:val="20"/>
          <w:szCs w:val="20"/>
        </w:rPr>
        <w:t xml:space="preserve">Initiation of Arbitration; Selection of </w:t>
      </w:r>
      <w:r w:rsidR="00414A01">
        <w:rPr>
          <w:rFonts w:ascii="Arial" w:hAnsi="Arial" w:cs="Arial"/>
          <w:i/>
          <w:iCs/>
          <w:sz w:val="20"/>
          <w:szCs w:val="20"/>
        </w:rPr>
        <w:t xml:space="preserve">Party-Appointed </w:t>
      </w:r>
      <w:r w:rsidRPr="00863B68">
        <w:rPr>
          <w:rFonts w:ascii="Arial" w:hAnsi="Arial" w:cs="Arial"/>
          <w:i/>
          <w:iCs/>
          <w:sz w:val="20"/>
          <w:szCs w:val="20"/>
        </w:rPr>
        <w:t>Arbitrators</w:t>
      </w:r>
      <w:r w:rsidRPr="00863B68">
        <w:rPr>
          <w:rFonts w:ascii="Arial" w:hAnsi="Arial" w:cs="Arial"/>
          <w:sz w:val="20"/>
          <w:szCs w:val="20"/>
        </w:rPr>
        <w:t>).</w:t>
      </w:r>
    </w:p>
    <w:p w:rsidRPr="000D001A" w:rsidR="002D54C4" w:rsidP="002A415D" w:rsidRDefault="008B55A2" w14:paraId="39BA53C9" w14:textId="77777777">
      <w:pPr>
        <w:pStyle w:val="Heading3"/>
        <w:widowControl w:val="0"/>
        <w:rPr>
          <w:b w:val="0"/>
          <w:u w:val="none"/>
        </w:rPr>
      </w:pPr>
      <w:bookmarkStart w:name="_Toc206672960" w:id="28"/>
      <w:r>
        <w:t>ASC</w:t>
      </w:r>
      <w:r>
        <w:rPr>
          <w:u w:val="none"/>
        </w:rPr>
        <w:t xml:space="preserve">: </w:t>
      </w:r>
      <w:r>
        <w:rPr>
          <w:b w:val="0"/>
          <w:u w:val="none"/>
        </w:rPr>
        <w:t>The FASB Accounting Standards Codification.</w:t>
      </w:r>
      <w:bookmarkEnd w:id="28"/>
    </w:p>
    <w:p w:rsidRPr="000D001A" w:rsidR="002D54C4" w:rsidP="002A415D" w:rsidRDefault="008B55A2" w14:paraId="2785AB1E" w14:textId="77777777">
      <w:pPr>
        <w:pStyle w:val="Heading3"/>
        <w:widowControl w:val="0"/>
        <w:rPr>
          <w:b w:val="0"/>
          <w:u w:val="none"/>
        </w:rPr>
      </w:pPr>
      <w:bookmarkStart w:name="_Toc206672961" w:id="29"/>
      <w:r>
        <w:t>Automatic Generation Control (AGC)</w:t>
      </w:r>
      <w:r>
        <w:rPr>
          <w:u w:val="none"/>
        </w:rPr>
        <w:t xml:space="preserve">: </w:t>
      </w:r>
      <w:r>
        <w:rPr>
          <w:rStyle w:val="cf01"/>
          <w:rFonts w:ascii="Arial" w:hAnsi="Arial" w:cs="Arial"/>
          <w:b w:val="0"/>
          <w:sz w:val="20"/>
          <w:szCs w:val="20"/>
          <w:u w:val="none"/>
        </w:rPr>
        <w:t>The equipment and capability of a facility to automatically adjust energy output within the applicable balancing authority for purposes of interchange balancing, and specifically, the Facility’s capability to accept a set point electronically and the automatic adjustment and regulation of the Facility’s energy output to meet that set point.</w:t>
      </w:r>
      <w:bookmarkEnd w:id="29"/>
    </w:p>
    <w:p w:rsidRPr="000D001A" w:rsidR="00413C75" w:rsidP="002A415D" w:rsidRDefault="008B55A2" w14:paraId="4E025E69" w14:textId="75C3BE2D">
      <w:pPr>
        <w:pStyle w:val="Heading3"/>
        <w:widowControl w:val="0"/>
      </w:pPr>
      <w:bookmarkStart w:name="_Toc206672962" w:id="30"/>
      <w:r>
        <w:t>Auxiliary Operational Load</w:t>
      </w:r>
      <w:r>
        <w:rPr>
          <w:u w:val="none"/>
        </w:rPr>
        <w:t>:</w:t>
      </w:r>
      <w:r>
        <w:rPr>
          <w:b w:val="0"/>
          <w:u w:val="none"/>
        </w:rPr>
        <w:t xml:space="preserve"> </w:t>
      </w:r>
      <w:r>
        <w:rPr>
          <w:rStyle w:val="cf01"/>
          <w:rFonts w:ascii="Arial" w:hAnsi="Arial" w:cstheme="majorBidi"/>
          <w:b w:val="0"/>
          <w:sz w:val="20"/>
          <w:szCs w:val="20"/>
          <w:u w:val="none"/>
        </w:rPr>
        <w:t>Load that is required for thermal management of the BESS (e.g. HVAC) and essential Facility operation (e.g. control system building) that must be metered separately from Charging Energy</w:t>
      </w:r>
      <w:r w:rsidR="00046477">
        <w:rPr>
          <w:rStyle w:val="cf01"/>
          <w:rFonts w:ascii="Arial" w:hAnsi="Arial" w:cstheme="majorBidi"/>
          <w:b w:val="0"/>
          <w:sz w:val="20"/>
          <w:szCs w:val="20"/>
          <w:u w:val="none"/>
        </w:rPr>
        <w:t xml:space="preserve"> </w:t>
      </w:r>
      <w:r w:rsidRPr="00E6568A" w:rsidR="00046477">
        <w:rPr>
          <w:rFonts w:cs="Arial"/>
          <w:b w:val="0"/>
          <w:u w:val="none"/>
        </w:rPr>
        <w:t xml:space="preserve">or, if the BESS is not capable of separately metering Auxiliary Operational Load, determined based on aggregated telemetry from the BESS controller or other measurement </w:t>
      </w:r>
      <w:r w:rsidRPr="00E6568A" w:rsidR="00F068C2">
        <w:rPr>
          <w:rFonts w:cs="Arial"/>
          <w:b w:val="0"/>
          <w:u w:val="none"/>
        </w:rPr>
        <w:t>mutually agreed by the Operating Co</w:t>
      </w:r>
      <w:r w:rsidRPr="00E6568A" w:rsidR="000216F1">
        <w:rPr>
          <w:rFonts w:cs="Arial"/>
          <w:b w:val="0"/>
          <w:u w:val="none"/>
        </w:rPr>
        <w:t>mmittee</w:t>
      </w:r>
      <w:r w:rsidRPr="00E6568A" w:rsidR="00046477">
        <w:rPr>
          <w:rFonts w:cs="Arial"/>
          <w:b w:val="0"/>
          <w:u w:val="none"/>
        </w:rPr>
        <w:t>. Auxiliary Operational Load is distinct from and must be measured or calculated separately from Charging Energy and paid for by Seller</w:t>
      </w:r>
      <w:r>
        <w:rPr>
          <w:rStyle w:val="cf01"/>
          <w:rFonts w:ascii="Arial" w:hAnsi="Arial" w:cstheme="majorBidi"/>
          <w:b w:val="0"/>
          <w:sz w:val="20"/>
          <w:szCs w:val="20"/>
          <w:u w:val="none"/>
        </w:rPr>
        <w:t>.</w:t>
      </w:r>
      <w:bookmarkEnd w:id="30"/>
    </w:p>
    <w:p w:rsidRPr="000D001A" w:rsidR="002D54C4" w:rsidP="002A415D" w:rsidRDefault="008B55A2" w14:paraId="4BECCB0B" w14:textId="3E4C40B8">
      <w:pPr>
        <w:pStyle w:val="Heading3"/>
        <w:widowControl w:val="0"/>
        <w:rPr>
          <w:b w:val="0"/>
          <w:u w:val="none"/>
        </w:rPr>
      </w:pPr>
      <w:bookmarkStart w:name="_Toc206672963" w:id="31"/>
      <w:r>
        <w:rPr>
          <w:rFonts w:cs="Arial"/>
        </w:rPr>
        <w:t>Available</w:t>
      </w:r>
      <w:r>
        <w:rPr>
          <w:rFonts w:cs="Arial"/>
          <w:u w:val="none"/>
        </w:rPr>
        <w:t xml:space="preserve">: </w:t>
      </w:r>
      <w:r>
        <w:rPr>
          <w:b w:val="0"/>
          <w:u w:val="none"/>
        </w:rPr>
        <w:t>All times following the Delivery Commencement Date when the BESS,</w:t>
      </w:r>
      <w:r>
        <w:rPr>
          <w:b w:val="0"/>
          <w:i/>
          <w:u w:val="none"/>
        </w:rPr>
        <w:t xml:space="preserve"> </w:t>
      </w:r>
      <w:r>
        <w:rPr>
          <w:b w:val="0"/>
          <w:u w:val="none"/>
        </w:rPr>
        <w:t>as applicable, is not Unavailable.</w:t>
      </w:r>
      <w:bookmarkEnd w:id="31"/>
    </w:p>
    <w:p w:rsidRPr="000D001A" w:rsidR="002323E1" w:rsidP="002A415D" w:rsidRDefault="008B55A2" w14:paraId="56364A39" w14:textId="77777777">
      <w:pPr>
        <w:pStyle w:val="Heading3"/>
        <w:widowControl w:val="0"/>
        <w:rPr>
          <w:b w:val="0"/>
          <w:bCs w:val="0"/>
          <w:u w:val="none"/>
        </w:rPr>
      </w:pPr>
      <w:bookmarkStart w:name="_Toc206672964" w:id="32"/>
      <w:r>
        <w:t>Banking Day</w:t>
      </w:r>
      <w:r>
        <w:rPr>
          <w:u w:val="none"/>
        </w:rPr>
        <w:t xml:space="preserve">: </w:t>
      </w:r>
      <w:r>
        <w:rPr>
          <w:b w:val="0"/>
          <w:bCs w:val="0"/>
          <w:u w:val="none"/>
        </w:rPr>
        <w:t>Any Day on which banking institutions in Atlanta, Georgia are open.</w:t>
      </w:r>
      <w:bookmarkEnd w:id="32"/>
    </w:p>
    <w:p w:rsidRPr="000D001A" w:rsidR="00B92C9E" w:rsidP="00A21DC9" w:rsidRDefault="008B55A2" w14:paraId="7BCA55C1" w14:textId="77777777">
      <w:pPr>
        <w:pStyle w:val="Heading3"/>
        <w:rPr>
          <w:rFonts w:cs="Arial"/>
          <w:b w:val="0"/>
          <w:u w:val="none"/>
        </w:rPr>
      </w:pPr>
      <w:bookmarkStart w:name="_Toc206672965" w:id="33"/>
      <w:r>
        <w:rPr>
          <w:rFonts w:cs="Arial"/>
        </w:rPr>
        <w:t>Battery Energy Storage System (BESS)</w:t>
      </w:r>
      <w:r>
        <w:rPr>
          <w:rFonts w:cs="Arial"/>
          <w:u w:val="none"/>
        </w:rPr>
        <w:t>:</w:t>
      </w:r>
      <w:r>
        <w:rPr>
          <w:rFonts w:cs="Arial"/>
          <w:b w:val="0"/>
          <w:u w:val="none"/>
        </w:rPr>
        <w:t xml:space="preserve"> The battery energy storage system at the Site, as further described in Exhibit A (</w:t>
      </w:r>
      <w:r>
        <w:rPr>
          <w:rFonts w:cs="Arial"/>
          <w:b w:val="0"/>
          <w:i/>
          <w:u w:val="none"/>
        </w:rPr>
        <w:t>Facility Description and Additional Details</w:t>
      </w:r>
      <w:r>
        <w:rPr>
          <w:rFonts w:cs="Arial"/>
          <w:b w:val="0"/>
          <w:u w:val="none"/>
        </w:rPr>
        <w:t>)</w:t>
      </w:r>
      <w:r>
        <w:rPr>
          <w:rFonts w:cs="Arial"/>
          <w:b w:val="0"/>
          <w:bCs w:val="0"/>
          <w:u w:val="none"/>
        </w:rPr>
        <w:t>,</w:t>
      </w:r>
      <w:r>
        <w:rPr>
          <w:rFonts w:cs="Arial"/>
          <w:b w:val="0"/>
          <w:u w:val="none"/>
        </w:rPr>
        <w:t xml:space="preserve"> that is interconnected to the Southern Company Transmission System at the POI.</w:t>
      </w:r>
      <w:bookmarkEnd w:id="33"/>
    </w:p>
    <w:p w:rsidRPr="004B0BBF" w:rsidR="00E0733A" w:rsidP="004B0BBF" w:rsidRDefault="00E0733A" w14:paraId="37078EBA" w14:textId="02F8AE19">
      <w:pPr>
        <w:spacing w:before="120" w:after="120" w:line="240" w:lineRule="auto"/>
        <w:rPr>
          <w:rFonts w:ascii="Arial" w:hAnsi="Arial"/>
          <w:sz w:val="20"/>
        </w:rPr>
      </w:pPr>
      <w:r w:rsidRPr="00E0733A">
        <w:rPr>
          <w:rFonts w:ascii="Arial" w:hAnsi="Arial" w:cs="Arial"/>
          <w:b/>
          <w:bCs/>
          <w:sz w:val="20"/>
          <w:szCs w:val="20"/>
          <w:u w:val="single"/>
        </w:rPr>
        <w:lastRenderedPageBreak/>
        <w:t>Battery Management System (BMS)</w:t>
      </w:r>
      <w:r w:rsidRPr="00E0733A">
        <w:rPr>
          <w:rFonts w:ascii="Arial" w:hAnsi="Arial" w:cs="Arial"/>
          <w:b/>
          <w:bCs/>
          <w:sz w:val="20"/>
          <w:szCs w:val="20"/>
        </w:rPr>
        <w:t>:</w:t>
      </w:r>
      <w:r w:rsidRPr="004B0BBF">
        <w:rPr>
          <w:rFonts w:ascii="Arial" w:hAnsi="Arial"/>
          <w:sz w:val="20"/>
        </w:rPr>
        <w:t xml:space="preserve"> </w:t>
      </w:r>
      <w:r w:rsidRPr="00E0733A">
        <w:rPr>
          <w:rFonts w:ascii="Arial" w:hAnsi="Arial" w:cs="Arial"/>
          <w:sz w:val="20"/>
          <w:szCs w:val="20"/>
        </w:rPr>
        <w:t>As defined in Section 10.13.1 (</w:t>
      </w:r>
      <w:r w:rsidRPr="00E0733A">
        <w:rPr>
          <w:rFonts w:ascii="Arial" w:hAnsi="Arial" w:cs="Arial"/>
          <w:i/>
          <w:iCs/>
          <w:sz w:val="20"/>
          <w:szCs w:val="20"/>
        </w:rPr>
        <w:t>Sourcing Restrictions</w:t>
      </w:r>
      <w:r w:rsidRPr="00E0733A">
        <w:rPr>
          <w:rFonts w:ascii="Arial" w:hAnsi="Arial" w:cs="Arial"/>
          <w:sz w:val="20"/>
          <w:szCs w:val="20"/>
        </w:rPr>
        <w:t>).</w:t>
      </w:r>
    </w:p>
    <w:p w:rsidR="00AA4527" w:rsidP="00A21DC9" w:rsidRDefault="008B55A2" w14:paraId="1C48C048" w14:textId="77777777">
      <w:pPr>
        <w:pStyle w:val="Heading3"/>
        <w:rPr>
          <w:b w:val="0"/>
          <w:u w:val="none"/>
        </w:rPr>
      </w:pPr>
      <w:bookmarkStart w:name="_Toc206672966" w:id="34"/>
      <w:r>
        <w:rPr>
          <w:rFonts w:cs="Arial"/>
        </w:rPr>
        <w:t>BESS</w:t>
      </w:r>
      <w:r>
        <w:rPr>
          <w:rFonts w:cs="Arial"/>
          <w:u w:val="none"/>
        </w:rPr>
        <w:t xml:space="preserve">: </w:t>
      </w:r>
      <w:r>
        <w:rPr>
          <w:b w:val="0"/>
          <w:u w:val="none"/>
        </w:rPr>
        <w:t xml:space="preserve">See </w:t>
      </w:r>
      <w:r>
        <w:rPr>
          <w:b w:val="0"/>
          <w:i/>
          <w:iCs/>
          <w:u w:val="none"/>
        </w:rPr>
        <w:t>Battery Energy Storage System</w:t>
      </w:r>
      <w:r>
        <w:rPr>
          <w:b w:val="0"/>
          <w:u w:val="none"/>
        </w:rPr>
        <w:t>.</w:t>
      </w:r>
      <w:bookmarkEnd w:id="34"/>
    </w:p>
    <w:p w:rsidRPr="00564BE1" w:rsidR="00242BE9" w:rsidP="004B0BBF" w:rsidRDefault="008B55A2" w14:paraId="2E0544AD" w14:textId="77777777">
      <w:pPr>
        <w:pStyle w:val="Heading3"/>
      </w:pPr>
      <w:bookmarkStart w:name="_Toc206672967" w:id="35"/>
      <w:r w:rsidRPr="00564BE1">
        <w:t>BESS Controller</w:t>
      </w:r>
      <w:r w:rsidRPr="004B0BBF">
        <w:rPr>
          <w:u w:val="none"/>
        </w:rPr>
        <w:t>:</w:t>
      </w:r>
      <w:r w:rsidRPr="004B0BBF">
        <w:rPr>
          <w:b w:val="0"/>
          <w:u w:val="none"/>
        </w:rPr>
        <w:t xml:space="preserve"> As defined in Section 10.13.1 (</w:t>
      </w:r>
      <w:r w:rsidRPr="004B0BBF">
        <w:rPr>
          <w:b w:val="0"/>
          <w:i/>
          <w:u w:val="none"/>
        </w:rPr>
        <w:t>Sourcing Restrictions</w:t>
      </w:r>
      <w:r w:rsidRPr="004B0BBF">
        <w:rPr>
          <w:b w:val="0"/>
          <w:u w:val="none"/>
        </w:rPr>
        <w:t>).</w:t>
      </w:r>
      <w:bookmarkEnd w:id="35"/>
    </w:p>
    <w:p w:rsidRPr="00DB1A3C" w:rsidR="00DB1A3C" w:rsidP="00A21DC9" w:rsidRDefault="005C5A9A" w14:paraId="10FE9FA9" w14:textId="63EA2927">
      <w:pPr>
        <w:spacing w:before="120" w:after="120" w:line="240" w:lineRule="auto"/>
        <w:rPr>
          <w:rFonts w:ascii="Arial" w:hAnsi="Arial" w:cs="Arial"/>
          <w:sz w:val="20"/>
          <w:szCs w:val="20"/>
        </w:rPr>
      </w:pPr>
      <w:r w:rsidRPr="005A2DCE">
        <w:rPr>
          <w:rFonts w:ascii="Arial" w:hAnsi="Arial" w:cs="Arial"/>
          <w:b/>
          <w:bCs/>
          <w:sz w:val="20"/>
          <w:szCs w:val="20"/>
          <w:u w:val="single"/>
        </w:rPr>
        <w:t>Billing Dispute:</w:t>
      </w:r>
      <w:r w:rsidRPr="005A2DCE">
        <w:rPr>
          <w:rFonts w:ascii="Arial" w:hAnsi="Arial" w:cs="Arial"/>
          <w:sz w:val="20"/>
          <w:szCs w:val="20"/>
        </w:rPr>
        <w:t xml:space="preserve"> As defined in Section 19.3 </w:t>
      </w:r>
      <w:r w:rsidRPr="005A2DCE" w:rsidR="005A2DCE">
        <w:rPr>
          <w:rFonts w:ascii="Arial" w:hAnsi="Arial" w:cs="Arial"/>
          <w:sz w:val="20"/>
          <w:szCs w:val="20"/>
        </w:rPr>
        <w:t>(</w:t>
      </w:r>
      <w:r w:rsidRPr="005A2DCE" w:rsidR="005A2DCE">
        <w:rPr>
          <w:rFonts w:ascii="Arial" w:hAnsi="Arial" w:cs="Arial"/>
          <w:i/>
          <w:iCs/>
          <w:sz w:val="20"/>
          <w:szCs w:val="20"/>
        </w:rPr>
        <w:t>JAMS Arbitration</w:t>
      </w:r>
      <w:r w:rsidRPr="005A2DCE" w:rsidR="005A2DCE">
        <w:rPr>
          <w:rFonts w:ascii="Arial" w:hAnsi="Arial" w:cs="Arial"/>
          <w:sz w:val="20"/>
          <w:szCs w:val="20"/>
        </w:rPr>
        <w:t>).</w:t>
      </w:r>
    </w:p>
    <w:p w:rsidR="004D7520" w:rsidP="002A415D" w:rsidRDefault="008B55A2" w14:paraId="4931649D" w14:textId="00959005">
      <w:pPr>
        <w:pStyle w:val="Heading3"/>
        <w:widowControl w:val="0"/>
        <w:rPr>
          <w:b w:val="0"/>
          <w:bCs w:val="0"/>
          <w:u w:val="none"/>
        </w:rPr>
      </w:pPr>
      <w:bookmarkStart w:name="_Toc206672968" w:id="36"/>
      <w:r>
        <w:t>BMS</w:t>
      </w:r>
      <w:r>
        <w:rPr>
          <w:u w:val="none"/>
        </w:rPr>
        <w:t>:</w:t>
      </w:r>
      <w:r>
        <w:rPr>
          <w:b w:val="0"/>
          <w:bCs w:val="0"/>
          <w:u w:val="none"/>
        </w:rPr>
        <w:t xml:space="preserve"> </w:t>
      </w:r>
      <w:r w:rsidR="004C0F2E">
        <w:rPr>
          <w:b w:val="0"/>
          <w:bCs w:val="0"/>
          <w:u w:val="none"/>
        </w:rPr>
        <w:t xml:space="preserve">See </w:t>
      </w:r>
      <w:r w:rsidRPr="004C0F2E" w:rsidR="004C0F2E">
        <w:rPr>
          <w:b w:val="0"/>
          <w:bCs w:val="0"/>
          <w:i/>
          <w:iCs/>
          <w:u w:val="none"/>
        </w:rPr>
        <w:t>Battery Management System</w:t>
      </w:r>
      <w:r w:rsidR="004C0F2E">
        <w:rPr>
          <w:b w:val="0"/>
          <w:bCs w:val="0"/>
          <w:u w:val="none"/>
        </w:rPr>
        <w:t>.</w:t>
      </w:r>
      <w:bookmarkEnd w:id="36"/>
    </w:p>
    <w:p w:rsidRPr="000D001A" w:rsidR="002D54C4" w:rsidP="002A415D" w:rsidRDefault="008B55A2" w14:paraId="7A2B6CCA" w14:textId="0BA161CB">
      <w:pPr>
        <w:pStyle w:val="Heading3"/>
        <w:widowControl w:val="0"/>
      </w:pPr>
      <w:bookmarkStart w:name="_Toc206672969" w:id="37"/>
      <w:r>
        <w:rPr>
          <w:rFonts w:cs="Arial"/>
        </w:rPr>
        <w:t>Business Day</w:t>
      </w:r>
      <w:r>
        <w:rPr>
          <w:rFonts w:cs="Arial"/>
          <w:u w:val="none"/>
        </w:rPr>
        <w:t xml:space="preserve">: </w:t>
      </w:r>
      <w:r>
        <w:rPr>
          <w:b w:val="0"/>
          <w:u w:val="none"/>
        </w:rPr>
        <w:t>Any Day excluding Saturday, Sunday, and NERC-defined holidays.</w:t>
      </w:r>
      <w:bookmarkEnd w:id="37"/>
      <w:r>
        <w:t xml:space="preserve"> </w:t>
      </w:r>
    </w:p>
    <w:p w:rsidR="002D54C4" w:rsidP="002A415D" w:rsidRDefault="008B55A2" w14:paraId="6EF972D2" w14:textId="77777777">
      <w:pPr>
        <w:pStyle w:val="Heading3"/>
        <w:widowControl w:val="0"/>
      </w:pPr>
      <w:bookmarkStart w:name="_Toc206672970" w:id="38"/>
      <w:r>
        <w:rPr>
          <w:w w:val="0"/>
        </w:rPr>
        <w:t>Central Prevailing Time (CPT)</w:t>
      </w:r>
      <w:r>
        <w:rPr>
          <w:w w:val="0"/>
          <w:u w:val="none"/>
        </w:rPr>
        <w:t xml:space="preserve">: </w:t>
      </w:r>
      <w:r>
        <w:rPr>
          <w:b w:val="0"/>
          <w:u w:val="none"/>
        </w:rPr>
        <w:t>The time in the central time zone of the United States, considering daylight savings time if it is in effect (i.e., Central Standard Time (CST) or Central Daylight Time (CDT), as applicable).</w:t>
      </w:r>
      <w:bookmarkEnd w:id="38"/>
      <w:r>
        <w:t xml:space="preserve"> </w:t>
      </w:r>
    </w:p>
    <w:p w:rsidRPr="003F7C9D" w:rsidR="003F7C9D" w:rsidP="002A5691" w:rsidRDefault="003F7C9D" w14:paraId="62592E68" w14:textId="204A80F7">
      <w:pPr>
        <w:spacing w:before="120" w:after="120" w:line="240" w:lineRule="auto"/>
        <w:rPr>
          <w:rFonts w:ascii="Arial" w:hAnsi="Arial" w:cs="Arial"/>
          <w:sz w:val="20"/>
          <w:szCs w:val="20"/>
        </w:rPr>
      </w:pPr>
      <w:r w:rsidRPr="00395E08">
        <w:rPr>
          <w:rFonts w:ascii="Arial" w:hAnsi="Arial" w:cs="Arial"/>
          <w:b/>
          <w:bCs/>
          <w:sz w:val="20"/>
          <w:szCs w:val="20"/>
          <w:u w:val="single"/>
        </w:rPr>
        <w:t>Change in Accounting Standards</w:t>
      </w:r>
      <w:r w:rsidRPr="00395E08">
        <w:rPr>
          <w:rFonts w:ascii="Arial" w:hAnsi="Arial" w:cs="Arial"/>
          <w:sz w:val="20"/>
          <w:szCs w:val="20"/>
        </w:rPr>
        <w:t>: As defined in Section 2.1.8(iv) (</w:t>
      </w:r>
      <w:r w:rsidRPr="00395E08">
        <w:rPr>
          <w:rFonts w:ascii="Arial" w:hAnsi="Arial" w:cs="Arial"/>
          <w:i/>
          <w:iCs/>
          <w:sz w:val="20"/>
          <w:szCs w:val="20"/>
        </w:rPr>
        <w:t>VIE Certification</w:t>
      </w:r>
      <w:r w:rsidRPr="00395E08">
        <w:rPr>
          <w:rFonts w:ascii="Arial" w:hAnsi="Arial" w:cs="Arial"/>
          <w:sz w:val="20"/>
          <w:szCs w:val="20"/>
        </w:rPr>
        <w:t xml:space="preserve">). </w:t>
      </w:r>
    </w:p>
    <w:p w:rsidR="002D54C4" w:rsidP="002A415D" w:rsidRDefault="008B55A2" w14:paraId="72B6E2CA" w14:textId="62644CFB">
      <w:pPr>
        <w:pStyle w:val="Heading3"/>
        <w:widowControl w:val="0"/>
        <w:tabs>
          <w:tab w:val="left" w:pos="4500"/>
        </w:tabs>
        <w:rPr>
          <w:b w:val="0"/>
          <w:u w:val="none"/>
        </w:rPr>
      </w:pPr>
      <w:bookmarkStart w:name="_Toc206672971" w:id="39"/>
      <w:r>
        <w:rPr>
          <w:rFonts w:cs="Arial"/>
        </w:rPr>
        <w:t>Change of Control Transaction</w:t>
      </w:r>
      <w:r>
        <w:rPr>
          <w:rFonts w:cs="Arial"/>
          <w:u w:val="none"/>
        </w:rPr>
        <w:t>:</w:t>
      </w:r>
      <w:r w:rsidRPr="004B0BBF">
        <w:rPr>
          <w:b w:val="0"/>
          <w:u w:val="none"/>
        </w:rPr>
        <w:t xml:space="preserve"> </w:t>
      </w:r>
      <w:r w:rsidR="00560BD7">
        <w:rPr>
          <w:b w:val="0"/>
          <w:u w:val="none"/>
        </w:rPr>
        <w:t>A</w:t>
      </w:r>
      <w:r>
        <w:rPr>
          <w:b w:val="0"/>
          <w:u w:val="none"/>
        </w:rPr>
        <w:t xml:space="preserve">ny transaction or series of related transactions that, if consummated, would result in </w:t>
      </w:r>
      <w:r w:rsidR="00560BD7">
        <w:rPr>
          <w:b w:val="0"/>
          <w:u w:val="none"/>
        </w:rPr>
        <w:t xml:space="preserve">a Party </w:t>
      </w:r>
      <w:r>
        <w:rPr>
          <w:b w:val="0"/>
          <w:u w:val="none"/>
        </w:rPr>
        <w:t>being an Affiliate of a</w:t>
      </w:r>
      <w:r w:rsidR="004F2D48">
        <w:rPr>
          <w:b w:val="0"/>
          <w:u w:val="none"/>
        </w:rPr>
        <w:t xml:space="preserve"> different</w:t>
      </w:r>
      <w:r w:rsidR="00BE43AB">
        <w:rPr>
          <w:b w:val="0"/>
          <w:u w:val="none"/>
        </w:rPr>
        <w:t xml:space="preserve"> U</w:t>
      </w:r>
      <w:r>
        <w:rPr>
          <w:b w:val="0"/>
          <w:u w:val="none"/>
        </w:rPr>
        <w:t xml:space="preserve">ltimate </w:t>
      </w:r>
      <w:r w:rsidR="00BE43AB">
        <w:rPr>
          <w:b w:val="0"/>
          <w:u w:val="none"/>
        </w:rPr>
        <w:t>P</w:t>
      </w:r>
      <w:r>
        <w:rPr>
          <w:b w:val="0"/>
          <w:u w:val="none"/>
        </w:rPr>
        <w:t xml:space="preserve">arent </w:t>
      </w:r>
      <w:r w:rsidR="00BE43AB">
        <w:rPr>
          <w:b w:val="0"/>
          <w:u w:val="none"/>
        </w:rPr>
        <w:t>E</w:t>
      </w:r>
      <w:r>
        <w:rPr>
          <w:b w:val="0"/>
          <w:u w:val="none"/>
        </w:rPr>
        <w:t>ntity immediately after the transaction.</w:t>
      </w:r>
      <w:bookmarkEnd w:id="39"/>
    </w:p>
    <w:p w:rsidRPr="00735FFB" w:rsidR="001639C6" w:rsidP="00114F61" w:rsidRDefault="009157AC" w14:paraId="44EB6EBF" w14:textId="5904D08B">
      <w:pPr>
        <w:spacing w:before="120" w:after="120" w:line="240" w:lineRule="auto"/>
        <w:jc w:val="both"/>
        <w:rPr>
          <w:rFonts w:ascii="Arial" w:hAnsi="Arial"/>
          <w:sz w:val="20"/>
        </w:rPr>
      </w:pPr>
      <w:r w:rsidRPr="00F912ED">
        <w:rPr>
          <w:rFonts w:ascii="Arial" w:hAnsi="Arial" w:cs="Arial"/>
          <w:b/>
          <w:sz w:val="20"/>
          <w:szCs w:val="20"/>
          <w:u w:val="single"/>
        </w:rPr>
        <w:t>Change</w:t>
      </w:r>
      <w:r w:rsidRPr="004B0BBF">
        <w:rPr>
          <w:rFonts w:ascii="Arial" w:hAnsi="Arial"/>
          <w:b/>
          <w:sz w:val="20"/>
          <w:u w:val="single"/>
        </w:rPr>
        <w:t xml:space="preserve"> of </w:t>
      </w:r>
      <w:r w:rsidRPr="00F912ED">
        <w:rPr>
          <w:rFonts w:ascii="Arial" w:hAnsi="Arial" w:cs="Arial"/>
          <w:b/>
          <w:sz w:val="20"/>
          <w:szCs w:val="20"/>
          <w:u w:val="single"/>
        </w:rPr>
        <w:t>Law</w:t>
      </w:r>
      <w:r w:rsidRPr="009157AC">
        <w:rPr>
          <w:rFonts w:ascii="Arial" w:hAnsi="Arial" w:cs="Arial"/>
          <w:sz w:val="20"/>
          <w:szCs w:val="20"/>
        </w:rPr>
        <w:t xml:space="preserve">: </w:t>
      </w:r>
      <w:r w:rsidRPr="00D36A70" w:rsidR="00D36A70">
        <w:rPr>
          <w:rFonts w:ascii="Arial" w:hAnsi="Arial" w:cs="Arial"/>
          <w:sz w:val="20"/>
          <w:szCs w:val="20"/>
        </w:rPr>
        <w:t>An applicable law or a change to or repeal of an existing applicable law, including changes in legally binding interpretations of applicable law, in each case, enacted after the Effective Date.</w:t>
      </w:r>
    </w:p>
    <w:p w:rsidRPr="00341121" w:rsidR="0024441B" w:rsidP="0024441B" w:rsidRDefault="0024441B" w14:paraId="29D5A50E" w14:textId="77777777">
      <w:pPr>
        <w:spacing w:before="120" w:after="120" w:line="240" w:lineRule="auto"/>
        <w:jc w:val="both"/>
        <w:rPr>
          <w:rFonts w:ascii="Arial" w:hAnsi="Arial" w:cs="Arial"/>
          <w:sz w:val="20"/>
          <w:szCs w:val="20"/>
        </w:rPr>
      </w:pPr>
      <w:r w:rsidRPr="00341121">
        <w:rPr>
          <w:rFonts w:ascii="Arial" w:hAnsi="Arial" w:cs="Arial"/>
          <w:b/>
          <w:bCs/>
          <w:sz w:val="20"/>
          <w:szCs w:val="20"/>
          <w:u w:val="single"/>
        </w:rPr>
        <w:t>Change of Law Expenditures</w:t>
      </w:r>
      <w:r w:rsidRPr="00341121">
        <w:rPr>
          <w:rFonts w:ascii="Arial" w:hAnsi="Arial" w:cs="Arial"/>
          <w:sz w:val="20"/>
          <w:szCs w:val="20"/>
        </w:rPr>
        <w:t>: (i) reasonable and documented capital expenditures (determined in accordance with GAAP) and incremental operating costs (including new Taxes imposed directly on the ownership, operation, or maintenance of the Facility solely to the extent properly treated as operating expenses in accordance with GAAP), including: (a) capital expenditures or operating costs incurred to modify, operate, or maintain the Facility in compliance with the Change of Law during the Term; and (b) additional or different Facility equipment, engineering, procurement, construction, or other Facility modifications required to comply with the Change of Law; and (ii) any actual and realized loss or reduction of applicable tax incentives, tariffs, credits, rebates, or other governmental benefits applicable to the Facility, in each case, incurred by Seller as a direct result of a Change of Law, reasonable in amount, consistent with Prudent Industry Practice, and net of any costs saving, insurance proceeds, tax benefit, and third-party recovery. Capital expenditures or operating costs will not constitute Change of Law Expenditures unless GPC, using Prudent Industry Practices, would incur the same capital expenditures or operating costs regarding its own facilities of the same type as the Facility because of the requirements of the Change of Law (taking into account differences in facility generating capacity, location, and the frequency and duration of facility dispatch).</w:t>
      </w:r>
    </w:p>
    <w:p w:rsidRPr="00564BE1" w:rsidR="00632CB7" w:rsidP="00B25821" w:rsidRDefault="00632CB7" w14:paraId="1284F489" w14:textId="2E93248B">
      <w:pPr>
        <w:spacing w:before="120" w:after="120" w:line="240" w:lineRule="auto"/>
        <w:jc w:val="both"/>
      </w:pPr>
      <w:r w:rsidRPr="00F912ED">
        <w:rPr>
          <w:rFonts w:ascii="Arial" w:hAnsi="Arial" w:cs="Arial"/>
          <w:b/>
          <w:sz w:val="20"/>
          <w:szCs w:val="20"/>
          <w:u w:val="single"/>
        </w:rPr>
        <w:t>Change of Law Notice</w:t>
      </w:r>
      <w:r>
        <w:rPr>
          <w:rFonts w:ascii="Arial" w:hAnsi="Arial" w:cs="Arial"/>
          <w:sz w:val="20"/>
          <w:szCs w:val="20"/>
        </w:rPr>
        <w:t xml:space="preserve">: </w:t>
      </w:r>
      <w:r w:rsidRPr="00F619E4" w:rsidR="00F619E4">
        <w:rPr>
          <w:rFonts w:ascii="Arial" w:hAnsi="Arial" w:cs="Arial"/>
          <w:sz w:val="20"/>
          <w:szCs w:val="20"/>
        </w:rPr>
        <w:t>Written notice from Seller to GPC of a Change of Law that will cause, or is reasonably expected to cause, Seller to incur Change of Law Expenditures.</w:t>
      </w:r>
    </w:p>
    <w:p w:rsidRPr="000D001A" w:rsidR="00130FA6" w:rsidP="002A415D" w:rsidRDefault="008B55A2" w14:paraId="6D274D00" w14:textId="77777777">
      <w:pPr>
        <w:pStyle w:val="Heading3"/>
        <w:widowControl w:val="0"/>
        <w:rPr>
          <w:b w:val="0"/>
          <w:u w:val="none"/>
        </w:rPr>
      </w:pPr>
      <w:bookmarkStart w:name="_Toc206672972" w:id="40"/>
      <w:bookmarkStart w:name="_Hlk149774104" w:id="41"/>
      <w:r>
        <w:t>Charge/Discharge Rate Performance Metric</w:t>
      </w:r>
      <w:r>
        <w:rPr>
          <w:u w:val="none"/>
        </w:rPr>
        <w:t xml:space="preserve">: </w:t>
      </w:r>
      <w:r>
        <w:rPr>
          <w:b w:val="0"/>
          <w:u w:val="none"/>
        </w:rPr>
        <w:t xml:space="preserve">As defined in </w:t>
      </w:r>
      <w:r>
        <w:rPr>
          <w:rFonts w:eastAsiaTheme="minorHAnsi"/>
          <w:b w:val="0"/>
          <w:u w:val="none"/>
        </w:rPr>
        <w:t>Section 2.3.2 (</w:t>
      </w:r>
      <w:r>
        <w:rPr>
          <w:rFonts w:eastAsiaTheme="minorHAnsi"/>
          <w:b w:val="0"/>
          <w:i/>
          <w:iCs/>
          <w:u w:val="none"/>
        </w:rPr>
        <w:t>Charge/Discharge Rate Performance Metric</w:t>
      </w:r>
      <w:r>
        <w:rPr>
          <w:rFonts w:eastAsiaTheme="minorHAnsi"/>
          <w:b w:val="0"/>
          <w:u w:val="none"/>
        </w:rPr>
        <w:t xml:space="preserve">) of </w:t>
      </w:r>
      <w:r>
        <w:rPr>
          <w:b w:val="0"/>
          <w:u w:val="none"/>
        </w:rPr>
        <w:t>Exhibit C (</w:t>
      </w:r>
      <w:r>
        <w:rPr>
          <w:b w:val="0"/>
          <w:i/>
          <w:u w:val="none"/>
        </w:rPr>
        <w:t>Monthly Capacity Payments; Monthly Capacity Reductions; AGC Performance Metrics and Requirements</w:t>
      </w:r>
      <w:r>
        <w:rPr>
          <w:b w:val="0"/>
          <w:u w:val="none"/>
        </w:rPr>
        <w:t>).</w:t>
      </w:r>
      <w:bookmarkEnd w:id="40"/>
    </w:p>
    <w:p w:rsidRPr="000D001A" w:rsidR="00A72960" w:rsidP="002A415D" w:rsidRDefault="008B55A2" w14:paraId="17C1EF51" w14:textId="7C38ECE2">
      <w:pPr>
        <w:pStyle w:val="Heading3"/>
        <w:rPr>
          <w:b w:val="0"/>
          <w:bCs w:val="0"/>
          <w:u w:val="none"/>
        </w:rPr>
      </w:pPr>
      <w:bookmarkStart w:name="_Toc206672973" w:id="42"/>
      <w:bookmarkEnd w:id="41"/>
      <w:r>
        <w:t>Charging Energy</w:t>
      </w:r>
      <w:r>
        <w:rPr>
          <w:u w:val="none"/>
        </w:rPr>
        <w:t xml:space="preserve">: </w:t>
      </w:r>
      <w:r>
        <w:rPr>
          <w:b w:val="0"/>
          <w:bCs w:val="0"/>
          <w:u w:val="none"/>
        </w:rPr>
        <w:t xml:space="preserve">Energy provided </w:t>
      </w:r>
      <w:r w:rsidR="004C171E">
        <w:rPr>
          <w:b w:val="0"/>
          <w:bCs w:val="0"/>
          <w:u w:val="none"/>
        </w:rPr>
        <w:t>from</w:t>
      </w:r>
      <w:r>
        <w:rPr>
          <w:b w:val="0"/>
          <w:bCs w:val="0"/>
          <w:u w:val="none"/>
        </w:rPr>
        <w:t xml:space="preserve"> Grid Charging or, if applicable, the Renewable Resource</w:t>
      </w:r>
      <w:r w:rsidR="004C171E">
        <w:rPr>
          <w:b w:val="0"/>
          <w:bCs w:val="0"/>
          <w:u w:val="none"/>
        </w:rPr>
        <w:t>,</w:t>
      </w:r>
      <w:r>
        <w:rPr>
          <w:b w:val="0"/>
          <w:bCs w:val="0"/>
          <w:u w:val="none"/>
        </w:rPr>
        <w:t xml:space="preserve"> for the purpose of charging the BESS in accordance with GPC’s AGC Setpoint signals or direction.</w:t>
      </w:r>
      <w:bookmarkEnd w:id="42"/>
    </w:p>
    <w:p w:rsidRPr="000D001A" w:rsidR="00D44DC6" w:rsidP="002A415D" w:rsidRDefault="008B55A2" w14:paraId="0606A2B6" w14:textId="09F393FD">
      <w:pPr>
        <w:pStyle w:val="Heading3"/>
        <w:rPr>
          <w:rFonts w:cs="Arial"/>
        </w:rPr>
      </w:pPr>
      <w:bookmarkStart w:name="_Toc206672974" w:id="43"/>
      <w:r>
        <w:rPr>
          <w:rFonts w:eastAsia="PMingLiU"/>
        </w:rPr>
        <w:t>Claim</w:t>
      </w:r>
      <w:r>
        <w:rPr>
          <w:u w:val="none"/>
        </w:rPr>
        <w:t xml:space="preserve">: </w:t>
      </w:r>
      <w:r>
        <w:rPr>
          <w:b w:val="0"/>
          <w:bCs w:val="0"/>
          <w:u w:val="none"/>
        </w:rPr>
        <w:t>Any loss, damage, cost, expense, or liability (on an After-Tax Basis) for any damage or claim (including any demand, suit, settlement, judgment, penalty, fine, proceeding, or action of any kind) for: (i) personal or bodily injury (including death); (ii) property damage (including loss of use);; (i</w:t>
      </w:r>
      <w:r w:rsidR="000E3381">
        <w:rPr>
          <w:b w:val="0"/>
          <w:bCs w:val="0"/>
          <w:u w:val="none"/>
        </w:rPr>
        <w:t>ii</w:t>
      </w:r>
      <w:r>
        <w:rPr>
          <w:b w:val="0"/>
          <w:bCs w:val="0"/>
          <w:u w:val="none"/>
        </w:rPr>
        <w:t>) infringement; (</w:t>
      </w:r>
      <w:r w:rsidR="000E3381">
        <w:rPr>
          <w:b w:val="0"/>
          <w:bCs w:val="0"/>
          <w:u w:val="none"/>
        </w:rPr>
        <w:t>i</w:t>
      </w:r>
      <w:r>
        <w:rPr>
          <w:b w:val="0"/>
          <w:bCs w:val="0"/>
          <w:u w:val="none"/>
        </w:rPr>
        <w:t>v) monetary damage or expense; or (v) equitable relief, including all Claim expenses (e.g., actual attorneys’ fees reasonably incurred; investigation, defense, litigation, court, arbitration, or mediation costs; and expert, consultant, arbitrator, or mediator fees or expenses</w:t>
      </w:r>
      <w:r>
        <w:rPr>
          <w:rFonts w:eastAsia="PMingLiU"/>
          <w:b w:val="0"/>
          <w:bCs w:val="0"/>
          <w:u w:val="none"/>
        </w:rPr>
        <w:t xml:space="preserve"> and bond expense</w:t>
      </w:r>
      <w:r>
        <w:rPr>
          <w:b w:val="0"/>
          <w:bCs w:val="0"/>
          <w:u w:val="none"/>
        </w:rPr>
        <w:t>)</w:t>
      </w:r>
      <w:r>
        <w:rPr>
          <w:rFonts w:eastAsia="PMingLiU"/>
          <w:b w:val="0"/>
          <w:bCs w:val="0"/>
          <w:u w:val="none"/>
        </w:rPr>
        <w:t>.</w:t>
      </w:r>
      <w:bookmarkEnd w:id="43"/>
    </w:p>
    <w:p w:rsidRPr="004B0BBF" w:rsidR="002D54C4" w:rsidP="002A415D" w:rsidRDefault="008B55A2" w14:paraId="479CE101" w14:textId="4952A374">
      <w:pPr>
        <w:pStyle w:val="Heading3"/>
        <w:widowControl w:val="0"/>
        <w:rPr>
          <w:b w:val="0"/>
          <w:u w:val="none"/>
        </w:rPr>
      </w:pPr>
      <w:bookmarkStart w:name="_Toc206672975" w:id="44"/>
      <w:r>
        <w:rPr>
          <w:rFonts w:cs="Arial"/>
        </w:rPr>
        <w:t>Commercial Operation</w:t>
      </w:r>
      <w:r>
        <w:rPr>
          <w:rFonts w:cs="Arial"/>
          <w:u w:val="none"/>
        </w:rPr>
        <w:t xml:space="preserve">: </w:t>
      </w:r>
      <w:r>
        <w:rPr>
          <w:b w:val="0"/>
          <w:u w:val="none"/>
        </w:rPr>
        <w:t>The Facility’s ability to meet the requirements of Section 7.1.5 (</w:t>
      </w:r>
      <w:r>
        <w:rPr>
          <w:b w:val="0"/>
          <w:i/>
          <w:u w:val="none"/>
        </w:rPr>
        <w:t>Commercial Operation</w:t>
      </w:r>
      <w:r>
        <w:rPr>
          <w:b w:val="0"/>
          <w:u w:val="none"/>
        </w:rPr>
        <w:t>).</w:t>
      </w:r>
      <w:bookmarkEnd w:id="44"/>
    </w:p>
    <w:p w:rsidRPr="00E011F1" w:rsidR="00E011F1" w:rsidP="00E40AD4" w:rsidRDefault="00E011F1" w14:paraId="02E21869" w14:textId="02A45250">
      <w:pPr>
        <w:spacing w:before="120" w:after="120" w:line="240" w:lineRule="auto"/>
        <w:jc w:val="both"/>
        <w:rPr>
          <w:rFonts w:ascii="Arial" w:hAnsi="Arial" w:cs="Arial"/>
          <w:sz w:val="20"/>
          <w:szCs w:val="20"/>
        </w:rPr>
      </w:pPr>
      <w:r w:rsidRPr="00E011F1">
        <w:rPr>
          <w:rFonts w:ascii="Arial" w:hAnsi="Arial" w:cs="Arial"/>
          <w:b/>
          <w:bCs/>
          <w:sz w:val="20"/>
          <w:szCs w:val="20"/>
          <w:u w:val="single"/>
        </w:rPr>
        <w:lastRenderedPageBreak/>
        <w:t>Commercial Operation Completion Certificate</w:t>
      </w:r>
      <w:r w:rsidRPr="003D6F9B">
        <w:rPr>
          <w:rFonts w:ascii="Arial" w:hAnsi="Arial" w:cs="Arial"/>
          <w:b/>
          <w:bCs/>
          <w:sz w:val="20"/>
          <w:szCs w:val="20"/>
        </w:rPr>
        <w:t>:</w:t>
      </w:r>
      <w:r w:rsidRPr="00E011F1">
        <w:rPr>
          <w:rFonts w:ascii="Arial" w:hAnsi="Arial" w:cs="Arial"/>
          <w:sz w:val="20"/>
          <w:szCs w:val="20"/>
        </w:rPr>
        <w:t xml:space="preserve"> The </w:t>
      </w:r>
      <w:r w:rsidR="00504F4C">
        <w:rPr>
          <w:rFonts w:ascii="Arial" w:hAnsi="Arial" w:cs="Arial"/>
          <w:sz w:val="20"/>
          <w:szCs w:val="20"/>
        </w:rPr>
        <w:t xml:space="preserve">certificate </w:t>
      </w:r>
      <w:r w:rsidR="000523F4">
        <w:rPr>
          <w:rFonts w:ascii="Arial" w:hAnsi="Arial" w:cs="Arial"/>
          <w:sz w:val="20"/>
          <w:szCs w:val="20"/>
        </w:rPr>
        <w:t>in the form of Exhibit J (</w:t>
      </w:r>
      <w:r w:rsidRPr="000523F4" w:rsidR="000523F4">
        <w:rPr>
          <w:rFonts w:ascii="Arial" w:hAnsi="Arial" w:cs="Arial"/>
          <w:i/>
          <w:iCs/>
          <w:sz w:val="20"/>
          <w:szCs w:val="20"/>
        </w:rPr>
        <w:t>Form of Commercial Operation Completion Certificate</w:t>
      </w:r>
      <w:r w:rsidR="000523F4">
        <w:rPr>
          <w:rFonts w:ascii="Arial" w:hAnsi="Arial" w:cs="Arial"/>
          <w:sz w:val="20"/>
          <w:szCs w:val="20"/>
        </w:rPr>
        <w:t xml:space="preserve">) that </w:t>
      </w:r>
      <w:r w:rsidR="00504F4C">
        <w:rPr>
          <w:rFonts w:ascii="Arial" w:hAnsi="Arial" w:cs="Arial"/>
          <w:sz w:val="20"/>
          <w:szCs w:val="20"/>
        </w:rPr>
        <w:t xml:space="preserve">Seller submits to GPC pursuant to Section 7.1.6 </w:t>
      </w:r>
      <w:r w:rsidR="004678C9">
        <w:rPr>
          <w:rFonts w:ascii="Arial" w:hAnsi="Arial" w:cs="Arial"/>
          <w:sz w:val="20"/>
          <w:szCs w:val="20"/>
        </w:rPr>
        <w:t>(</w:t>
      </w:r>
      <w:r w:rsidRPr="004678C9" w:rsidR="004678C9">
        <w:rPr>
          <w:rFonts w:ascii="Arial" w:hAnsi="Arial" w:cs="Arial"/>
          <w:i/>
          <w:iCs/>
          <w:sz w:val="20"/>
          <w:szCs w:val="20"/>
        </w:rPr>
        <w:t>Commercial Operation Completion Certificate</w:t>
      </w:r>
      <w:r w:rsidR="004678C9">
        <w:rPr>
          <w:rFonts w:ascii="Arial" w:hAnsi="Arial" w:cs="Arial"/>
          <w:sz w:val="20"/>
          <w:szCs w:val="20"/>
        </w:rPr>
        <w:t>).</w:t>
      </w:r>
    </w:p>
    <w:p w:rsidRPr="000D001A" w:rsidR="002D54C4" w:rsidP="002A415D" w:rsidRDefault="008B55A2" w14:paraId="6870C8BD" w14:textId="4B4D8F7E">
      <w:pPr>
        <w:pStyle w:val="Heading3"/>
        <w:widowControl w:val="0"/>
      </w:pPr>
      <w:bookmarkStart w:name="_Toc206672976" w:id="45"/>
      <w:r>
        <w:rPr>
          <w:rFonts w:cs="Arial"/>
        </w:rPr>
        <w:t>Commercial Operation Date (COD)</w:t>
      </w:r>
      <w:r>
        <w:rPr>
          <w:rFonts w:cs="Arial"/>
          <w:u w:val="none"/>
        </w:rPr>
        <w:t xml:space="preserve">: </w:t>
      </w:r>
      <w:r>
        <w:rPr>
          <w:b w:val="0"/>
          <w:u w:val="none"/>
        </w:rPr>
        <w:t>The date the Facility achieves Commercial Operation.</w:t>
      </w:r>
      <w:bookmarkEnd w:id="45"/>
    </w:p>
    <w:p w:rsidRPr="000D001A" w:rsidR="002D54C4" w:rsidP="002A415D" w:rsidRDefault="008B55A2" w14:paraId="49D1F1A5" w14:textId="77777777">
      <w:pPr>
        <w:pStyle w:val="Heading3"/>
        <w:widowControl w:val="0"/>
        <w:rPr>
          <w:b w:val="0"/>
          <w:u w:val="none"/>
        </w:rPr>
      </w:pPr>
      <w:bookmarkStart w:name="_Toc206672977" w:id="46"/>
      <w:r>
        <w:rPr>
          <w:rFonts w:cs="Arial"/>
        </w:rPr>
        <w:t>Commission</w:t>
      </w:r>
      <w:r>
        <w:rPr>
          <w:rFonts w:cs="Arial"/>
          <w:u w:val="none"/>
        </w:rPr>
        <w:t xml:space="preserve">: </w:t>
      </w:r>
      <w:r>
        <w:rPr>
          <w:b w:val="0"/>
          <w:u w:val="none"/>
        </w:rPr>
        <w:t>The Georgia Public Service Commission, or any Governmental Authority succeeding to the powers and functions of the Commission.</w:t>
      </w:r>
      <w:bookmarkEnd w:id="46"/>
    </w:p>
    <w:p w:rsidR="000B2F09" w:rsidP="000E5594" w:rsidRDefault="008B55A2" w14:paraId="5BD424AA" w14:textId="505BB23A">
      <w:pPr>
        <w:pStyle w:val="Heading3"/>
        <w:widowControl w:val="0"/>
        <w:spacing w:before="0"/>
        <w:rPr>
          <w:b w:val="0"/>
          <w:u w:val="none"/>
        </w:rPr>
      </w:pPr>
      <w:bookmarkStart w:name="_Toc206672978" w:id="47"/>
      <w:r>
        <w:rPr>
          <w:rFonts w:cs="Arial"/>
        </w:rPr>
        <w:t>Commission Certificate</w:t>
      </w:r>
      <w:r>
        <w:rPr>
          <w:rFonts w:cs="Arial"/>
          <w:u w:val="none"/>
        </w:rPr>
        <w:t xml:space="preserve">: </w:t>
      </w:r>
      <w:r w:rsidR="004F3E94">
        <w:rPr>
          <w:b w:val="0"/>
          <w:u w:val="none"/>
        </w:rPr>
        <w:t xml:space="preserve">A certificate of public convenience and necessity </w:t>
      </w:r>
      <w:r w:rsidRPr="004F619B" w:rsidR="004F3E94">
        <w:rPr>
          <w:b w:val="0"/>
          <w:u w:val="none"/>
        </w:rPr>
        <w:t>as required by OCGA § 46</w:t>
      </w:r>
      <w:r w:rsidRPr="004F619B" w:rsidR="004F3E94">
        <w:rPr>
          <w:b w:val="0"/>
          <w:u w:val="none"/>
        </w:rPr>
        <w:noBreakHyphen/>
        <w:t>3A</w:t>
      </w:r>
      <w:r w:rsidRPr="004F619B" w:rsidR="004F3E94">
        <w:rPr>
          <w:b w:val="0"/>
          <w:u w:val="none"/>
        </w:rPr>
        <w:noBreakHyphen/>
        <w:t>1, et seq</w:t>
      </w:r>
      <w:r w:rsidRPr="000B2F09" w:rsidR="004F3E94">
        <w:rPr>
          <w:b w:val="0"/>
          <w:u w:val="none"/>
        </w:rPr>
        <w:t>.</w:t>
      </w:r>
      <w:bookmarkStart w:name="_Toc206672979" w:id="48"/>
      <w:bookmarkEnd w:id="47"/>
    </w:p>
    <w:p w:rsidRPr="000D001A" w:rsidR="002D54C4" w:rsidP="000E5594" w:rsidRDefault="008B55A2" w14:paraId="51F5CCD7" w14:textId="30B64725">
      <w:pPr>
        <w:pStyle w:val="Heading3"/>
        <w:widowControl w:val="0"/>
        <w:spacing w:before="0"/>
      </w:pPr>
      <w:r>
        <w:rPr>
          <w:rFonts w:cs="Arial"/>
        </w:rPr>
        <w:t>Commission Certificate Target Date</w:t>
      </w:r>
      <w:r>
        <w:rPr>
          <w:rFonts w:cs="Arial"/>
          <w:u w:val="none"/>
        </w:rPr>
        <w:t xml:space="preserve">: </w:t>
      </w:r>
      <w:r>
        <w:rPr>
          <w:b w:val="0"/>
          <w:u w:val="none"/>
        </w:rPr>
        <w:t>The date that is 250 Days after the date GPC requests a Commission Certificate for this PPA.</w:t>
      </w:r>
      <w:bookmarkEnd w:id="48"/>
    </w:p>
    <w:p w:rsidRPr="000D001A" w:rsidR="002D54C4" w:rsidP="006E194C" w:rsidRDefault="008B55A2" w14:paraId="5DC040FA" w14:textId="77777777">
      <w:pPr>
        <w:pStyle w:val="Heading3"/>
        <w:widowControl w:val="0"/>
        <w:spacing w:before="0"/>
      </w:pPr>
      <w:bookmarkStart w:name="_Toc206672980" w:id="49"/>
      <w:r>
        <w:rPr>
          <w:rFonts w:cs="Arial"/>
        </w:rPr>
        <w:t>Confidential Information</w:t>
      </w:r>
      <w:r>
        <w:rPr>
          <w:rFonts w:cs="Arial"/>
          <w:u w:val="none"/>
        </w:rPr>
        <w:t xml:space="preserve">: </w:t>
      </w:r>
      <w:r>
        <w:rPr>
          <w:rFonts w:cs="Arial"/>
          <w:b w:val="0"/>
          <w:u w:val="none"/>
        </w:rPr>
        <w:t>Business or technical information rightfully in the possession of either Party that derives actual or potential commercial value from not being generally known or readily ascertainable through independent development or reverse engineering by Person(s) who can obtain economic value from its disclosure or use, including information furnished or disclosed by the disclosing Party or another Person on behalf of the disclosing Party to the other Party in connection with discussions leading up to execution of this PPA, including this PPA. Seller must designate Confidential Information as confidential in writing on each page of a document contemporaneously with Seller’s supply of the information. Confidential Information does not include information that: (i) is or becomes publicly available other than because of a violation of this PPA; (ii) was, at the time of the disclosure, already in the receiving Party’s possession; (iii) is disclosed to the receiving Party by a third party who, to the receiving Party’s knowledge, is not prohibited from disclosing the information under any agreement with the disclosing Party; (iv) the receiving Party develops or derives without the aid, application or use of the privileged or proprietary information; or (v) the receiving Party is required to disclose in accordance with applicable law.</w:t>
      </w:r>
      <w:bookmarkEnd w:id="49"/>
    </w:p>
    <w:p w:rsidRPr="000D001A" w:rsidR="002D54C4" w:rsidP="004D586A" w:rsidRDefault="008B55A2" w14:paraId="33898DBD" w14:textId="77777777">
      <w:pPr>
        <w:pStyle w:val="Heading3"/>
        <w:widowControl w:val="0"/>
        <w:spacing w:before="0"/>
        <w:rPr>
          <w:b w:val="0"/>
          <w:u w:val="none"/>
        </w:rPr>
      </w:pPr>
      <w:bookmarkStart w:name="_Toc206672981" w:id="50"/>
      <w:r>
        <w:rPr>
          <w:rFonts w:cs="Arial"/>
        </w:rPr>
        <w:t>Consent</w:t>
      </w:r>
      <w:r>
        <w:rPr>
          <w:rFonts w:cs="Arial"/>
          <w:u w:val="none"/>
        </w:rPr>
        <w:t xml:space="preserve">: </w:t>
      </w:r>
      <w:r>
        <w:rPr>
          <w:b w:val="0"/>
          <w:u w:val="none"/>
        </w:rPr>
        <w:t>Any approval, consent, authorization, or other applicable requirement that is required regarding the Project or Facility from any Governmental Authority, including all applicable environmental certificates, licenses, permits, and approvals, and any federal or state compliance program that GPC is or becomes subject to at any time during the Term.</w:t>
      </w:r>
      <w:bookmarkEnd w:id="50"/>
    </w:p>
    <w:p w:rsidRPr="004B0BBF" w:rsidR="00E97677" w:rsidP="004D586A" w:rsidRDefault="008B55A2" w14:paraId="3F0F5A1C" w14:textId="38F65672">
      <w:pPr>
        <w:pStyle w:val="Heading3"/>
        <w:rPr>
          <w:b w:val="0"/>
          <w:u w:val="none"/>
        </w:rPr>
      </w:pPr>
      <w:bookmarkStart w:name="_Toc206672982" w:id="51"/>
      <w:r>
        <w:t>Contracted Capacity</w:t>
      </w:r>
      <w:r>
        <w:rPr>
          <w:u w:val="none"/>
        </w:rPr>
        <w:t xml:space="preserve">: </w:t>
      </w:r>
      <w:r>
        <w:rPr>
          <w:b w:val="0"/>
          <w:bCs w:val="0"/>
          <w:u w:val="none"/>
        </w:rPr>
        <w:t xml:space="preserve">The Storage Device Design Capacity established at the Effective Date and as stated in </w:t>
      </w:r>
      <w:r>
        <w:rPr>
          <w:b w:val="0"/>
          <w:u w:val="none"/>
        </w:rPr>
        <w:t xml:space="preserve">Table A-3 </w:t>
      </w:r>
      <w:r w:rsidR="007F314C">
        <w:rPr>
          <w:b w:val="0"/>
          <w:u w:val="none"/>
        </w:rPr>
        <w:t>(</w:t>
      </w:r>
      <w:r w:rsidRPr="00D677E5" w:rsidR="007F314C">
        <w:rPr>
          <w:rFonts w:cs="Arial"/>
          <w:b w:val="0"/>
          <w:i/>
          <w:iCs/>
          <w:u w:val="none"/>
        </w:rPr>
        <w:t>Additional Facility and Operating Information</w:t>
      </w:r>
      <w:r w:rsidR="007F314C">
        <w:rPr>
          <w:rFonts w:cs="Arial"/>
          <w:b w:val="0"/>
          <w:i/>
          <w:iCs/>
          <w:u w:val="none"/>
        </w:rPr>
        <w:t>)</w:t>
      </w:r>
      <w:r>
        <w:rPr>
          <w:b w:val="0"/>
          <w:u w:val="none"/>
        </w:rPr>
        <w:t xml:space="preserve"> of Exhibit A (</w:t>
      </w:r>
      <w:r>
        <w:rPr>
          <w:b w:val="0"/>
          <w:i/>
          <w:u w:val="none"/>
        </w:rPr>
        <w:t>Facility Description and Additional Details</w:t>
      </w:r>
      <w:r>
        <w:rPr>
          <w:rFonts w:cs="Arial"/>
          <w:b w:val="0"/>
          <w:u w:val="none"/>
        </w:rPr>
        <w:t>)</w:t>
      </w:r>
      <w:r>
        <w:rPr>
          <w:rFonts w:cs="Arial"/>
          <w:b w:val="0"/>
          <w:bCs w:val="0"/>
          <w:u w:val="none"/>
        </w:rPr>
        <w:t>.</w:t>
      </w:r>
      <w:bookmarkEnd w:id="51"/>
    </w:p>
    <w:p w:rsidRPr="00CA117D" w:rsidR="00CC689D" w:rsidP="00EA1DEF" w:rsidRDefault="00CC689D" w14:paraId="50E57B36" w14:textId="72BA1F5E">
      <w:pPr>
        <w:spacing w:before="120" w:after="120" w:line="240" w:lineRule="auto"/>
        <w:rPr>
          <w:rFonts w:ascii="Arial" w:hAnsi="Arial" w:cs="Arial"/>
          <w:sz w:val="20"/>
          <w:szCs w:val="20"/>
        </w:rPr>
      </w:pPr>
      <w:r w:rsidRPr="00CA117D">
        <w:rPr>
          <w:rFonts w:ascii="Arial" w:hAnsi="Arial" w:cs="Arial"/>
          <w:b/>
          <w:bCs/>
          <w:sz w:val="20"/>
          <w:szCs w:val="20"/>
          <w:u w:val="single"/>
        </w:rPr>
        <w:t>Costs</w:t>
      </w:r>
      <w:r w:rsidRPr="00B83077">
        <w:rPr>
          <w:rFonts w:ascii="Arial" w:hAnsi="Arial" w:cs="Arial"/>
          <w:b/>
          <w:bCs/>
          <w:sz w:val="20"/>
          <w:szCs w:val="20"/>
        </w:rPr>
        <w:t>:</w:t>
      </w:r>
      <w:r w:rsidRPr="00CA117D">
        <w:rPr>
          <w:rFonts w:ascii="Arial" w:hAnsi="Arial" w:cs="Arial"/>
          <w:sz w:val="20"/>
          <w:szCs w:val="20"/>
        </w:rPr>
        <w:t xml:space="preserve"> As defined in Section </w:t>
      </w:r>
      <w:r w:rsidRPr="00CA117D" w:rsidR="00CA117D">
        <w:rPr>
          <w:rFonts w:ascii="Arial" w:hAnsi="Arial" w:cs="Arial"/>
          <w:sz w:val="20"/>
          <w:szCs w:val="20"/>
        </w:rPr>
        <w:t>16.3.3 (</w:t>
      </w:r>
      <w:r w:rsidRPr="00CA117D" w:rsidR="00CA117D">
        <w:rPr>
          <w:rFonts w:ascii="Arial" w:hAnsi="Arial" w:cs="Arial"/>
          <w:i/>
          <w:iCs/>
          <w:sz w:val="20"/>
          <w:szCs w:val="20"/>
        </w:rPr>
        <w:t>Determining Gains, Losses, and Costs</w:t>
      </w:r>
      <w:r w:rsidRPr="00CA117D" w:rsidR="00CA117D">
        <w:rPr>
          <w:rFonts w:ascii="Arial" w:hAnsi="Arial" w:cs="Arial"/>
          <w:sz w:val="20"/>
          <w:szCs w:val="20"/>
        </w:rPr>
        <w:t>).</w:t>
      </w:r>
    </w:p>
    <w:p w:rsidRPr="000D001A" w:rsidR="002D54C4" w:rsidP="004B0BBF" w:rsidRDefault="008B55A2" w14:paraId="4B00C4D4" w14:textId="77777777">
      <w:pPr>
        <w:pStyle w:val="Heading3"/>
        <w:widowControl w:val="0"/>
      </w:pPr>
      <w:bookmarkStart w:name="_Toc206672983" w:id="52"/>
      <w:r>
        <w:rPr>
          <w:rFonts w:cs="Arial"/>
        </w:rPr>
        <w:t>CPT</w:t>
      </w:r>
      <w:r>
        <w:rPr>
          <w:rFonts w:cs="Arial"/>
          <w:u w:val="none"/>
        </w:rPr>
        <w:t xml:space="preserve">: </w:t>
      </w:r>
      <w:r>
        <w:rPr>
          <w:b w:val="0"/>
          <w:u w:val="none"/>
        </w:rPr>
        <w:t xml:space="preserve">See </w:t>
      </w:r>
      <w:r>
        <w:rPr>
          <w:b w:val="0"/>
          <w:i/>
          <w:u w:val="none"/>
        </w:rPr>
        <w:t>Central Prevailing Time</w:t>
      </w:r>
      <w:r>
        <w:rPr>
          <w:b w:val="0"/>
          <w:u w:val="none"/>
        </w:rPr>
        <w:t>.</w:t>
      </w:r>
      <w:bookmarkEnd w:id="52"/>
    </w:p>
    <w:p w:rsidRPr="000D001A" w:rsidR="002D54C4" w:rsidP="004B0BBF" w:rsidRDefault="008B55A2" w14:paraId="778BDEFD" w14:textId="253F3190">
      <w:pPr>
        <w:pStyle w:val="Heading3"/>
        <w:widowControl w:val="0"/>
      </w:pPr>
      <w:bookmarkStart w:name="_Toc206672984" w:id="53"/>
      <w:r>
        <w:rPr>
          <w:rFonts w:cs="Arial"/>
        </w:rPr>
        <w:t>Creditworthy or Creditworthiness</w:t>
      </w:r>
      <w:r>
        <w:rPr>
          <w:rFonts w:cs="Arial"/>
          <w:u w:val="none"/>
        </w:rPr>
        <w:t>:</w:t>
      </w:r>
      <w:bookmarkEnd w:id="53"/>
      <w:r w:rsidRPr="00596280" w:rsidR="00596280">
        <w:t xml:space="preserve"> </w:t>
      </w:r>
      <w:r w:rsidRPr="00596280" w:rsidR="00596280">
        <w:rPr>
          <w:b w:val="0"/>
          <w:bCs w:val="0"/>
          <w:u w:val="none"/>
        </w:rPr>
        <w:t xml:space="preserve">With respect to a Person, the Person has (i) a senior unsecured debt rating, or if the Person has no senior unsecured debt rating, an issuer rating from two of the Rating Agencies above: (a) BBB+ by S&amp;P, if rated by S&amp;P; (b) Baa1 by Moody’s, if rated by Moody’s; and (c) BBB+ by Fitch, if rated by Fitch, respectively; or (ii) (1) a senior unsecured debt rating or, if the Person has no senior unsecured debt rating, an issuer rating from two of the Rating Agencies of at least: (x) BBB- by S&amp;P, if rated by S&amp;P; (y) Baa3 by Moody’s, if rated by Moody’s; and (z) BBB- by Fitch, if rated by Fitch, respectively; and (2) </w:t>
      </w:r>
      <w:r w:rsidRPr="00596280" w:rsidR="00596280">
        <w:rPr>
          <w:rFonts w:cs="Arial"/>
          <w:b w:val="0"/>
          <w:bCs w:val="0"/>
          <w:u w:val="none"/>
        </w:rPr>
        <w:t xml:space="preserve">satisfactory </w:t>
      </w:r>
      <w:r w:rsidRPr="00596280" w:rsidR="00596280">
        <w:rPr>
          <w:b w:val="0"/>
          <w:bCs w:val="0"/>
          <w:u w:val="none"/>
        </w:rPr>
        <w:t xml:space="preserve">and verifiable </w:t>
      </w:r>
      <w:r w:rsidRPr="00596280" w:rsidR="00596280">
        <w:rPr>
          <w:rFonts w:cs="Arial"/>
          <w:b w:val="0"/>
          <w:bCs w:val="0"/>
          <w:u w:val="none"/>
        </w:rPr>
        <w:t xml:space="preserve">creditworthiness </w:t>
      </w:r>
      <w:r w:rsidRPr="00596280" w:rsidR="00596280">
        <w:rPr>
          <w:b w:val="0"/>
          <w:bCs w:val="0"/>
          <w:u w:val="none"/>
        </w:rPr>
        <w:t>determined in GPC’s reasonable discretion.</w:t>
      </w:r>
      <w:r w:rsidRPr="001776EF" w:rsidR="00596280">
        <w:rPr>
          <w:rFonts w:eastAsia="Times New Roman" w:cs="Arial"/>
          <w:color w:val="000000" w:themeColor="text1"/>
        </w:rPr>
        <w:t xml:space="preserve"> </w:t>
      </w:r>
    </w:p>
    <w:p w:rsidRPr="00F5685D" w:rsidR="00F5685D" w:rsidP="00EA1DEF" w:rsidRDefault="00F5685D" w14:paraId="621522F7" w14:textId="6A567737">
      <w:pPr>
        <w:spacing w:before="120" w:after="120" w:line="240" w:lineRule="auto"/>
        <w:rPr>
          <w:rFonts w:ascii="Arial" w:hAnsi="Arial" w:cs="Arial"/>
          <w:sz w:val="20"/>
          <w:szCs w:val="20"/>
        </w:rPr>
      </w:pPr>
      <w:r w:rsidRPr="004451E8">
        <w:rPr>
          <w:rFonts w:ascii="Arial" w:hAnsi="Arial" w:cs="Arial"/>
          <w:b/>
          <w:bCs/>
          <w:sz w:val="20"/>
          <w:szCs w:val="20"/>
          <w:u w:val="single"/>
        </w:rPr>
        <w:t>Cure Certification</w:t>
      </w:r>
      <w:r w:rsidRPr="0089466A">
        <w:rPr>
          <w:rFonts w:ascii="Arial" w:hAnsi="Arial" w:cs="Arial"/>
          <w:b/>
          <w:bCs/>
          <w:sz w:val="20"/>
          <w:szCs w:val="20"/>
        </w:rPr>
        <w:t>:</w:t>
      </w:r>
      <w:r w:rsidRPr="004451E8">
        <w:rPr>
          <w:rFonts w:ascii="Arial" w:hAnsi="Arial" w:cs="Arial"/>
          <w:sz w:val="20"/>
          <w:szCs w:val="20"/>
        </w:rPr>
        <w:t xml:space="preserve"> As defined in Section 16.1.8(iii) (</w:t>
      </w:r>
      <w:r w:rsidRPr="004451E8">
        <w:rPr>
          <w:rFonts w:ascii="Arial" w:hAnsi="Arial" w:cs="Arial"/>
          <w:i/>
          <w:iCs/>
          <w:sz w:val="20"/>
          <w:szCs w:val="20"/>
        </w:rPr>
        <w:t>Storage Performance Metric Achieved Below .60</w:t>
      </w:r>
      <w:r w:rsidRPr="004451E8">
        <w:rPr>
          <w:rFonts w:ascii="Arial" w:hAnsi="Arial" w:cs="Arial"/>
          <w:sz w:val="20"/>
          <w:szCs w:val="20"/>
        </w:rPr>
        <w:t>).</w:t>
      </w:r>
    </w:p>
    <w:p w:rsidRPr="004B0BBF" w:rsidR="002D54C4" w:rsidP="004B0BBF" w:rsidRDefault="008B55A2" w14:paraId="4BF69847" w14:textId="3F0F2903">
      <w:pPr>
        <w:pStyle w:val="Heading3"/>
        <w:widowControl w:val="0"/>
        <w:rPr>
          <w:b w:val="0"/>
          <w:u w:val="none"/>
        </w:rPr>
      </w:pPr>
      <w:bookmarkStart w:name="_Toc206672985" w:id="54"/>
      <w:r>
        <w:t>Cure Period</w:t>
      </w:r>
      <w:r>
        <w:rPr>
          <w:rFonts w:cs="Arial"/>
          <w:u w:val="none"/>
        </w:rPr>
        <w:t>:</w:t>
      </w:r>
      <w:r>
        <w:rPr>
          <w:rFonts w:cs="Arial" w:eastAsiaTheme="minorEastAsia"/>
          <w:b w:val="0"/>
          <w:kern w:val="14"/>
          <w:u w:val="none"/>
        </w:rPr>
        <w:t xml:space="preserve"> </w:t>
      </w:r>
      <w:r>
        <w:rPr>
          <w:rFonts w:cs="Arial"/>
          <w:b w:val="0"/>
          <w:bCs w:val="0"/>
          <w:u w:val="none"/>
        </w:rPr>
        <w:t>The reasonable period within which Seller must</w:t>
      </w:r>
      <w:r w:rsidR="006B6D6C">
        <w:rPr>
          <w:rFonts w:cs="Arial"/>
          <w:b w:val="0"/>
          <w:bCs w:val="0"/>
          <w:u w:val="none"/>
        </w:rPr>
        <w:t xml:space="preserve">: (i) cure </w:t>
      </w:r>
      <w:r w:rsidR="005A4A58">
        <w:rPr>
          <w:rFonts w:cs="Arial"/>
          <w:b w:val="0"/>
          <w:bCs w:val="0"/>
          <w:u w:val="none"/>
        </w:rPr>
        <w:t>an Event of Default arising from</w:t>
      </w:r>
      <w:r w:rsidR="006B6D6C">
        <w:rPr>
          <w:rFonts w:cs="Arial"/>
          <w:b w:val="0"/>
          <w:bCs w:val="0"/>
          <w:u w:val="none"/>
        </w:rPr>
        <w:t xml:space="preserve"> </w:t>
      </w:r>
      <w:r w:rsidR="003A000C">
        <w:rPr>
          <w:rFonts w:cs="Arial"/>
          <w:b w:val="0"/>
          <w:bCs w:val="0"/>
          <w:u w:val="none"/>
        </w:rPr>
        <w:t xml:space="preserve">inadequate Storage Performance Metric Achieved </w:t>
      </w:r>
      <w:r w:rsidR="0085444F">
        <w:rPr>
          <w:rFonts w:cs="Arial"/>
          <w:b w:val="0"/>
          <w:bCs w:val="0"/>
          <w:u w:val="none"/>
        </w:rPr>
        <w:t>in accordance with Section 16.1.8 (</w:t>
      </w:r>
      <w:r w:rsidRPr="005A4A58" w:rsidR="0085444F">
        <w:rPr>
          <w:rFonts w:cs="Arial"/>
          <w:b w:val="0"/>
          <w:i/>
          <w:u w:val="none"/>
        </w:rPr>
        <w:t>Storage Performance Metric Achieved Below .60</w:t>
      </w:r>
      <w:r w:rsidR="005A4A58">
        <w:rPr>
          <w:rFonts w:cs="Arial"/>
          <w:b w:val="0"/>
          <w:bCs w:val="0"/>
          <w:u w:val="none"/>
        </w:rPr>
        <w:t xml:space="preserve">), which must not exceed </w:t>
      </w:r>
      <w:r w:rsidR="00455027">
        <w:rPr>
          <w:rFonts w:cs="Arial"/>
          <w:b w:val="0"/>
          <w:bCs w:val="0"/>
          <w:u w:val="none"/>
        </w:rPr>
        <w:t xml:space="preserve">180 Days from when the </w:t>
      </w:r>
      <w:r w:rsidR="008503E3">
        <w:rPr>
          <w:rFonts w:cs="Arial"/>
          <w:b w:val="0"/>
          <w:bCs w:val="0"/>
          <w:u w:val="none"/>
        </w:rPr>
        <w:t>default first occurred unless extended in accordance with Section 16.1.8(ii);</w:t>
      </w:r>
      <w:r w:rsidR="001F7081">
        <w:rPr>
          <w:rFonts w:cs="Arial"/>
          <w:b w:val="0"/>
          <w:bCs w:val="0"/>
          <w:u w:val="none"/>
        </w:rPr>
        <w:t xml:space="preserve"> or</w:t>
      </w:r>
      <w:r w:rsidR="0085444F">
        <w:rPr>
          <w:rFonts w:cs="Arial"/>
          <w:b w:val="0"/>
          <w:bCs w:val="0"/>
          <w:u w:val="none"/>
        </w:rPr>
        <w:t xml:space="preserve"> </w:t>
      </w:r>
      <w:r w:rsidR="006B6D6C">
        <w:rPr>
          <w:rFonts w:cs="Arial"/>
          <w:b w:val="0"/>
          <w:bCs w:val="0"/>
          <w:u w:val="none"/>
        </w:rPr>
        <w:t>(ii)</w:t>
      </w:r>
      <w:r>
        <w:rPr>
          <w:rFonts w:cs="Arial"/>
          <w:b w:val="0"/>
          <w:bCs w:val="0"/>
          <w:u w:val="none"/>
        </w:rPr>
        <w:t xml:space="preserve"> cure an inadequate Tested Storage Capacity in accordance with Section 16.1.9 (</w:t>
      </w:r>
      <w:r>
        <w:rPr>
          <w:rFonts w:cs="Arial"/>
          <w:b w:val="0"/>
          <w:bCs w:val="0"/>
          <w:i/>
          <w:iCs/>
          <w:u w:val="none"/>
        </w:rPr>
        <w:t>Tested Storage Capacity Below 70% Contracted Capacity; Cure; Remedies</w:t>
      </w:r>
      <w:r>
        <w:rPr>
          <w:rFonts w:cs="Arial"/>
          <w:b w:val="0"/>
          <w:bCs w:val="0"/>
          <w:u w:val="none"/>
        </w:rPr>
        <w:t>) or Section 1.3.1 (</w:t>
      </w:r>
      <w:r>
        <w:rPr>
          <w:b w:val="0"/>
          <w:bCs w:val="0"/>
          <w:i/>
          <w:iCs/>
          <w:u w:val="none"/>
        </w:rPr>
        <w:t>Cure Plan and Cure Period</w:t>
      </w:r>
      <w:r>
        <w:rPr>
          <w:rFonts w:cs="Arial"/>
          <w:b w:val="0"/>
          <w:bCs w:val="0"/>
          <w:u w:val="none"/>
        </w:rPr>
        <w:t>) of Exhibit B (</w:t>
      </w:r>
      <w:r>
        <w:rPr>
          <w:rFonts w:cs="Arial"/>
          <w:b w:val="0"/>
          <w:bCs w:val="0"/>
          <w:i/>
          <w:iCs/>
          <w:u w:val="none"/>
        </w:rPr>
        <w:t>Capacity; Capacity Payments and Payment Reductions; Buydown</w:t>
      </w:r>
      <w:r>
        <w:rPr>
          <w:rFonts w:cs="Arial"/>
          <w:b w:val="0"/>
          <w:bCs w:val="0"/>
          <w:u w:val="none"/>
        </w:rPr>
        <w:t>),</w:t>
      </w:r>
      <w:r>
        <w:rPr>
          <w:rFonts w:cs="Arial"/>
          <w:b w:val="0"/>
          <w:u w:val="none"/>
        </w:rPr>
        <w:t xml:space="preserve"> </w:t>
      </w:r>
      <w:r>
        <w:rPr>
          <w:rFonts w:cs="Arial"/>
          <w:b w:val="0"/>
          <w:bCs w:val="0"/>
          <w:u w:val="none"/>
        </w:rPr>
        <w:t>as applicable, which must not exceed 1</w:t>
      </w:r>
      <w:r w:rsidR="00ED7756">
        <w:rPr>
          <w:rFonts w:cs="Arial"/>
          <w:b w:val="0"/>
          <w:bCs w:val="0"/>
          <w:u w:val="none"/>
        </w:rPr>
        <w:t>8</w:t>
      </w:r>
      <w:r>
        <w:rPr>
          <w:rFonts w:cs="Arial"/>
          <w:b w:val="0"/>
          <w:bCs w:val="0"/>
          <w:u w:val="none"/>
        </w:rPr>
        <w:t>0 Days from the completion of the Performance Test unless extended in accordance with PPA Section 16.1.9(i) (</w:t>
      </w:r>
      <w:r>
        <w:rPr>
          <w:rFonts w:cs="Arial"/>
          <w:b w:val="0"/>
          <w:bCs w:val="0"/>
          <w:i/>
          <w:iCs/>
          <w:u w:val="none"/>
        </w:rPr>
        <w:t>Cure Period Extension</w:t>
      </w:r>
      <w:r>
        <w:rPr>
          <w:rFonts w:cs="Arial"/>
          <w:b w:val="0"/>
          <w:bCs w:val="0"/>
          <w:u w:val="none"/>
        </w:rPr>
        <w:t>) or Exhibit B, Section 1.3.1.A (</w:t>
      </w:r>
      <w:r>
        <w:rPr>
          <w:rFonts w:cs="Arial"/>
          <w:b w:val="0"/>
          <w:bCs w:val="0"/>
          <w:i/>
          <w:iCs/>
          <w:u w:val="none"/>
        </w:rPr>
        <w:t>Cure Period Extension</w:t>
      </w:r>
      <w:r>
        <w:rPr>
          <w:rFonts w:cs="Arial"/>
          <w:b w:val="0"/>
          <w:bCs w:val="0"/>
          <w:u w:val="none"/>
        </w:rPr>
        <w:t>).</w:t>
      </w:r>
      <w:bookmarkEnd w:id="54"/>
    </w:p>
    <w:p w:rsidRPr="000F65FB" w:rsidR="001378A1" w:rsidP="006E0C4A" w:rsidRDefault="001378A1" w14:paraId="416343E5" w14:textId="12437AC2">
      <w:pPr>
        <w:spacing w:before="120" w:after="120" w:line="240" w:lineRule="auto"/>
        <w:rPr>
          <w:rFonts w:ascii="Arial" w:hAnsi="Arial" w:cs="Arial"/>
          <w:sz w:val="20"/>
          <w:szCs w:val="20"/>
        </w:rPr>
      </w:pPr>
      <w:r w:rsidRPr="001378A1">
        <w:rPr>
          <w:rFonts w:ascii="Arial" w:hAnsi="Arial" w:cs="Arial"/>
          <w:b/>
          <w:bCs/>
          <w:sz w:val="20"/>
          <w:szCs w:val="20"/>
          <w:u w:val="single"/>
        </w:rPr>
        <w:lastRenderedPageBreak/>
        <w:t>Cyber Security Incident</w:t>
      </w:r>
      <w:r w:rsidRPr="004F2A99">
        <w:rPr>
          <w:rFonts w:ascii="Arial" w:hAnsi="Arial" w:cs="Arial"/>
          <w:b/>
          <w:bCs/>
          <w:sz w:val="20"/>
          <w:szCs w:val="20"/>
        </w:rPr>
        <w:t>:</w:t>
      </w:r>
      <w:r w:rsidRPr="004F2A99">
        <w:rPr>
          <w:rFonts w:ascii="Arial" w:hAnsi="Arial" w:cs="Arial"/>
          <w:sz w:val="20"/>
          <w:szCs w:val="20"/>
        </w:rPr>
        <w:t xml:space="preserve"> </w:t>
      </w:r>
      <w:r>
        <w:rPr>
          <w:rFonts w:ascii="Arial" w:hAnsi="Arial" w:cs="Arial"/>
          <w:sz w:val="20"/>
          <w:szCs w:val="20"/>
        </w:rPr>
        <w:t>As defined in Section 10.13 (</w:t>
      </w:r>
      <w:r w:rsidRPr="001378A1">
        <w:rPr>
          <w:rFonts w:ascii="Arial" w:hAnsi="Arial" w:cs="Arial"/>
          <w:i/>
          <w:iCs/>
          <w:sz w:val="20"/>
          <w:szCs w:val="20"/>
        </w:rPr>
        <w:t>Cyber Security</w:t>
      </w:r>
      <w:r>
        <w:rPr>
          <w:rFonts w:ascii="Arial" w:hAnsi="Arial" w:cs="Arial"/>
          <w:sz w:val="20"/>
          <w:szCs w:val="20"/>
        </w:rPr>
        <w:t>).</w:t>
      </w:r>
    </w:p>
    <w:p w:rsidRPr="000D001A" w:rsidR="002D54C4" w:rsidP="004B0BBF" w:rsidRDefault="008B55A2" w14:paraId="4E3CCC1C" w14:textId="5C9C457E">
      <w:pPr>
        <w:pStyle w:val="Heading3"/>
        <w:widowControl w:val="0"/>
        <w:rPr>
          <w:rFonts w:cs="Arial"/>
        </w:rPr>
      </w:pPr>
      <w:bookmarkStart w:name="_Toc206672986" w:id="55"/>
      <w:r>
        <w:rPr>
          <w:rStyle w:val="cf01"/>
          <w:rFonts w:ascii="Arial" w:hAnsi="Arial" w:cstheme="majorBidi"/>
          <w:sz w:val="20"/>
          <w:szCs w:val="20"/>
        </w:rPr>
        <w:t>Cycle</w:t>
      </w:r>
      <w:r>
        <w:rPr>
          <w:rStyle w:val="cf11"/>
          <w:rFonts w:ascii="Arial" w:hAnsi="Arial" w:cstheme="majorBidi"/>
          <w:b/>
          <w:sz w:val="20"/>
          <w:szCs w:val="20"/>
        </w:rPr>
        <w:t xml:space="preserve"> </w:t>
      </w:r>
      <w:r>
        <w:t>or Cycled</w:t>
      </w:r>
      <w:r>
        <w:rPr>
          <w:rStyle w:val="cf01"/>
          <w:rFonts w:ascii="Arial" w:hAnsi="Arial" w:cstheme="majorBidi"/>
          <w:sz w:val="20"/>
          <w:szCs w:val="20"/>
          <w:u w:val="none"/>
        </w:rPr>
        <w:t>:</w:t>
      </w:r>
      <w:r>
        <w:rPr>
          <w:rStyle w:val="cf21"/>
          <w:rFonts w:ascii="Arial" w:hAnsi="Arial" w:cstheme="majorBidi"/>
          <w:b w:val="0"/>
          <w:sz w:val="20"/>
          <w:szCs w:val="20"/>
          <w:u w:val="none"/>
        </w:rPr>
        <w:t xml:space="preserve"> The equivalent charge of Storage Device Operating Energy (in MWhs) from 0% to 100% and subsequent discharge from 100% to 0%, regardless of whether the complete charge or complete discharge occurs during one or more charges or discharges. For Daily Cycle determinations, the Day in which the relevant discharging occurs will include the discharge in the Cycle determination for that </w:t>
      </w:r>
      <w:r w:rsidR="00E2284A">
        <w:rPr>
          <w:rStyle w:val="cf21"/>
          <w:rFonts w:ascii="Arial" w:hAnsi="Arial" w:cstheme="majorBidi"/>
          <w:b w:val="0"/>
          <w:sz w:val="20"/>
          <w:szCs w:val="20"/>
          <w:u w:val="none"/>
        </w:rPr>
        <w:t>D</w:t>
      </w:r>
      <w:r>
        <w:rPr>
          <w:rStyle w:val="cf21"/>
          <w:rFonts w:ascii="Arial" w:hAnsi="Arial" w:cstheme="majorBidi"/>
          <w:b w:val="0"/>
          <w:sz w:val="20"/>
          <w:szCs w:val="20"/>
          <w:u w:val="none"/>
        </w:rPr>
        <w:t>ay, regardless of when the charging occurs.</w:t>
      </w:r>
      <w:bookmarkEnd w:id="55"/>
      <w:r>
        <w:rPr>
          <w:rStyle w:val="cf21"/>
          <w:rFonts w:ascii="Arial" w:hAnsi="Arial" w:cstheme="majorBidi"/>
          <w:b w:val="0"/>
          <w:sz w:val="20"/>
          <w:szCs w:val="20"/>
          <w:u w:val="none"/>
        </w:rPr>
        <w:t xml:space="preserve"> </w:t>
      </w:r>
    </w:p>
    <w:p w:rsidRPr="000D001A" w:rsidR="002D54C4" w:rsidP="004B0BBF" w:rsidRDefault="008B55A2" w14:paraId="0D6F32BB" w14:textId="183D4606">
      <w:pPr>
        <w:pStyle w:val="Heading3"/>
        <w:widowControl w:val="0"/>
        <w:rPr>
          <w:rStyle w:val="cf21"/>
          <w:rFonts w:ascii="Arial" w:hAnsi="Arial" w:cs="Arial"/>
          <w:b w:val="0"/>
          <w:sz w:val="20"/>
          <w:szCs w:val="20"/>
          <w:u w:val="none"/>
        </w:rPr>
      </w:pPr>
      <w:bookmarkStart w:name="_Toc206672987" w:id="56"/>
      <w:r>
        <w:t>Cycle Limit</w:t>
      </w:r>
      <w:r>
        <w:rPr>
          <w:u w:val="none"/>
        </w:rPr>
        <w:t>:</w:t>
      </w:r>
      <w:r>
        <w:rPr>
          <w:rStyle w:val="cf21"/>
          <w:rFonts w:ascii="Arial" w:hAnsi="Arial" w:cs="Arial"/>
          <w:b w:val="0"/>
          <w:sz w:val="20"/>
          <w:szCs w:val="20"/>
          <w:u w:val="none"/>
        </w:rPr>
        <w:t xml:space="preserve"> For each Annual Period, the maximum number of times that the</w:t>
      </w:r>
      <w:r w:rsidRPr="00773929">
        <w:rPr>
          <w:u w:val="none"/>
        </w:rPr>
        <w:t xml:space="preserve"> </w:t>
      </w:r>
      <w:r w:rsidRPr="00773929">
        <w:rPr>
          <w:b w:val="0"/>
          <w:bCs w:val="0"/>
          <w:u w:val="none"/>
        </w:rPr>
        <w:t>BESS</w:t>
      </w:r>
      <w:r>
        <w:rPr>
          <w:rStyle w:val="cf21"/>
          <w:rFonts w:ascii="Arial" w:hAnsi="Arial" w:cs="Arial"/>
          <w:b w:val="0"/>
          <w:sz w:val="20"/>
          <w:szCs w:val="20"/>
          <w:u w:val="none"/>
        </w:rPr>
        <w:t xml:space="preserve"> may be Cycled.</w:t>
      </w:r>
      <w:bookmarkEnd w:id="56"/>
      <w:r>
        <w:rPr>
          <w:rStyle w:val="cf21"/>
          <w:rFonts w:ascii="Arial" w:hAnsi="Arial" w:cs="Arial"/>
          <w:b w:val="0"/>
          <w:sz w:val="20"/>
          <w:szCs w:val="20"/>
          <w:u w:val="none"/>
        </w:rPr>
        <w:t xml:space="preserve"> </w:t>
      </w:r>
    </w:p>
    <w:p w:rsidRPr="000D001A" w:rsidR="002D54C4" w:rsidP="004B0BBF" w:rsidRDefault="008B55A2" w14:paraId="7DF9DA44" w14:textId="08536AEE">
      <w:pPr>
        <w:pStyle w:val="Heading3"/>
        <w:widowControl w:val="0"/>
        <w:rPr>
          <w:b w:val="0"/>
        </w:rPr>
      </w:pPr>
      <w:bookmarkStart w:name="_Toc206672988" w:id="57"/>
      <w:r>
        <w:t>Daily Cycle Limit</w:t>
      </w:r>
      <w:r w:rsidRPr="00891E9F">
        <w:rPr>
          <w:b w:val="0"/>
          <w:u w:val="none"/>
        </w:rPr>
        <w:t>:</w:t>
      </w:r>
      <w:r>
        <w:rPr>
          <w:u w:val="none"/>
        </w:rPr>
        <w:t xml:space="preserve"> </w:t>
      </w:r>
      <w:r>
        <w:rPr>
          <w:b w:val="0"/>
          <w:u w:val="none"/>
        </w:rPr>
        <w:t xml:space="preserve">The maximum number of Cycles per </w:t>
      </w:r>
      <w:r w:rsidR="000C3221">
        <w:rPr>
          <w:b w:val="0"/>
          <w:u w:val="none"/>
        </w:rPr>
        <w:t>Day</w:t>
      </w:r>
      <w:r>
        <w:rPr>
          <w:b w:val="0"/>
          <w:u w:val="none"/>
        </w:rPr>
        <w:t xml:space="preserve">, which is </w:t>
      </w:r>
      <w:r w:rsidR="000B518C">
        <w:rPr>
          <w:b w:val="0"/>
          <w:u w:val="none"/>
        </w:rPr>
        <w:t>[</w:t>
      </w:r>
      <w:r>
        <w:rPr>
          <w:b w:val="0"/>
          <w:u w:val="none"/>
        </w:rPr>
        <w:t>two</w:t>
      </w:r>
      <w:r w:rsidR="000B518C">
        <w:rPr>
          <w:b w:val="0"/>
          <w:u w:val="none"/>
        </w:rPr>
        <w:t>]</w:t>
      </w:r>
      <w:r w:rsidR="00DF3438">
        <w:rPr>
          <w:b w:val="0"/>
          <w:u w:val="none"/>
        </w:rPr>
        <w:t>.</w:t>
      </w:r>
      <w:r w:rsidR="000B518C">
        <w:rPr>
          <w:b w:val="0"/>
          <w:u w:val="none"/>
        </w:rPr>
        <w:t xml:space="preserve"> </w:t>
      </w:r>
      <w:r w:rsidRPr="00CE0EC6" w:rsidR="000B518C">
        <w:rPr>
          <w:i/>
          <w:highlight w:val="cyan"/>
          <w:u w:val="none"/>
        </w:rPr>
        <w:t xml:space="preserve">[Note to Bidders: Bidder may propose </w:t>
      </w:r>
      <w:r w:rsidRPr="00CE0EC6" w:rsidR="00B97BE4">
        <w:rPr>
          <w:i/>
          <w:highlight w:val="cyan"/>
          <w:u w:val="none"/>
        </w:rPr>
        <w:t>a value for the Daily Cycle Limit, but GPC requires</w:t>
      </w:r>
      <w:bookmarkEnd w:id="57"/>
      <w:r w:rsidRPr="00CE0EC6" w:rsidR="005456B1">
        <w:rPr>
          <w:i/>
          <w:highlight w:val="cyan"/>
          <w:u w:val="none"/>
        </w:rPr>
        <w:t xml:space="preserve"> a minimum of one Cycle per Day]</w:t>
      </w:r>
      <w:r w:rsidRPr="00CE0EC6">
        <w:rPr>
          <w:b w:val="0"/>
          <w:i/>
          <w:u w:val="none"/>
        </w:rPr>
        <w:t>.</w:t>
      </w:r>
    </w:p>
    <w:p w:rsidRPr="000D001A" w:rsidR="002323E1" w:rsidP="004B0BBF" w:rsidRDefault="008B55A2" w14:paraId="75375497" w14:textId="77777777">
      <w:pPr>
        <w:pStyle w:val="Heading3"/>
        <w:widowControl w:val="0"/>
        <w:rPr>
          <w:b w:val="0"/>
          <w:u w:val="none"/>
        </w:rPr>
      </w:pPr>
      <w:bookmarkStart w:name="_Toc206672989" w:id="58"/>
      <w:r>
        <w:rPr>
          <w:rFonts w:cs="Arial"/>
        </w:rPr>
        <w:t>Day</w:t>
      </w:r>
      <w:r>
        <w:rPr>
          <w:rFonts w:cs="Arial"/>
          <w:u w:val="none"/>
        </w:rPr>
        <w:t xml:space="preserve">: </w:t>
      </w:r>
      <w:r>
        <w:rPr>
          <w:b w:val="0"/>
          <w:u w:val="none"/>
        </w:rPr>
        <w:t>Any calendar day, including Saturday, Sunday, or a holiday.</w:t>
      </w:r>
      <w:bookmarkEnd w:id="58"/>
    </w:p>
    <w:p w:rsidRPr="0039309B" w:rsidR="0039309B" w:rsidP="00183B83" w:rsidRDefault="0039309B" w14:paraId="734E9A5C" w14:textId="7BD15B1A">
      <w:pPr>
        <w:spacing w:before="120" w:after="120" w:line="240" w:lineRule="auto"/>
        <w:rPr>
          <w:rFonts w:ascii="Arial" w:hAnsi="Arial" w:cs="Arial"/>
          <w:sz w:val="20"/>
          <w:szCs w:val="20"/>
        </w:rPr>
      </w:pPr>
      <w:r w:rsidRPr="0039309B">
        <w:rPr>
          <w:rFonts w:ascii="Arial" w:hAnsi="Arial" w:cs="Arial"/>
          <w:b/>
          <w:bCs/>
          <w:sz w:val="20"/>
          <w:szCs w:val="20"/>
          <w:u w:val="single"/>
        </w:rPr>
        <w:t>Defaulting Party:</w:t>
      </w:r>
      <w:r w:rsidRPr="0039309B">
        <w:rPr>
          <w:rFonts w:ascii="Arial" w:hAnsi="Arial" w:cs="Arial"/>
          <w:sz w:val="20"/>
          <w:szCs w:val="20"/>
        </w:rPr>
        <w:t xml:space="preserve"> As defined in Section 16.3.1 (</w:t>
      </w:r>
      <w:r w:rsidRPr="0039309B">
        <w:rPr>
          <w:rFonts w:ascii="Arial" w:hAnsi="Arial" w:cs="Arial"/>
          <w:i/>
          <w:iCs/>
          <w:sz w:val="20"/>
          <w:szCs w:val="20"/>
        </w:rPr>
        <w:t>Remedies for Event of Default</w:t>
      </w:r>
      <w:r w:rsidRPr="0039309B">
        <w:rPr>
          <w:rFonts w:ascii="Arial" w:hAnsi="Arial" w:cs="Arial"/>
          <w:sz w:val="20"/>
          <w:szCs w:val="20"/>
        </w:rPr>
        <w:t>).</w:t>
      </w:r>
    </w:p>
    <w:p w:rsidRPr="002323E1" w:rsidR="002323E1" w:rsidP="006E194C" w:rsidRDefault="008B55A2" w14:paraId="66B528A7" w14:textId="3C79ABE3">
      <w:pPr>
        <w:pStyle w:val="Heading3"/>
      </w:pPr>
      <w:bookmarkStart w:name="_Toc206672990" w:id="59"/>
      <w:r>
        <w:t>Delivery Commencement Date</w:t>
      </w:r>
      <w:r>
        <w:rPr>
          <w:u w:val="none"/>
        </w:rPr>
        <w:t xml:space="preserve">: </w:t>
      </w:r>
      <w:r>
        <w:rPr>
          <w:b w:val="0"/>
          <w:bCs w:val="0"/>
          <w:u w:val="none"/>
        </w:rPr>
        <w:t xml:space="preserve">The Commercial Operation Date, except that the Delivery Commencement Date may not be more than nine Months </w:t>
      </w:r>
      <w:r w:rsidR="00183B83">
        <w:rPr>
          <w:b w:val="0"/>
          <w:bCs w:val="0"/>
          <w:u w:val="none"/>
        </w:rPr>
        <w:t>before</w:t>
      </w:r>
      <w:r>
        <w:rPr>
          <w:b w:val="0"/>
          <w:bCs w:val="0"/>
          <w:u w:val="none"/>
        </w:rPr>
        <w:t xml:space="preserve"> the </w:t>
      </w:r>
      <w:r w:rsidR="00851E44">
        <w:rPr>
          <w:b w:val="0"/>
          <w:bCs w:val="0"/>
          <w:u w:val="none"/>
        </w:rPr>
        <w:t>RCOD</w:t>
      </w:r>
      <w:r>
        <w:rPr>
          <w:b w:val="0"/>
          <w:bCs w:val="0"/>
          <w:u w:val="none"/>
        </w:rPr>
        <w:t xml:space="preserve">. If Commercial Operation occurs more than nine Months </w:t>
      </w:r>
      <w:r w:rsidR="00851E44">
        <w:rPr>
          <w:b w:val="0"/>
          <w:bCs w:val="0"/>
          <w:u w:val="none"/>
        </w:rPr>
        <w:t>before</w:t>
      </w:r>
      <w:r>
        <w:rPr>
          <w:b w:val="0"/>
          <w:bCs w:val="0"/>
          <w:u w:val="none"/>
        </w:rPr>
        <w:t xml:space="preserve"> the </w:t>
      </w:r>
      <w:r w:rsidR="00851E44">
        <w:rPr>
          <w:b w:val="0"/>
          <w:bCs w:val="0"/>
          <w:u w:val="none"/>
        </w:rPr>
        <w:t>RCOD</w:t>
      </w:r>
      <w:r>
        <w:rPr>
          <w:b w:val="0"/>
          <w:bCs w:val="0"/>
          <w:u w:val="none"/>
        </w:rPr>
        <w:t xml:space="preserve">, the Delivery Commencement Date will be the date that is nine months before RCOD. </w:t>
      </w:r>
      <w:r w:rsidRPr="006862F6">
        <w:rPr>
          <w:highlight w:val="cyan"/>
          <w:u w:val="none"/>
        </w:rPr>
        <w:t>[</w:t>
      </w:r>
      <w:r w:rsidRPr="006862F6">
        <w:rPr>
          <w:i/>
          <w:highlight w:val="cyan"/>
        </w:rPr>
        <w:t>Note to Bidders</w:t>
      </w:r>
      <w:r w:rsidRPr="006862F6">
        <w:rPr>
          <w:i/>
          <w:highlight w:val="cyan"/>
          <w:u w:val="none"/>
        </w:rPr>
        <w:t>: For any Month before the Delivery Commencement Date, Exhibit B provides that Monthly Capacity Payments are not owed to Seller as set forth in Exhibit B.</w:t>
      </w:r>
      <w:r w:rsidRPr="006862F6">
        <w:rPr>
          <w:highlight w:val="cyan"/>
          <w:u w:val="none"/>
        </w:rPr>
        <w:t>]</w:t>
      </w:r>
      <w:bookmarkEnd w:id="59"/>
      <w:r>
        <w:t xml:space="preserve"> </w:t>
      </w:r>
    </w:p>
    <w:p w:rsidRPr="005618E3" w:rsidR="00F96819" w:rsidP="002C7C53" w:rsidRDefault="008B55A2" w14:paraId="4EE57BFD" w14:textId="1A07208A">
      <w:pPr>
        <w:pStyle w:val="Heading3"/>
        <w:rPr>
          <w:b w:val="0"/>
          <w:u w:val="none"/>
        </w:rPr>
      </w:pPr>
      <w:bookmarkStart w:name="_Toc206672991" w:id="60"/>
      <w:r>
        <w:rPr>
          <w:rFonts w:cs="Arial"/>
        </w:rPr>
        <w:t>Discharging Energy</w:t>
      </w:r>
      <w:r>
        <w:rPr>
          <w:rFonts w:cs="Arial"/>
          <w:u w:val="none"/>
        </w:rPr>
        <w:t>:</w:t>
      </w:r>
      <w:r>
        <w:rPr>
          <w:b w:val="0"/>
          <w:u w:val="none"/>
        </w:rPr>
        <w:t xml:space="preserve"> Energy discharged from the</w:t>
      </w:r>
      <w:r>
        <w:rPr>
          <w:b w:val="0"/>
          <w:bCs w:val="0"/>
          <w:u w:val="none"/>
        </w:rPr>
        <w:t xml:space="preserve"> BESS</w:t>
      </w:r>
      <w:r>
        <w:rPr>
          <w:b w:val="0"/>
          <w:u w:val="none"/>
        </w:rPr>
        <w:t xml:space="preserve"> in accordance with GPC’s AGC Setpoint signals or direction.</w:t>
      </w:r>
      <w:bookmarkEnd w:id="60"/>
    </w:p>
    <w:p w:rsidRPr="004B0BBF" w:rsidR="00625D78" w:rsidP="002C7C53" w:rsidRDefault="008B55A2" w14:paraId="54D27346" w14:textId="77777777">
      <w:pPr>
        <w:pStyle w:val="Heading3"/>
        <w:rPr>
          <w:b w:val="0"/>
          <w:u w:val="none"/>
        </w:rPr>
      </w:pPr>
      <w:bookmarkStart w:name="_Toc206672992" w:id="61"/>
      <w:r>
        <w:t>Dispatch Center</w:t>
      </w:r>
      <w:r>
        <w:rPr>
          <w:u w:val="none"/>
        </w:rPr>
        <w:t xml:space="preserve">: </w:t>
      </w:r>
      <w:r>
        <w:rPr>
          <w:rFonts w:cs="Arial"/>
          <w:b w:val="0"/>
          <w:bCs w:val="0"/>
          <w:u w:val="none"/>
        </w:rPr>
        <w:t xml:space="preserve">The control center designated by GPC in writing as being the primary control point for dispatch instructions and other notifications provided in accordance with </w:t>
      </w:r>
      <w:r>
        <w:rPr>
          <w:rFonts w:cs="Arial"/>
          <w:b w:val="0"/>
          <w:u w:val="none"/>
        </w:rPr>
        <w:t>Part 12 (</w:t>
      </w:r>
      <w:r>
        <w:rPr>
          <w:rFonts w:cs="Arial"/>
          <w:b w:val="0"/>
          <w:i/>
          <w:u w:val="none"/>
        </w:rPr>
        <w:t>Energy Dispatch</w:t>
      </w:r>
      <w:r>
        <w:rPr>
          <w:rFonts w:cs="Arial"/>
          <w:b w:val="0"/>
          <w:u w:val="none"/>
        </w:rPr>
        <w:t>) and Exhibit F (</w:t>
      </w:r>
      <w:r>
        <w:rPr>
          <w:rFonts w:cs="Arial"/>
          <w:b w:val="0"/>
          <w:i/>
          <w:u w:val="none"/>
        </w:rPr>
        <w:t>Facility Operating and Dispatching Requirements</w:t>
      </w:r>
      <w:r>
        <w:rPr>
          <w:rFonts w:cs="Arial"/>
          <w:b w:val="0"/>
          <w:u w:val="none"/>
        </w:rPr>
        <w:t>), Part 2 (</w:t>
      </w:r>
      <w:r>
        <w:rPr>
          <w:rFonts w:cs="Arial"/>
          <w:b w:val="0"/>
          <w:i/>
          <w:u w:val="none"/>
        </w:rPr>
        <w:t>Dispatch</w:t>
      </w:r>
      <w:r>
        <w:rPr>
          <w:rFonts w:cs="Arial"/>
          <w:b w:val="0"/>
          <w:u w:val="none"/>
        </w:rPr>
        <w:t>)</w:t>
      </w:r>
      <w:r>
        <w:rPr>
          <w:rFonts w:cs="Arial"/>
          <w:b w:val="0"/>
          <w:bCs w:val="0"/>
          <w:u w:val="none"/>
        </w:rPr>
        <w:t>, as may be modified during the Term. There may only be one Dispatch Center designated at any one time.</w:t>
      </w:r>
      <w:bookmarkEnd w:id="61"/>
    </w:p>
    <w:p w:rsidRPr="00881D81" w:rsidR="00881D81" w:rsidP="006911CB" w:rsidRDefault="00881D81" w14:paraId="76247F82" w14:textId="3F28C8D1">
      <w:pPr>
        <w:spacing w:before="120" w:after="120" w:line="240" w:lineRule="auto"/>
        <w:rPr>
          <w:rFonts w:ascii="Arial" w:hAnsi="Arial" w:cs="Arial"/>
          <w:sz w:val="20"/>
          <w:szCs w:val="20"/>
        </w:rPr>
      </w:pPr>
      <w:r w:rsidRPr="00881D81">
        <w:rPr>
          <w:rFonts w:ascii="Arial" w:hAnsi="Arial" w:cs="Arial"/>
          <w:b/>
          <w:bCs/>
          <w:sz w:val="20"/>
          <w:szCs w:val="20"/>
          <w:u w:val="single"/>
        </w:rPr>
        <w:t>Dispute Response</w:t>
      </w:r>
      <w:r w:rsidRPr="0018616F">
        <w:rPr>
          <w:rFonts w:ascii="Arial" w:hAnsi="Arial" w:cs="Arial"/>
          <w:b/>
          <w:bCs/>
          <w:sz w:val="20"/>
          <w:szCs w:val="20"/>
        </w:rPr>
        <w:t>:</w:t>
      </w:r>
      <w:r w:rsidRPr="00881D81">
        <w:rPr>
          <w:rFonts w:ascii="Arial" w:hAnsi="Arial" w:cs="Arial"/>
          <w:sz w:val="20"/>
          <w:szCs w:val="20"/>
        </w:rPr>
        <w:t xml:space="preserve"> As defined in Section 19.1 (</w:t>
      </w:r>
      <w:r w:rsidRPr="00881D81">
        <w:rPr>
          <w:rFonts w:ascii="Arial" w:hAnsi="Arial" w:cs="Arial"/>
          <w:i/>
          <w:iCs/>
          <w:sz w:val="20"/>
          <w:szCs w:val="20"/>
        </w:rPr>
        <w:t>Notice of Dispute; Dispute Resolution Process</w:t>
      </w:r>
      <w:r w:rsidRPr="00881D81">
        <w:rPr>
          <w:rFonts w:ascii="Arial" w:hAnsi="Arial" w:cs="Arial"/>
          <w:sz w:val="20"/>
          <w:szCs w:val="20"/>
        </w:rPr>
        <w:t>).</w:t>
      </w:r>
    </w:p>
    <w:p w:rsidRPr="000918B5" w:rsidR="000918B5" w:rsidP="006911CB" w:rsidRDefault="000918B5" w14:paraId="7982C0BB" w14:textId="443B5132">
      <w:pPr>
        <w:spacing w:before="120" w:after="120" w:line="240" w:lineRule="auto"/>
        <w:rPr>
          <w:rFonts w:ascii="Arial" w:hAnsi="Arial" w:cs="Arial"/>
          <w:sz w:val="20"/>
          <w:szCs w:val="20"/>
        </w:rPr>
      </w:pPr>
      <w:r w:rsidRPr="000918B5">
        <w:rPr>
          <w:rFonts w:ascii="Arial" w:hAnsi="Arial" w:cs="Arial"/>
          <w:b/>
          <w:bCs/>
          <w:sz w:val="20"/>
          <w:szCs w:val="20"/>
          <w:u w:val="single"/>
        </w:rPr>
        <w:t>Disputing Party</w:t>
      </w:r>
      <w:r w:rsidRPr="0018616F">
        <w:rPr>
          <w:rFonts w:ascii="Arial" w:hAnsi="Arial" w:cs="Arial"/>
          <w:b/>
          <w:bCs/>
          <w:sz w:val="20"/>
          <w:szCs w:val="20"/>
        </w:rPr>
        <w:t>:</w:t>
      </w:r>
      <w:r w:rsidRPr="0018616F">
        <w:rPr>
          <w:rFonts w:ascii="Arial" w:hAnsi="Arial" w:cs="Arial"/>
          <w:sz w:val="20"/>
          <w:szCs w:val="20"/>
        </w:rPr>
        <w:t xml:space="preserve"> </w:t>
      </w:r>
      <w:r w:rsidRPr="000918B5">
        <w:rPr>
          <w:rFonts w:ascii="Arial" w:hAnsi="Arial" w:cs="Arial"/>
          <w:sz w:val="20"/>
          <w:szCs w:val="20"/>
        </w:rPr>
        <w:t>As defined in Section 19.1 (</w:t>
      </w:r>
      <w:r w:rsidRPr="000918B5">
        <w:rPr>
          <w:rFonts w:ascii="Arial" w:hAnsi="Arial" w:cs="Arial"/>
          <w:i/>
          <w:iCs/>
          <w:sz w:val="20"/>
          <w:szCs w:val="20"/>
        </w:rPr>
        <w:t>Notice of Dispute; Dispute Resolution Process</w:t>
      </w:r>
      <w:r w:rsidRPr="000918B5">
        <w:rPr>
          <w:rFonts w:ascii="Arial" w:hAnsi="Arial" w:cs="Arial"/>
          <w:sz w:val="20"/>
          <w:szCs w:val="20"/>
        </w:rPr>
        <w:t>).</w:t>
      </w:r>
    </w:p>
    <w:p w:rsidRPr="0039309B" w:rsidR="0039309B" w:rsidP="006911CB" w:rsidRDefault="0039309B" w14:paraId="15570C94" w14:textId="428D7FE4">
      <w:pPr>
        <w:spacing w:before="120" w:after="120" w:line="240" w:lineRule="auto"/>
        <w:rPr>
          <w:rFonts w:ascii="Arial" w:hAnsi="Arial" w:cs="Arial"/>
          <w:sz w:val="20"/>
          <w:szCs w:val="20"/>
        </w:rPr>
      </w:pPr>
      <w:r w:rsidRPr="0039309B">
        <w:rPr>
          <w:rFonts w:ascii="Arial" w:hAnsi="Arial" w:cs="Arial"/>
          <w:b/>
          <w:bCs/>
          <w:sz w:val="20"/>
          <w:szCs w:val="20"/>
          <w:u w:val="single"/>
        </w:rPr>
        <w:t>Early Termination Date</w:t>
      </w:r>
      <w:r w:rsidRPr="0018616F">
        <w:rPr>
          <w:rFonts w:ascii="Arial" w:hAnsi="Arial" w:cs="Arial"/>
          <w:b/>
          <w:bCs/>
          <w:sz w:val="20"/>
          <w:szCs w:val="20"/>
        </w:rPr>
        <w:t>:</w:t>
      </w:r>
      <w:r w:rsidRPr="0039309B">
        <w:rPr>
          <w:rFonts w:ascii="Arial" w:hAnsi="Arial" w:cs="Arial"/>
          <w:sz w:val="20"/>
          <w:szCs w:val="20"/>
        </w:rPr>
        <w:t xml:space="preserve"> As defined in Section 16.3.1 (</w:t>
      </w:r>
      <w:r w:rsidRPr="0039309B">
        <w:rPr>
          <w:rFonts w:ascii="Arial" w:hAnsi="Arial" w:cs="Arial"/>
          <w:i/>
          <w:iCs/>
          <w:sz w:val="20"/>
          <w:szCs w:val="20"/>
        </w:rPr>
        <w:t>Remedies for Event of Default</w:t>
      </w:r>
      <w:r w:rsidRPr="0039309B">
        <w:rPr>
          <w:rFonts w:ascii="Arial" w:hAnsi="Arial" w:cs="Arial"/>
          <w:sz w:val="20"/>
          <w:szCs w:val="20"/>
        </w:rPr>
        <w:t>).</w:t>
      </w:r>
    </w:p>
    <w:p w:rsidRPr="000D001A" w:rsidR="002323E1" w:rsidP="004B0BBF" w:rsidRDefault="008B55A2" w14:paraId="289D2085" w14:textId="77777777">
      <w:pPr>
        <w:pStyle w:val="Heading3"/>
        <w:rPr>
          <w:b w:val="0"/>
          <w:u w:val="none"/>
        </w:rPr>
      </w:pPr>
      <w:bookmarkStart w:name="_Toc206672993" w:id="62"/>
      <w:r>
        <w:rPr>
          <w:rFonts w:cs="Arial"/>
        </w:rPr>
        <w:t>Eastern Time (ET)</w:t>
      </w:r>
      <w:r>
        <w:rPr>
          <w:rFonts w:cs="Arial"/>
          <w:u w:val="none"/>
        </w:rPr>
        <w:t xml:space="preserve">: </w:t>
      </w:r>
      <w:r>
        <w:rPr>
          <w:b w:val="0"/>
          <w:u w:val="none"/>
        </w:rPr>
        <w:t>The time in the easternmost time zone of the United States, considering daylight savings time if it is in effect (i.e., Eastern Standard Time (EST) or Eastern Daylight Time (EDT), as applicable).</w:t>
      </w:r>
      <w:bookmarkEnd w:id="62"/>
      <w:r>
        <w:rPr>
          <w:b w:val="0"/>
          <w:u w:val="none"/>
        </w:rPr>
        <w:t xml:space="preserve"> </w:t>
      </w:r>
    </w:p>
    <w:p w:rsidR="002A4285" w:rsidP="004B0BBF" w:rsidRDefault="008B55A2" w14:paraId="2EF54ADC" w14:textId="77777777">
      <w:pPr>
        <w:pStyle w:val="Heading3"/>
        <w:rPr>
          <w:b w:val="0"/>
          <w:u w:val="none"/>
        </w:rPr>
      </w:pPr>
      <w:bookmarkStart w:name="_Toc206672994" w:id="63"/>
      <w:r>
        <w:rPr>
          <w:rFonts w:cs="Arial"/>
        </w:rPr>
        <w:t>Effective Date</w:t>
      </w:r>
      <w:r>
        <w:rPr>
          <w:rFonts w:cs="Arial"/>
          <w:u w:val="none"/>
        </w:rPr>
        <w:t>:</w:t>
      </w:r>
      <w:r>
        <w:rPr>
          <w:rFonts w:cs="Arial"/>
          <w:b w:val="0"/>
          <w:u w:val="none"/>
        </w:rPr>
        <w:t xml:space="preserve"> </w:t>
      </w:r>
      <w:r>
        <w:rPr>
          <w:b w:val="0"/>
          <w:u w:val="none"/>
        </w:rPr>
        <w:t>The date of full execution of this PPA, which will be the date on which GPC signs this PPA, as shown on the signature page.</w:t>
      </w:r>
      <w:bookmarkEnd w:id="63"/>
    </w:p>
    <w:p w:rsidRPr="00B60465" w:rsidR="00B60465" w:rsidP="006911CB" w:rsidRDefault="00B60465" w14:paraId="0CD0540B" w14:textId="3682C73D">
      <w:pPr>
        <w:spacing w:before="120" w:after="120" w:line="240" w:lineRule="auto"/>
        <w:jc w:val="both"/>
        <w:rPr>
          <w:rFonts w:ascii="Arial" w:hAnsi="Arial" w:cs="Arial"/>
          <w:sz w:val="20"/>
          <w:szCs w:val="20"/>
        </w:rPr>
      </w:pPr>
      <w:r w:rsidRPr="00A46475">
        <w:rPr>
          <w:rFonts w:ascii="Arial" w:hAnsi="Arial" w:cs="Arial"/>
          <w:b/>
          <w:bCs/>
          <w:sz w:val="20"/>
          <w:szCs w:val="20"/>
          <w:u w:val="single"/>
        </w:rPr>
        <w:t>Effective Date Accounting Standards</w:t>
      </w:r>
      <w:r w:rsidRPr="00A46475">
        <w:rPr>
          <w:rFonts w:ascii="Arial" w:hAnsi="Arial" w:cs="Arial"/>
          <w:sz w:val="20"/>
          <w:szCs w:val="20"/>
        </w:rPr>
        <w:t>: As defined in Section 2.1.8(i) (</w:t>
      </w:r>
      <w:r w:rsidRPr="00A46475">
        <w:rPr>
          <w:rFonts w:ascii="Arial" w:hAnsi="Arial" w:cs="Arial"/>
          <w:i/>
          <w:iCs/>
          <w:sz w:val="20"/>
          <w:szCs w:val="20"/>
        </w:rPr>
        <w:t>VIE Certification</w:t>
      </w:r>
      <w:r w:rsidRPr="00A46475">
        <w:rPr>
          <w:rFonts w:ascii="Arial" w:hAnsi="Arial" w:cs="Arial"/>
          <w:sz w:val="20"/>
          <w:szCs w:val="20"/>
        </w:rPr>
        <w:t xml:space="preserve">). </w:t>
      </w:r>
    </w:p>
    <w:p w:rsidRPr="000D001A" w:rsidR="002323E1" w:rsidP="004B0BBF" w:rsidRDefault="008B55A2" w14:paraId="1345AAC6" w14:textId="77777777">
      <w:pPr>
        <w:pStyle w:val="Heading3"/>
        <w:rPr>
          <w:b w:val="0"/>
          <w:u w:val="none"/>
        </w:rPr>
      </w:pPr>
      <w:bookmarkStart w:name="_Toc206672995" w:id="64"/>
      <w:r>
        <w:rPr>
          <w:rFonts w:cs="Arial"/>
        </w:rPr>
        <w:t>Electric System</w:t>
      </w:r>
      <w:r>
        <w:rPr>
          <w:rFonts w:cs="Arial"/>
          <w:u w:val="none"/>
        </w:rPr>
        <w:t>:</w:t>
      </w:r>
      <w:r>
        <w:rPr>
          <w:b w:val="0"/>
          <w:u w:val="none"/>
        </w:rPr>
        <w:t xml:space="preserve"> The network of electric generation, transmission, or distribution facilities owned or operated by GPC or other electric utilities.</w:t>
      </w:r>
      <w:bookmarkEnd w:id="64"/>
    </w:p>
    <w:p w:rsidRPr="000D001A" w:rsidR="002323E1" w:rsidP="004B0BBF" w:rsidRDefault="008B55A2" w14:paraId="72B52107" w14:textId="0EACD8B1">
      <w:pPr>
        <w:pStyle w:val="Heading3"/>
        <w:rPr>
          <w:b w:val="0"/>
          <w:u w:val="none"/>
        </w:rPr>
      </w:pPr>
      <w:bookmarkStart w:name="_Toc206672996" w:id="65"/>
      <w:r>
        <w:rPr>
          <w:rFonts w:cs="Arial"/>
        </w:rPr>
        <w:t>Electrical Products</w:t>
      </w:r>
      <w:r>
        <w:rPr>
          <w:rFonts w:cs="Arial"/>
          <w:u w:val="none"/>
        </w:rPr>
        <w:t xml:space="preserve">: </w:t>
      </w:r>
      <w:r>
        <w:rPr>
          <w:b w:val="0"/>
          <w:u w:val="none"/>
        </w:rPr>
        <w:t>All electrical products produced by or related to the Facility, including spinning reserves, operating reserves, black start capability, balancing energy, regulation service, ramping capability, reactive power and voltage control, frequency control, and other ancillary or essential reliability service products. Electrical Products also include any benefit GPC</w:t>
      </w:r>
      <w:bookmarkStart w:name="_Hlk149775265" w:id="66"/>
      <w:r>
        <w:rPr>
          <w:b w:val="0"/>
          <w:u w:val="none"/>
        </w:rPr>
        <w:t xml:space="preserve"> otherwise would have realized from or related to the Facility if GPC</w:t>
      </w:r>
      <w:bookmarkEnd w:id="66"/>
      <w:r>
        <w:rPr>
          <w:b w:val="0"/>
          <w:u w:val="none"/>
        </w:rPr>
        <w:t>, rather than Seller, had constructed, owned, or operated the Facility, it being the Parties’ intent that all those benefits and entitlements, in addition to electrical output, that flow from construction, ownership, or operation of the Facility, whether existing as of the Effective Date or at any time during the Term, will belong to GPC, at no additional cost to GPC</w:t>
      </w:r>
      <w:r>
        <w:rPr>
          <w:rStyle w:val="cf01"/>
          <w:rFonts w:ascii="Arial" w:hAnsi="Arial" w:cs="Arial"/>
          <w:b w:val="0"/>
          <w:sz w:val="20"/>
          <w:szCs w:val="20"/>
          <w:u w:val="none"/>
        </w:rPr>
        <w:t>.</w:t>
      </w:r>
      <w:r>
        <w:rPr>
          <w:b w:val="0"/>
          <w:u w:val="none"/>
        </w:rPr>
        <w:t xml:space="preserve"> Electrical Products do not include: (i) any federal, state, or local tax attribute arising from ownership of the Facility, including investment tax credit (ITC), production tax credit (PTC), or depreciation deductions; (ii) any grant in lieu of investment tax credit or any similar financial payment or grant regarding the Facility; or (iii) the metered electric energy produced by the Facility.</w:t>
      </w:r>
      <w:bookmarkEnd w:id="65"/>
    </w:p>
    <w:p w:rsidRPr="000D001A" w:rsidR="00A126E1" w:rsidP="002C7C53" w:rsidRDefault="008B55A2" w14:paraId="29C1051A" w14:textId="5B8E084D">
      <w:pPr>
        <w:pStyle w:val="Heading3"/>
        <w:spacing w:before="0"/>
        <w:rPr>
          <w:b w:val="0"/>
          <w:u w:val="none"/>
        </w:rPr>
      </w:pPr>
      <w:bookmarkStart w:name="_Toc206672997" w:id="67"/>
      <w:r>
        <w:rPr>
          <w:rFonts w:cs="Arial"/>
        </w:rPr>
        <w:lastRenderedPageBreak/>
        <w:t>Eligible Collateral</w:t>
      </w:r>
      <w:r>
        <w:rPr>
          <w:rFonts w:cs="Arial"/>
          <w:u w:val="none"/>
        </w:rPr>
        <w:t xml:space="preserve">: </w:t>
      </w:r>
      <w:r>
        <w:rPr>
          <w:b w:val="0"/>
          <w:u w:val="none"/>
        </w:rPr>
        <w:t>Either: (i) a Letter of Credit; (ii) cash deposited into a GPC Security Account by Seller; or (iii) a Seller Guaranty. However, at least 50% of any Eligible Collateral required under any provision of this PPA must be in the form of either a Letter of Credit or cash deposited into a GPC Security Account whenever a Seller Guarantor supplying a Seller Guaranty under this PPA has an investment grade rating such that its senior unsecured debt (or issuer rating if such Person has no senior unsecured debt rating) is not rated at least: (a) BBB by S&amp;P, if rated by S&amp;P; (b) Baa2 by Moody’s, if rated by Moody’s; and (c) BBB by Fitch, if rated by Fitch</w:t>
      </w:r>
      <w:r w:rsidR="009A2F94">
        <w:rPr>
          <w:b w:val="0"/>
          <w:u w:val="none"/>
        </w:rPr>
        <w:t>, respectively</w:t>
      </w:r>
      <w:r>
        <w:rPr>
          <w:b w:val="0"/>
          <w:u w:val="none"/>
        </w:rPr>
        <w:t>. For the purposes of the immediately preceding sentence, a Person is not required to have a senior unsecured debt rating (or issuer rating if such Person has no senior unsecured debt rating) from each of S&amp;P, Moody’s, and Fitch, but must have the requisite senior unsecured debt rating (or issuer rating if such Person has no senior unsecured debt rating) as set forth above from at least two of the three Rating Agencies.</w:t>
      </w:r>
      <w:bookmarkEnd w:id="67"/>
      <w:r>
        <w:rPr>
          <w:b w:val="0"/>
          <w:u w:val="none"/>
        </w:rPr>
        <w:t xml:space="preserve"> </w:t>
      </w:r>
    </w:p>
    <w:p w:rsidRPr="000D001A" w:rsidR="004142E4" w:rsidP="002C7C53" w:rsidRDefault="008B55A2" w14:paraId="6CED7E26" w14:textId="63357633">
      <w:pPr>
        <w:pStyle w:val="Heading3"/>
        <w:spacing w:before="0"/>
        <w:rPr>
          <w:rFonts w:cs="Arial"/>
        </w:rPr>
      </w:pPr>
      <w:bookmarkStart w:name="_Toc206672998" w:id="68"/>
      <w:r>
        <w:rPr>
          <w:rFonts w:cs="Arial"/>
        </w:rPr>
        <w:t>Emergency Condition</w:t>
      </w:r>
      <w:r>
        <w:rPr>
          <w:rFonts w:cs="Arial"/>
          <w:u w:val="none"/>
        </w:rPr>
        <w:t xml:space="preserve">: </w:t>
      </w:r>
      <w:r>
        <w:rPr>
          <w:rFonts w:cs="Arial"/>
          <w:b w:val="0"/>
          <w:u w:val="none"/>
        </w:rPr>
        <w:t>Defined in the IA.</w:t>
      </w:r>
      <w:bookmarkEnd w:id="68"/>
    </w:p>
    <w:p w:rsidRPr="004B0BBF" w:rsidR="002842D0" w:rsidP="008B2D44" w:rsidRDefault="008B55A2" w14:paraId="14C7A1A7" w14:textId="77777777">
      <w:pPr>
        <w:pStyle w:val="Heading3"/>
        <w:spacing w:before="0"/>
        <w:rPr>
          <w:b w:val="0"/>
          <w:u w:val="none"/>
        </w:rPr>
      </w:pPr>
      <w:bookmarkStart w:name="_Toc206672999" w:id="69"/>
      <w:r>
        <w:rPr>
          <w:rFonts w:cs="Arial"/>
        </w:rPr>
        <w:t>Energy Storage Performance Metric</w:t>
      </w:r>
      <w:r>
        <w:rPr>
          <w:rFonts w:cs="Arial"/>
          <w:b w:val="0"/>
          <w:bCs w:val="0"/>
          <w:u w:val="none"/>
        </w:rPr>
        <w:t>: As defined in Section 2.3.1 (</w:t>
      </w:r>
      <w:r>
        <w:rPr>
          <w:rFonts w:cs="Arial"/>
          <w:b w:val="0"/>
          <w:bCs w:val="0"/>
          <w:i/>
          <w:iCs/>
          <w:u w:val="none"/>
        </w:rPr>
        <w:t>Energy Storage Performance Metric</w:t>
      </w:r>
      <w:r>
        <w:rPr>
          <w:rFonts w:cs="Arial"/>
          <w:b w:val="0"/>
          <w:bCs w:val="0"/>
          <w:u w:val="none"/>
        </w:rPr>
        <w:t>) of Exhibit C (</w:t>
      </w:r>
      <w:r>
        <w:rPr>
          <w:rFonts w:cs="Arial"/>
          <w:b w:val="0"/>
          <w:i/>
          <w:u w:val="none"/>
        </w:rPr>
        <w:t xml:space="preserve">Monthly Capacity </w:t>
      </w:r>
      <w:r>
        <w:rPr>
          <w:rFonts w:cs="Arial"/>
          <w:b w:val="0"/>
          <w:bCs w:val="0"/>
          <w:i/>
          <w:iCs/>
          <w:u w:val="none"/>
        </w:rPr>
        <w:t>Payments; Monthly Capacity Reductions; AGC Performance Metrics and Requirements</w:t>
      </w:r>
      <w:r>
        <w:rPr>
          <w:rFonts w:cs="Arial"/>
          <w:b w:val="0"/>
          <w:bCs w:val="0"/>
          <w:u w:val="none"/>
        </w:rPr>
        <w:t>).</w:t>
      </w:r>
      <w:bookmarkEnd w:id="69"/>
    </w:p>
    <w:p w:rsidRPr="000D001A" w:rsidR="00890548" w:rsidP="002C7C53" w:rsidRDefault="008B55A2" w14:paraId="49914408" w14:textId="330EEDEB">
      <w:pPr>
        <w:pStyle w:val="Heading3"/>
        <w:spacing w:before="0"/>
        <w:rPr>
          <w:b w:val="0"/>
          <w:u w:val="none"/>
        </w:rPr>
      </w:pPr>
      <w:bookmarkStart w:name="_Toc206673000" w:id="70"/>
      <w:r>
        <w:rPr>
          <w:rFonts w:cs="Arial"/>
        </w:rPr>
        <w:t>Environmental Attributes</w:t>
      </w:r>
      <w:r>
        <w:rPr>
          <w:rFonts w:cs="Arial"/>
          <w:u w:val="none"/>
        </w:rPr>
        <w:t>:</w:t>
      </w:r>
      <w:r>
        <w:rPr>
          <w:b w:val="0"/>
          <w:u w:val="none"/>
        </w:rPr>
        <w:t xml:space="preserve"> Either: (i) any fuel-related, emissions-related, air quality-related, energy source related, or other environmental-related aspect, claim, characteristic, benefit, certificate, credit, reduction, offset, saving, allowance, efficiency, tag, attribute, demand reduction, or similar product or right (including any right relating to greenhouse gases and any green certificate, green tag, renewable certificate, REC, CO2 credit, emission reduction credit, and any that otherwise arise or result from the use  or existence of the Facility): (a) howsoever titled and whether known or unknown; (b) whether existing as of the Effective Date or at any time during the Term; and (c) any attribute  that could qualify or does qualify for application toward compliance with any local, state, federal, international, or private sector energy portfolio standard, green pricing or green certification program, energy program, carbon reduction or greenhouse gas reduction initiative, carbon or greenhouse gas offset program, carbon or greenhouse trading program, carbon or greenhouse gas cap and trade program, carbon or greenhouse taxation, electricity savings program, or other environmental program, incentive, mandate, or objective, in each case whether voluntary or mandatory; or (ii) any environmental benefit GPC otherwise would have realized from or related to the Facility if GPC, rather than Seller, had constructed, owned, or operated the Facility, as applicable. Environmental Attributes do not include: (I) any federal, state, or local tax attribute arising from ownership of the Facility, including any investment tax credit (ITC), production tax credit (PTC), or depreciation deduction; (II) any grant in lieu of ITC or any similar financial payment or grant regarding the Facility; or (III) the metered electric energy produced by the Facility.</w:t>
      </w:r>
      <w:bookmarkEnd w:id="70"/>
    </w:p>
    <w:p w:rsidR="00DD0B23" w:rsidP="00DD0B23" w:rsidRDefault="008B55A2" w14:paraId="72B240F5" w14:textId="0C3C71D5">
      <w:pPr>
        <w:pStyle w:val="Heading3"/>
        <w:rPr>
          <w:b w:val="0"/>
          <w:u w:val="none"/>
        </w:rPr>
      </w:pPr>
      <w:bookmarkStart w:name="_cp_change_452" w:id="71"/>
      <w:bookmarkStart w:name="_Toc206673001" w:id="72"/>
      <w:r>
        <w:t>Environmental Law</w:t>
      </w:r>
      <w:r>
        <w:rPr>
          <w:u w:val="none"/>
        </w:rPr>
        <w:t xml:space="preserve">: </w:t>
      </w:r>
      <w:r>
        <w:rPr>
          <w:b w:val="0"/>
          <w:u w:val="none"/>
        </w:rPr>
        <w:t>Any applicable law that relates to pollution, occupational safety, protection of occupational health, or the protection of the environment, including, (a) the Comprehensive Environmental Response, Compensation and Liability Act, 42 U.S.C. § 9601 et seq., (b) the Resource Conservation and Recovery Act, 42 U.S.C. § 6901 et seq., (c) the Federal Water Pollution Control Act, 33 U.S.C. § 1251 et seq., (d) the Clean Air Act, 42 U.S.C. § 7401 et seq., (e) the Hazardous Materials Transportation Authorization Act of 1994, 49 U.S.C. § 5101 et seq., (f) the Toxic Substances Control Act, 15 U.S.C. §§ 2601 through 2629, (g) the Oil Pollution Act, 33 U.S.C. § 2701 et seq., (h) the Emergency Planning and Community Right-to-Know Act, 42 U.S.C. § 11001 et seq., (i) the Safe Drinking Water Act, 42 U.S.C. §§ 300f through 300j, (j) the Federal Insecticide, Fungicide, &amp; Rodenticide Act, 7 U.S.C. § 136 et seq., (k) the Endangered Species Act, 16 U.S.C. § 1531 et seq., (l) the Clean Water Act, 33 U.S.C. § 1251 et seq., (m) National Environmental Policy Act, 42 U.S.C. § 55 et seq., (n) the Migratory Bird Treaty Act, 16 U.S.C. § 703 et seq., (o) the Bald and Golden Eagle Protection Act, (p) Archeological Resources Protection Act, 16 U.S.C. § 470aa et seq., (q) National Historic Preservation Act, 54 U.S.C. § 300101 et seq., and (</w:t>
      </w:r>
      <w:r w:rsidR="007946F2">
        <w:rPr>
          <w:b w:val="0"/>
          <w:u w:val="none"/>
        </w:rPr>
        <w:t>r</w:t>
      </w:r>
      <w:r>
        <w:rPr>
          <w:b w:val="0"/>
          <w:u w:val="none"/>
        </w:rPr>
        <w:t xml:space="preserve">) state or local equivalents to items (a) through (q). However, the term “Environmental Law” </w:t>
      </w:r>
      <w:r w:rsidR="006C4823">
        <w:rPr>
          <w:b w:val="0"/>
          <w:u w:val="none"/>
        </w:rPr>
        <w:t>does</w:t>
      </w:r>
      <w:r>
        <w:rPr>
          <w:b w:val="0"/>
          <w:u w:val="none"/>
        </w:rPr>
        <w:t xml:space="preserve"> not include any law relating to worker health or safety matters to the extent not related to human exposure to hazardous or toxic materials, wastes, or substances.</w:t>
      </w:r>
      <w:bookmarkEnd w:id="71"/>
      <w:bookmarkEnd w:id="72"/>
    </w:p>
    <w:p w:rsidRPr="00DD0B23" w:rsidR="00DD0B23" w:rsidP="00DD0B23" w:rsidRDefault="00DD0B23" w14:paraId="11A0A7CB" w14:textId="510EE74A">
      <w:pPr>
        <w:spacing w:before="120" w:after="120" w:line="240" w:lineRule="auto"/>
        <w:jc w:val="both"/>
        <w:rPr>
          <w:rFonts w:ascii="Arial" w:hAnsi="Arial" w:cs="Arial"/>
          <w:sz w:val="20"/>
          <w:szCs w:val="20"/>
        </w:rPr>
      </w:pPr>
      <w:r w:rsidRPr="00DD0B23">
        <w:rPr>
          <w:rFonts w:ascii="Arial" w:hAnsi="Arial" w:cs="Arial"/>
          <w:b/>
          <w:bCs/>
          <w:sz w:val="20"/>
          <w:szCs w:val="20"/>
          <w:u w:val="single"/>
        </w:rPr>
        <w:t>Environmental Recommendations</w:t>
      </w:r>
      <w:r w:rsidRPr="00DD0B23">
        <w:rPr>
          <w:rFonts w:ascii="Arial" w:hAnsi="Arial" w:cs="Arial"/>
          <w:sz w:val="20"/>
          <w:szCs w:val="20"/>
        </w:rPr>
        <w:t>:</w:t>
      </w:r>
      <w:r w:rsidR="00B60578">
        <w:rPr>
          <w:rFonts w:ascii="Arial" w:hAnsi="Arial" w:cs="Arial"/>
          <w:sz w:val="20"/>
          <w:szCs w:val="20"/>
        </w:rPr>
        <w:t xml:space="preserve"> </w:t>
      </w:r>
      <w:r w:rsidRPr="00F471A3">
        <w:rPr>
          <w:rFonts w:ascii="Arial" w:hAnsi="Arial" w:cs="Arial"/>
          <w:sz w:val="20"/>
          <w:szCs w:val="20"/>
        </w:rPr>
        <w:t>As defined in Section 17.4</w:t>
      </w:r>
      <w:r>
        <w:rPr>
          <w:rFonts w:ascii="Arial" w:hAnsi="Arial" w:cs="Arial"/>
          <w:sz w:val="20"/>
          <w:szCs w:val="20"/>
        </w:rPr>
        <w:t>.2</w:t>
      </w:r>
      <w:r w:rsidRPr="00F471A3">
        <w:rPr>
          <w:rFonts w:ascii="Arial" w:hAnsi="Arial" w:cs="Arial"/>
          <w:sz w:val="20"/>
          <w:szCs w:val="20"/>
        </w:rPr>
        <w:t xml:space="preserve"> (</w:t>
      </w:r>
      <w:r>
        <w:rPr>
          <w:rFonts w:ascii="Arial" w:hAnsi="Arial" w:cs="Arial"/>
          <w:i/>
          <w:iCs/>
          <w:sz w:val="20"/>
          <w:szCs w:val="20"/>
        </w:rPr>
        <w:t>Environmental Recommendations</w:t>
      </w:r>
      <w:r w:rsidRPr="00F471A3">
        <w:rPr>
          <w:rFonts w:ascii="Arial" w:hAnsi="Arial" w:cs="Arial"/>
          <w:sz w:val="20"/>
          <w:szCs w:val="20"/>
        </w:rPr>
        <w:t>).</w:t>
      </w:r>
    </w:p>
    <w:p w:rsidRPr="000D001A" w:rsidR="00890548" w:rsidP="004B0BBF" w:rsidRDefault="008B55A2" w14:paraId="43794F1E" w14:textId="1BF6A591">
      <w:pPr>
        <w:pStyle w:val="Heading3"/>
        <w:rPr>
          <w:b w:val="0"/>
          <w:u w:val="none"/>
        </w:rPr>
      </w:pPr>
      <w:bookmarkStart w:name="_Toc206673002" w:id="73"/>
      <w:r>
        <w:rPr>
          <w:rFonts w:cs="Arial"/>
        </w:rPr>
        <w:t>EPA</w:t>
      </w:r>
      <w:r>
        <w:rPr>
          <w:rFonts w:cs="Arial"/>
          <w:u w:val="none"/>
        </w:rPr>
        <w:t xml:space="preserve">: </w:t>
      </w:r>
      <w:r>
        <w:rPr>
          <w:b w:val="0"/>
          <w:u w:val="none"/>
        </w:rPr>
        <w:t>The U.S. Environmental Protection Agency.</w:t>
      </w:r>
      <w:bookmarkEnd w:id="73"/>
    </w:p>
    <w:p w:rsidRPr="000D001A" w:rsidR="000E5594" w:rsidP="004B0BBF" w:rsidRDefault="008B55A2" w14:paraId="1FDD1A33" w14:textId="2B2B4213">
      <w:pPr>
        <w:pStyle w:val="Heading3"/>
        <w:rPr>
          <w:b w:val="0"/>
          <w:u w:val="none"/>
        </w:rPr>
      </w:pPr>
      <w:bookmarkStart w:name="_Toc206673003" w:id="74"/>
      <w:r>
        <w:rPr>
          <w:rFonts w:cs="Arial"/>
        </w:rPr>
        <w:lastRenderedPageBreak/>
        <w:t>ET</w:t>
      </w:r>
      <w:r>
        <w:rPr>
          <w:rFonts w:cs="Arial"/>
          <w:u w:val="none"/>
        </w:rPr>
        <w:t xml:space="preserve">: </w:t>
      </w:r>
      <w:r>
        <w:rPr>
          <w:b w:val="0"/>
          <w:u w:val="none"/>
        </w:rPr>
        <w:t xml:space="preserve">See </w:t>
      </w:r>
      <w:r>
        <w:rPr>
          <w:b w:val="0"/>
          <w:i/>
          <w:iCs/>
          <w:u w:val="none"/>
        </w:rPr>
        <w:t>Eastern Time</w:t>
      </w:r>
      <w:r>
        <w:rPr>
          <w:b w:val="0"/>
          <w:u w:val="none"/>
        </w:rPr>
        <w:t>.</w:t>
      </w:r>
      <w:bookmarkEnd w:id="74"/>
    </w:p>
    <w:p w:rsidR="002D54C4" w:rsidP="004B0BBF" w:rsidRDefault="008B55A2" w14:paraId="2226222B" w14:textId="01E2DB86">
      <w:pPr>
        <w:pStyle w:val="Heading3"/>
        <w:rPr>
          <w:b w:val="0"/>
          <w:u w:val="none"/>
        </w:rPr>
      </w:pPr>
      <w:bookmarkStart w:name="_Toc206673004" w:id="75"/>
      <w:r>
        <w:rPr>
          <w:rFonts w:cs="Arial"/>
        </w:rPr>
        <w:t>Event of Default</w:t>
      </w:r>
      <w:r>
        <w:rPr>
          <w:rFonts w:cs="Arial"/>
          <w:u w:val="none"/>
        </w:rPr>
        <w:t xml:space="preserve">: </w:t>
      </w:r>
      <w:r w:rsidRPr="0073779C">
        <w:rPr>
          <w:b w:val="0"/>
          <w:u w:val="none"/>
        </w:rPr>
        <w:t>A</w:t>
      </w:r>
      <w:r>
        <w:rPr>
          <w:b w:val="0"/>
          <w:u w:val="none"/>
        </w:rPr>
        <w:t xml:space="preserve"> Party’s failure to perform or comply with a material PPA term or condition, as further described in Section 16.1 (</w:t>
      </w:r>
      <w:r>
        <w:rPr>
          <w:b w:val="0"/>
          <w:i/>
          <w:u w:val="none"/>
        </w:rPr>
        <w:t>Default by Seller</w:t>
      </w:r>
      <w:r>
        <w:rPr>
          <w:b w:val="0"/>
          <w:u w:val="none"/>
        </w:rPr>
        <w:t>) for Seller and in Section 16.2 (</w:t>
      </w:r>
      <w:r>
        <w:rPr>
          <w:b w:val="0"/>
          <w:i/>
          <w:u w:val="none"/>
        </w:rPr>
        <w:t>Default by GPC</w:t>
      </w:r>
      <w:r>
        <w:rPr>
          <w:b w:val="0"/>
          <w:u w:val="none"/>
        </w:rPr>
        <w:t>) for GPC.</w:t>
      </w:r>
      <w:bookmarkEnd w:id="75"/>
    </w:p>
    <w:p w:rsidRPr="002C2F73" w:rsidR="002C2F73" w:rsidP="00B25821" w:rsidRDefault="002C2F73" w14:paraId="23B449BB" w14:textId="5EAAE69D">
      <w:pPr>
        <w:jc w:val="both"/>
      </w:pPr>
      <w:r w:rsidRPr="00341121">
        <w:rPr>
          <w:rFonts w:ascii="Arial" w:hAnsi="Arial" w:cs="Arial"/>
          <w:b/>
          <w:bCs/>
          <w:sz w:val="20"/>
          <w:szCs w:val="20"/>
          <w:u w:val="single"/>
        </w:rPr>
        <w:t>Excess Expenditures</w:t>
      </w:r>
      <w:r w:rsidRPr="00341121">
        <w:rPr>
          <w:rFonts w:ascii="Arial" w:hAnsi="Arial" w:cs="Arial"/>
          <w:sz w:val="20"/>
          <w:szCs w:val="20"/>
        </w:rPr>
        <w:t>: The portion of Change of Law Expenditures that exceeds the Threshold Amount, as calculated by subtracting the Threshold Amount (expressed in dollars) from the total Change of Law Expenditures for an applicable Change of Law.</w:t>
      </w:r>
    </w:p>
    <w:p w:rsidR="00657E60" w:rsidP="00B25821" w:rsidRDefault="00657E60" w14:paraId="2DB746DB" w14:textId="27707460">
      <w:pPr>
        <w:spacing w:before="120" w:after="120" w:line="240" w:lineRule="auto"/>
        <w:jc w:val="both"/>
        <w:rPr>
          <w:rFonts w:ascii="Arial" w:hAnsi="Arial" w:cs="Arial"/>
          <w:sz w:val="20"/>
          <w:szCs w:val="20"/>
        </w:rPr>
      </w:pPr>
      <w:r w:rsidRPr="009B3630">
        <w:rPr>
          <w:rFonts w:ascii="Arial" w:hAnsi="Arial" w:cs="Arial"/>
          <w:b/>
          <w:sz w:val="20"/>
          <w:szCs w:val="20"/>
          <w:u w:val="single"/>
        </w:rPr>
        <w:t>Excess Expenditures Notice</w:t>
      </w:r>
      <w:r w:rsidRPr="00657E60">
        <w:rPr>
          <w:rFonts w:ascii="Arial" w:hAnsi="Arial" w:cs="Arial"/>
          <w:sz w:val="20"/>
          <w:szCs w:val="20"/>
        </w:rPr>
        <w:t xml:space="preserve">: </w:t>
      </w:r>
      <w:r w:rsidRPr="00341121" w:rsidR="00E93599">
        <w:rPr>
          <w:rFonts w:ascii="Arial" w:hAnsi="Arial" w:cs="Arial"/>
          <w:sz w:val="20"/>
          <w:szCs w:val="20"/>
        </w:rPr>
        <w:t>Written notice from Seller to GPC requesting recovery of Excess Expenditures</w:t>
      </w:r>
      <w:r w:rsidR="0091261D">
        <w:rPr>
          <w:rFonts w:ascii="Arial" w:hAnsi="Arial" w:cs="Arial"/>
          <w:sz w:val="20"/>
          <w:szCs w:val="20"/>
        </w:rPr>
        <w:t xml:space="preserve"> or approval of an Operational Alternative</w:t>
      </w:r>
      <w:r w:rsidRPr="00657E60">
        <w:rPr>
          <w:rFonts w:ascii="Arial" w:hAnsi="Arial" w:cs="Arial"/>
          <w:sz w:val="20"/>
          <w:szCs w:val="20"/>
        </w:rPr>
        <w:t>.</w:t>
      </w:r>
    </w:p>
    <w:p w:rsidRPr="000D001A" w:rsidR="002D54C4" w:rsidP="004B0BBF" w:rsidRDefault="008B55A2" w14:paraId="2BF9956E" w14:textId="2C6EB113">
      <w:pPr>
        <w:pStyle w:val="Heading3"/>
      </w:pPr>
      <w:bookmarkStart w:name="_Toc206673005" w:id="76"/>
      <w:r>
        <w:rPr>
          <w:rFonts w:cs="Arial"/>
        </w:rPr>
        <w:t>Extended FME</w:t>
      </w:r>
      <w:r>
        <w:rPr>
          <w:rFonts w:cs="Arial"/>
          <w:u w:val="none"/>
        </w:rPr>
        <w:t>:</w:t>
      </w:r>
      <w:r w:rsidRPr="004B0BBF">
        <w:rPr>
          <w:u w:val="none"/>
        </w:rPr>
        <w:t xml:space="preserve"> </w:t>
      </w:r>
      <w:r w:rsidR="00C101AF">
        <w:rPr>
          <w:b w:val="0"/>
          <w:u w:val="none"/>
        </w:rPr>
        <w:t>As d</w:t>
      </w:r>
      <w:r w:rsidR="00D21D27">
        <w:rPr>
          <w:b w:val="0"/>
          <w:u w:val="none"/>
        </w:rPr>
        <w:t>efined</w:t>
      </w:r>
      <w:r w:rsidR="00612A8C">
        <w:rPr>
          <w:b w:val="0"/>
          <w:u w:val="none"/>
        </w:rPr>
        <w:t xml:space="preserve"> in Section 15.7.1 (</w:t>
      </w:r>
      <w:r w:rsidRPr="00612A8C" w:rsidR="00612A8C">
        <w:rPr>
          <w:b w:val="0"/>
          <w:i/>
          <w:iCs/>
          <w:u w:val="none"/>
        </w:rPr>
        <w:t>Notice and Remedy Plan for Extended FME</w:t>
      </w:r>
      <w:r w:rsidR="00612A8C">
        <w:rPr>
          <w:b w:val="0"/>
          <w:u w:val="none"/>
        </w:rPr>
        <w:t>)</w:t>
      </w:r>
      <w:r>
        <w:rPr>
          <w:b w:val="0"/>
          <w:u w:val="none"/>
        </w:rPr>
        <w:t>.</w:t>
      </w:r>
      <w:bookmarkEnd w:id="76"/>
    </w:p>
    <w:p w:rsidRPr="000D001A" w:rsidR="002D54C4" w:rsidP="004B0BBF" w:rsidRDefault="008B55A2" w14:paraId="20E65B9A" w14:textId="7F045D41">
      <w:pPr>
        <w:pStyle w:val="Heading3"/>
        <w:rPr>
          <w:i/>
        </w:rPr>
      </w:pPr>
      <w:bookmarkStart w:name="_Toc206673006" w:id="77"/>
      <w:r>
        <w:rPr>
          <w:rFonts w:cs="Arial"/>
          <w:snapToGrid w:val="0"/>
        </w:rPr>
        <w:t>Facility</w:t>
      </w:r>
      <w:r>
        <w:rPr>
          <w:rFonts w:cs="Arial"/>
          <w:u w:val="none"/>
        </w:rPr>
        <w:t xml:space="preserve">: </w:t>
      </w:r>
      <w:r>
        <w:rPr>
          <w:b w:val="0"/>
          <w:u w:val="none"/>
        </w:rPr>
        <w:t xml:space="preserve">The complete facility comprised of the BESS and ancillary facilities and equipment located at the Site but excluding any Renewable Resource. The Facility will include all auxiliary equipment and facilities necessary or used for the control, storage, delivery, or monitoring of electricity stored on the Site. All equipment and facilities installed on Seller’s side of the POI at the Site will be part of the Facility, except for those that constitute Interconnection Facilities or, if applicable, </w:t>
      </w:r>
      <w:r w:rsidR="00AD745E">
        <w:rPr>
          <w:b w:val="0"/>
          <w:u w:val="none"/>
        </w:rPr>
        <w:t xml:space="preserve">any </w:t>
      </w:r>
      <w:r>
        <w:rPr>
          <w:b w:val="0"/>
          <w:u w:val="none"/>
        </w:rPr>
        <w:t>Renewable Resource.</w:t>
      </w:r>
      <w:bookmarkEnd w:id="77"/>
    </w:p>
    <w:p w:rsidRPr="000D001A" w:rsidR="002D54C4" w:rsidP="004B0BBF" w:rsidRDefault="008B55A2" w14:paraId="4054F717" w14:textId="119894BB">
      <w:pPr>
        <w:pStyle w:val="Heading3"/>
      </w:pPr>
      <w:bookmarkStart w:name="_Toc206673007" w:id="78"/>
      <w:r>
        <w:rPr>
          <w:rFonts w:cs="Arial"/>
        </w:rPr>
        <w:t>FASB</w:t>
      </w:r>
      <w:r>
        <w:rPr>
          <w:rFonts w:cs="Arial"/>
          <w:u w:val="none"/>
        </w:rPr>
        <w:t>:</w:t>
      </w:r>
      <w:r w:rsidRPr="004B0BBF">
        <w:rPr>
          <w:u w:val="none"/>
        </w:rPr>
        <w:t xml:space="preserve"> </w:t>
      </w:r>
      <w:r>
        <w:rPr>
          <w:b w:val="0"/>
          <w:u w:val="none"/>
        </w:rPr>
        <w:t>Financial Accounting Standards Board.</w:t>
      </w:r>
      <w:bookmarkEnd w:id="78"/>
    </w:p>
    <w:p w:rsidRPr="000D001A" w:rsidR="002D54C4" w:rsidP="004B0BBF" w:rsidRDefault="008B55A2" w14:paraId="16980686" w14:textId="77777777">
      <w:pPr>
        <w:pStyle w:val="Heading3"/>
      </w:pPr>
      <w:bookmarkStart w:name="_Toc206673008" w:id="79"/>
      <w:r>
        <w:rPr>
          <w:rFonts w:cs="Arial"/>
        </w:rPr>
        <w:t>Federal Power Act</w:t>
      </w:r>
      <w:r>
        <w:rPr>
          <w:rFonts w:cs="Arial"/>
          <w:u w:val="none"/>
        </w:rPr>
        <w:t xml:space="preserve">: </w:t>
      </w:r>
      <w:r>
        <w:rPr>
          <w:b w:val="0"/>
          <w:u w:val="none"/>
        </w:rPr>
        <w:t xml:space="preserve"> The Federal Power Act, 16 U.S.C. § § 791a </w:t>
      </w:r>
      <w:r>
        <w:rPr>
          <w:b w:val="0"/>
          <w:i/>
          <w:u w:val="none"/>
        </w:rPr>
        <w:t>et seq.</w:t>
      </w:r>
      <w:r>
        <w:rPr>
          <w:b w:val="0"/>
          <w:u w:val="none"/>
        </w:rPr>
        <w:t xml:space="preserve"> (1994), as amended from time to time, and any successor statute of similar import.</w:t>
      </w:r>
      <w:bookmarkEnd w:id="79"/>
    </w:p>
    <w:p w:rsidRPr="005618E3" w:rsidR="002D54C4" w:rsidP="004B0BBF" w:rsidRDefault="008B55A2" w14:paraId="613EFC00" w14:textId="79865A4C">
      <w:pPr>
        <w:pStyle w:val="Heading3"/>
      </w:pPr>
      <w:bookmarkStart w:name="_Toc206673009" w:id="80"/>
      <w:r>
        <w:rPr>
          <w:rFonts w:cs="Arial"/>
        </w:rPr>
        <w:t>FERC</w:t>
      </w:r>
      <w:r>
        <w:rPr>
          <w:rFonts w:cs="Arial"/>
          <w:u w:val="none"/>
        </w:rPr>
        <w:t>:</w:t>
      </w:r>
      <w:r w:rsidRPr="004B0BBF">
        <w:rPr>
          <w:u w:val="none"/>
        </w:rPr>
        <w:t xml:space="preserve"> </w:t>
      </w:r>
      <w:r>
        <w:rPr>
          <w:b w:val="0"/>
          <w:u w:val="none"/>
        </w:rPr>
        <w:t>The Federal Energy Regulatory Commission, or any Governmental Authority succeeding to the powers or functions of FERC.</w:t>
      </w:r>
      <w:bookmarkEnd w:id="80"/>
    </w:p>
    <w:p w:rsidRPr="00781C8B" w:rsidR="00781C8B" w:rsidP="00781C8B" w:rsidRDefault="00781C8B" w14:paraId="75AD34EA" w14:textId="679FA34E">
      <w:pPr>
        <w:pStyle w:val="zGNormal6"/>
        <w:widowControl w:val="0"/>
        <w:rPr>
          <w:rFonts w:eastAsia="PMingLiU"/>
        </w:rPr>
      </w:pPr>
      <w:r>
        <w:rPr>
          <w:rFonts w:eastAsia="PMingLiU"/>
          <w:b/>
          <w:bCs/>
          <w:u w:val="single"/>
        </w:rPr>
        <w:t>Financing Assignment</w:t>
      </w:r>
      <w:r w:rsidRPr="002F37C6">
        <w:rPr>
          <w:rFonts w:eastAsia="PMingLiU"/>
        </w:rPr>
        <w:t>:</w:t>
      </w:r>
      <w:r>
        <w:rPr>
          <w:rFonts w:eastAsia="PMingLiU"/>
        </w:rPr>
        <w:t xml:space="preserve"> </w:t>
      </w:r>
      <w:r w:rsidRPr="002F37C6">
        <w:rPr>
          <w:rFonts w:eastAsia="PMingLiU"/>
        </w:rPr>
        <w:t>An assignment</w:t>
      </w:r>
      <w:r>
        <w:rPr>
          <w:rFonts w:eastAsia="PMingLiU"/>
        </w:rPr>
        <w:t xml:space="preserve"> of this PPA or interest in the Facility for collateral security purposes in connection with any financing or refinancing relating to the Facility.</w:t>
      </w:r>
    </w:p>
    <w:p w:rsidRPr="004B0BBF" w:rsidR="002D54C4" w:rsidP="004B0BBF" w:rsidRDefault="008B55A2" w14:paraId="354B9DC1" w14:textId="190B2B96">
      <w:pPr>
        <w:pStyle w:val="Heading3"/>
        <w:rPr>
          <w:b w:val="0"/>
          <w:u w:val="none"/>
        </w:rPr>
      </w:pPr>
      <w:bookmarkStart w:name="_Toc206673011" w:id="81"/>
      <w:r>
        <w:rPr>
          <w:rFonts w:cs="Arial"/>
        </w:rPr>
        <w:t>Fitch</w:t>
      </w:r>
      <w:r>
        <w:rPr>
          <w:rFonts w:cs="Arial"/>
          <w:u w:val="none"/>
        </w:rPr>
        <w:t>:</w:t>
      </w:r>
      <w:r w:rsidRPr="004B0BBF">
        <w:rPr>
          <w:u w:val="none"/>
        </w:rPr>
        <w:t xml:space="preserve"> </w:t>
      </w:r>
      <w:r>
        <w:rPr>
          <w:b w:val="0"/>
          <w:u w:val="none"/>
        </w:rPr>
        <w:t>Fitch Ratings Ltd. or its successor. If Fitch ceases to exist or publish ratings, Fitch will mean a nationally recognized rating agency mutually agreed upon by the Parties.</w:t>
      </w:r>
      <w:bookmarkEnd w:id="81"/>
    </w:p>
    <w:p w:rsidRPr="002C1ADE" w:rsidR="002C1ADE" w:rsidP="0007464E" w:rsidRDefault="002C1ADE" w14:paraId="040BAAD6" w14:textId="3A51C9BB">
      <w:pPr>
        <w:spacing w:before="120" w:after="120" w:line="240" w:lineRule="auto"/>
        <w:rPr>
          <w:rFonts w:ascii="Arial" w:hAnsi="Arial" w:cs="Arial"/>
          <w:sz w:val="20"/>
          <w:szCs w:val="20"/>
        </w:rPr>
      </w:pPr>
      <w:r w:rsidRPr="002C1ADE">
        <w:rPr>
          <w:rFonts w:ascii="Arial" w:hAnsi="Arial" w:cs="Arial"/>
          <w:b/>
          <w:bCs/>
          <w:sz w:val="20"/>
          <w:szCs w:val="20"/>
          <w:u w:val="single"/>
        </w:rPr>
        <w:t>FME Remedy Plan</w:t>
      </w:r>
      <w:r w:rsidRPr="002C1ADE">
        <w:rPr>
          <w:rFonts w:ascii="Arial" w:hAnsi="Arial" w:cs="Arial"/>
          <w:sz w:val="20"/>
          <w:szCs w:val="20"/>
        </w:rPr>
        <w:t>: As defined in Section 15.7.1 (</w:t>
      </w:r>
      <w:r w:rsidRPr="002C1ADE">
        <w:rPr>
          <w:rFonts w:ascii="Arial" w:hAnsi="Arial" w:cs="Arial"/>
          <w:i/>
          <w:iCs/>
          <w:sz w:val="20"/>
          <w:szCs w:val="20"/>
        </w:rPr>
        <w:t>Notice and Remedy Plan for Extended FME</w:t>
      </w:r>
      <w:r w:rsidRPr="002C1ADE">
        <w:rPr>
          <w:rFonts w:ascii="Arial" w:hAnsi="Arial" w:cs="Arial"/>
          <w:sz w:val="20"/>
          <w:szCs w:val="20"/>
        </w:rPr>
        <w:t>).</w:t>
      </w:r>
    </w:p>
    <w:p w:rsidRPr="00B608B1" w:rsidR="00B608B1" w:rsidP="0007464E" w:rsidRDefault="00B608B1" w14:paraId="26929FFB" w14:textId="58A5E956">
      <w:pPr>
        <w:spacing w:before="120" w:after="120" w:line="240" w:lineRule="auto"/>
        <w:rPr>
          <w:rFonts w:ascii="Arial" w:hAnsi="Arial" w:cs="Arial"/>
          <w:sz w:val="20"/>
          <w:szCs w:val="20"/>
        </w:rPr>
      </w:pPr>
      <w:r w:rsidRPr="00B608B1">
        <w:rPr>
          <w:rFonts w:ascii="Arial" w:hAnsi="Arial" w:cs="Arial"/>
          <w:b/>
          <w:bCs/>
          <w:sz w:val="20"/>
          <w:szCs w:val="20"/>
          <w:u w:val="single"/>
        </w:rPr>
        <w:t>Force Majeure Event</w:t>
      </w:r>
      <w:r w:rsidR="001E6A3C">
        <w:rPr>
          <w:rFonts w:ascii="Arial" w:hAnsi="Arial" w:cs="Arial"/>
          <w:b/>
          <w:bCs/>
          <w:sz w:val="20"/>
          <w:szCs w:val="20"/>
          <w:u w:val="single"/>
        </w:rPr>
        <w:t xml:space="preserve"> (FME)</w:t>
      </w:r>
      <w:r w:rsidRPr="00B608B1">
        <w:rPr>
          <w:rFonts w:ascii="Arial" w:hAnsi="Arial" w:cs="Arial"/>
          <w:sz w:val="20"/>
          <w:szCs w:val="20"/>
        </w:rPr>
        <w:t>: As defined in Section 15.1 (</w:t>
      </w:r>
      <w:r w:rsidRPr="00B608B1">
        <w:rPr>
          <w:rFonts w:ascii="Arial" w:hAnsi="Arial" w:cs="Arial"/>
          <w:i/>
          <w:iCs/>
          <w:sz w:val="20"/>
          <w:szCs w:val="20"/>
        </w:rPr>
        <w:t>Definition of Force Majeure Event</w:t>
      </w:r>
      <w:r w:rsidRPr="00B608B1">
        <w:rPr>
          <w:rFonts w:ascii="Arial" w:hAnsi="Arial" w:cs="Arial"/>
          <w:sz w:val="20"/>
          <w:szCs w:val="20"/>
        </w:rPr>
        <w:t>).</w:t>
      </w:r>
    </w:p>
    <w:p w:rsidRPr="005618E3" w:rsidR="002D54C4" w:rsidP="004B0BBF" w:rsidRDefault="008B55A2" w14:paraId="30EFBA33" w14:textId="3E1EEA0A">
      <w:pPr>
        <w:pStyle w:val="Heading3"/>
      </w:pPr>
      <w:bookmarkStart w:name="_Toc206673012" w:id="82"/>
      <w:r>
        <w:rPr>
          <w:rFonts w:cs="Arial"/>
        </w:rPr>
        <w:t>Forced Derate</w:t>
      </w:r>
      <w:r>
        <w:rPr>
          <w:rFonts w:cs="Arial"/>
          <w:u w:val="none"/>
        </w:rPr>
        <w:t>:</w:t>
      </w:r>
      <w:r>
        <w:rPr>
          <w:b w:val="0"/>
          <w:u w:val="none"/>
        </w:rPr>
        <w:t xml:space="preserve"> A time during which the operational capability of the</w:t>
      </w:r>
      <w:r>
        <w:rPr>
          <w:b w:val="0"/>
          <w:bCs w:val="0"/>
          <w:u w:val="none"/>
        </w:rPr>
        <w:t xml:space="preserve"> BESS</w:t>
      </w:r>
      <w:r>
        <w:rPr>
          <w:b w:val="0"/>
          <w:u w:val="none"/>
        </w:rPr>
        <w:t xml:space="preserve"> is reduced to a level below the Storage Device Design Capacity, SDOE, or Maximum Rate of Charge for reasons other than a Force Majeure Event and that is not a Scheduled Outage, Maintenance Outage, or a Forced Outage.</w:t>
      </w:r>
      <w:bookmarkEnd w:id="82"/>
    </w:p>
    <w:p w:rsidRPr="005618E3" w:rsidR="000E5594" w:rsidP="004B0BBF" w:rsidRDefault="008B55A2" w14:paraId="77C6FC22" w14:textId="34EC7A7F">
      <w:pPr>
        <w:pStyle w:val="Heading3"/>
      </w:pPr>
      <w:bookmarkStart w:name="_Toc206673013" w:id="83"/>
      <w:r>
        <w:rPr>
          <w:rFonts w:cs="Arial"/>
        </w:rPr>
        <w:t>Forced Outage</w:t>
      </w:r>
      <w:r>
        <w:rPr>
          <w:rFonts w:cs="Arial"/>
          <w:u w:val="none"/>
        </w:rPr>
        <w:t xml:space="preserve">: </w:t>
      </w:r>
      <w:r>
        <w:rPr>
          <w:b w:val="0"/>
          <w:bCs w:val="0"/>
          <w:u w:val="none"/>
        </w:rPr>
        <w:t xml:space="preserve">A time during which the BESS is wholly </w:t>
      </w:r>
      <w:r>
        <w:rPr>
          <w:b w:val="0"/>
          <w:u w:val="none"/>
        </w:rPr>
        <w:t xml:space="preserve">Unavailable </w:t>
      </w:r>
      <w:r>
        <w:rPr>
          <w:b w:val="0"/>
          <w:bCs w:val="0"/>
          <w:u w:val="none"/>
        </w:rPr>
        <w:t>for reasons other than a Force Majeure Event and that is not a Scheduled Outage or a Maintenance Outage.</w:t>
      </w:r>
      <w:bookmarkEnd w:id="83"/>
    </w:p>
    <w:p w:rsidRPr="004B0BBF" w:rsidR="002D54C4" w:rsidP="004B0BBF" w:rsidRDefault="008B55A2" w14:paraId="27C39ABD" w14:textId="2B7EB680">
      <w:pPr>
        <w:pStyle w:val="Heading3"/>
        <w:rPr>
          <w:b w:val="0"/>
          <w:u w:val="none"/>
        </w:rPr>
      </w:pPr>
      <w:bookmarkStart w:name="_Toc206673014" w:id="84"/>
      <w:r>
        <w:rPr>
          <w:rFonts w:cs="Arial"/>
        </w:rPr>
        <w:t>GAAP</w:t>
      </w:r>
      <w:r>
        <w:rPr>
          <w:rFonts w:cs="Arial"/>
          <w:u w:val="none"/>
        </w:rPr>
        <w:t xml:space="preserve">: </w:t>
      </w:r>
      <w:r>
        <w:rPr>
          <w:b w:val="0"/>
          <w:bCs w:val="0"/>
          <w:u w:val="none"/>
        </w:rPr>
        <w:t>Generally</w:t>
      </w:r>
      <w:r>
        <w:rPr>
          <w:b w:val="0"/>
          <w:u w:val="none"/>
        </w:rPr>
        <w:t xml:space="preserve"> accepted accounting principles issued by the Financial Accounting Standards Board (FASB), as may be modified.</w:t>
      </w:r>
      <w:bookmarkEnd w:id="84"/>
    </w:p>
    <w:p w:rsidRPr="00CA117D" w:rsidR="00CA117D" w:rsidP="0007464E" w:rsidRDefault="00CA117D" w14:paraId="6FAA820B" w14:textId="6DE33A4D">
      <w:pPr>
        <w:spacing w:before="120" w:after="120" w:line="240" w:lineRule="auto"/>
      </w:pPr>
      <w:r w:rsidRPr="00CA117D">
        <w:rPr>
          <w:rFonts w:ascii="Arial" w:hAnsi="Arial" w:cs="Arial"/>
          <w:b/>
          <w:bCs/>
          <w:sz w:val="20"/>
          <w:szCs w:val="20"/>
          <w:u w:val="single"/>
        </w:rPr>
        <w:t>Gains:</w:t>
      </w:r>
      <w:r>
        <w:rPr>
          <w:rFonts w:ascii="Arial" w:hAnsi="Arial" w:cs="Arial"/>
          <w:sz w:val="20"/>
          <w:szCs w:val="20"/>
        </w:rPr>
        <w:t xml:space="preserve"> </w:t>
      </w:r>
      <w:r w:rsidRPr="00CA117D">
        <w:rPr>
          <w:rFonts w:ascii="Arial" w:hAnsi="Arial" w:cs="Arial"/>
          <w:sz w:val="20"/>
          <w:szCs w:val="20"/>
        </w:rPr>
        <w:t>As defined in Section 16.3.3 (</w:t>
      </w:r>
      <w:r w:rsidRPr="00CA117D">
        <w:rPr>
          <w:rFonts w:ascii="Arial" w:hAnsi="Arial" w:cs="Arial"/>
          <w:i/>
          <w:iCs/>
          <w:sz w:val="20"/>
          <w:szCs w:val="20"/>
        </w:rPr>
        <w:t>Determining Gains, Losses, and Costs</w:t>
      </w:r>
      <w:r w:rsidRPr="00CA117D">
        <w:rPr>
          <w:rFonts w:ascii="Arial" w:hAnsi="Arial" w:cs="Arial"/>
          <w:sz w:val="20"/>
          <w:szCs w:val="20"/>
        </w:rPr>
        <w:t>).</w:t>
      </w:r>
    </w:p>
    <w:p w:rsidRPr="004B0BBF" w:rsidR="002D54C4" w:rsidP="004B0BBF" w:rsidRDefault="008B55A2" w14:paraId="1CD766B1" w14:textId="314C98E3">
      <w:pPr>
        <w:pStyle w:val="Heading3"/>
        <w:rPr>
          <w:b w:val="0"/>
          <w:u w:val="none"/>
        </w:rPr>
      </w:pPr>
      <w:bookmarkStart w:name="_Toc206673015" w:id="85"/>
      <w:r>
        <w:rPr>
          <w:rFonts w:cs="Arial"/>
        </w:rPr>
        <w:t>Georgia Integrated Transmission System (Georgia ITS)</w:t>
      </w:r>
      <w:r>
        <w:rPr>
          <w:rFonts w:cs="Arial"/>
          <w:u w:val="none"/>
        </w:rPr>
        <w:t>:</w:t>
      </w:r>
      <w:r>
        <w:rPr>
          <w:rFonts w:cs="Arial"/>
          <w:b w:val="0"/>
          <w:u w:val="none"/>
        </w:rPr>
        <w:t xml:space="preserve"> </w:t>
      </w:r>
      <w:r>
        <w:rPr>
          <w:b w:val="0"/>
          <w:u w:val="none"/>
        </w:rPr>
        <w:t xml:space="preserve"> The Georgia Integrated Transmission System, which is owned individually by GPC, Georgia Transmission Corporation, Municipal Electric Authority of Georgia, or Dalton Utilities, and operated as an integrated transmission system for transmitting, receiving, or distributing electric energy or capacity.</w:t>
      </w:r>
      <w:bookmarkEnd w:id="85"/>
    </w:p>
    <w:p w:rsidRPr="009E264E" w:rsidR="00DC2A8C" w:rsidP="0007464E" w:rsidRDefault="009E264E" w14:paraId="22F2B08B" w14:textId="1CA681B7">
      <w:pPr>
        <w:spacing w:before="120" w:after="120" w:line="240" w:lineRule="auto"/>
        <w:rPr>
          <w:rFonts w:ascii="Arial" w:hAnsi="Arial" w:cs="Arial"/>
          <w:sz w:val="20"/>
          <w:szCs w:val="20"/>
        </w:rPr>
      </w:pPr>
      <w:r w:rsidRPr="009E264E">
        <w:rPr>
          <w:rFonts w:ascii="Arial" w:hAnsi="Arial" w:cs="Arial"/>
          <w:b/>
          <w:bCs/>
          <w:sz w:val="20"/>
          <w:szCs w:val="20"/>
          <w:u w:val="single"/>
        </w:rPr>
        <w:t>Governmental Approvals</w:t>
      </w:r>
      <w:r w:rsidRPr="0044033D">
        <w:rPr>
          <w:rFonts w:ascii="Arial" w:hAnsi="Arial" w:cs="Arial"/>
          <w:b/>
          <w:sz w:val="20"/>
          <w:szCs w:val="20"/>
        </w:rPr>
        <w:t>:</w:t>
      </w:r>
      <w:r w:rsidRPr="009E264E">
        <w:rPr>
          <w:rFonts w:ascii="Arial" w:hAnsi="Arial" w:cs="Arial"/>
          <w:sz w:val="20"/>
          <w:szCs w:val="20"/>
        </w:rPr>
        <w:t xml:space="preserve"> As defined in Section 7.1.5(viii) (</w:t>
      </w:r>
      <w:r w:rsidRPr="009E264E">
        <w:rPr>
          <w:rFonts w:ascii="Arial" w:hAnsi="Arial" w:cs="Arial"/>
          <w:i/>
          <w:iCs/>
          <w:sz w:val="20"/>
          <w:szCs w:val="20"/>
        </w:rPr>
        <w:t>Commercial Operation</w:t>
      </w:r>
      <w:r w:rsidRPr="009E264E">
        <w:rPr>
          <w:rFonts w:ascii="Arial" w:hAnsi="Arial" w:cs="Arial"/>
          <w:sz w:val="20"/>
          <w:szCs w:val="20"/>
        </w:rPr>
        <w:t>).</w:t>
      </w:r>
    </w:p>
    <w:p w:rsidRPr="005618E3" w:rsidR="002D64C8" w:rsidP="004B0BBF" w:rsidRDefault="008B55A2" w14:paraId="0E8B57D1" w14:textId="77777777">
      <w:pPr>
        <w:pStyle w:val="Heading3"/>
        <w:rPr>
          <w:b w:val="0"/>
          <w:u w:val="none"/>
        </w:rPr>
      </w:pPr>
      <w:bookmarkStart w:name="_Toc206673016" w:id="86"/>
      <w:r>
        <w:t>Governmental Authority</w:t>
      </w:r>
      <w:r>
        <w:rPr>
          <w:u w:val="none"/>
        </w:rPr>
        <w:t xml:space="preserve">: </w:t>
      </w:r>
      <w:r>
        <w:rPr>
          <w:b w:val="0"/>
          <w:u w:val="none"/>
        </w:rPr>
        <w:t xml:space="preserve"> As applicable to the specific Party, facility, or event, any federal, state, or local governmental or regulatory authority, administrative agency, commission, department, board, or court that has jurisdiction over that Party, the Facility, or the subject matter of this PPA, but excluding any federal, state, or local governmental or regulatory authority, administrative agency, commission, department, board, or other such entity acting in a capacity as lender, guarantor, or mortgagee.</w:t>
      </w:r>
      <w:bookmarkEnd w:id="86"/>
    </w:p>
    <w:p w:rsidRPr="00BF38B1" w:rsidR="00BF38B1" w:rsidP="0007464E" w:rsidRDefault="00BF38B1" w14:paraId="0BE947E0" w14:textId="2877BCAC">
      <w:pPr>
        <w:spacing w:before="120" w:after="120" w:line="240" w:lineRule="auto"/>
        <w:rPr>
          <w:rFonts w:ascii="Arial" w:hAnsi="Arial" w:cs="Arial"/>
          <w:sz w:val="20"/>
          <w:szCs w:val="20"/>
        </w:rPr>
      </w:pPr>
      <w:r w:rsidRPr="00BF38B1">
        <w:rPr>
          <w:rFonts w:ascii="Arial" w:hAnsi="Arial" w:cs="Arial"/>
          <w:b/>
          <w:bCs/>
          <w:sz w:val="20"/>
          <w:szCs w:val="20"/>
          <w:u w:val="single"/>
        </w:rPr>
        <w:t>GPC:</w:t>
      </w:r>
      <w:r w:rsidRPr="00BF38B1">
        <w:rPr>
          <w:rFonts w:ascii="Arial" w:hAnsi="Arial" w:cs="Arial"/>
          <w:sz w:val="20"/>
          <w:szCs w:val="20"/>
        </w:rPr>
        <w:t xml:space="preserve"> </w:t>
      </w:r>
      <w:r>
        <w:rPr>
          <w:rFonts w:ascii="Arial" w:hAnsi="Arial" w:cs="Arial"/>
          <w:sz w:val="20"/>
          <w:szCs w:val="20"/>
        </w:rPr>
        <w:t xml:space="preserve">Georgia Power Company, </w:t>
      </w:r>
      <w:r w:rsidR="002342EB">
        <w:rPr>
          <w:rFonts w:ascii="Arial" w:hAnsi="Arial" w:cs="Arial"/>
          <w:sz w:val="20"/>
          <w:szCs w:val="20"/>
        </w:rPr>
        <w:t xml:space="preserve">a Georgia corporation, </w:t>
      </w:r>
      <w:r>
        <w:rPr>
          <w:rFonts w:ascii="Arial" w:hAnsi="Arial" w:cs="Arial"/>
          <w:sz w:val="20"/>
          <w:szCs w:val="20"/>
        </w:rPr>
        <w:t>as specified in the preamble</w:t>
      </w:r>
      <w:r w:rsidRPr="00BF38B1">
        <w:rPr>
          <w:rFonts w:ascii="Arial" w:hAnsi="Arial" w:cs="Arial"/>
          <w:sz w:val="20"/>
          <w:szCs w:val="20"/>
        </w:rPr>
        <w:t>.</w:t>
      </w:r>
    </w:p>
    <w:p w:rsidR="00276485" w:rsidP="004B0BBF" w:rsidRDefault="008B55A2" w14:paraId="12B4934B" w14:textId="77777777">
      <w:pPr>
        <w:pStyle w:val="Heading3"/>
        <w:rPr>
          <w:rFonts w:cs="Arial"/>
          <w:b w:val="0"/>
          <w:bCs w:val="0"/>
          <w:u w:val="none"/>
        </w:rPr>
      </w:pPr>
      <w:bookmarkStart w:name="_Toc206673017" w:id="87"/>
      <w:r>
        <w:lastRenderedPageBreak/>
        <w:t>GPC-Related Party</w:t>
      </w:r>
      <w:r>
        <w:rPr>
          <w:rFonts w:cs="Arial"/>
          <w:u w:val="none"/>
        </w:rPr>
        <w:t xml:space="preserve">: </w:t>
      </w:r>
      <w:r>
        <w:rPr>
          <w:rFonts w:cs="Arial"/>
          <w:b w:val="0"/>
          <w:bCs w:val="0"/>
          <w:u w:val="none"/>
        </w:rPr>
        <w:t>Each of GPC, Southern Company, and their Affiliates, and the officers, directors, employees, representatives, and agents of each of them.</w:t>
      </w:r>
      <w:bookmarkEnd w:id="87"/>
    </w:p>
    <w:p w:rsidR="00755468" w:rsidP="0007464E" w:rsidRDefault="00A70DA0" w14:paraId="288A4EE9" w14:textId="6B95E9F2">
      <w:pPr>
        <w:spacing w:before="120" w:after="120" w:line="240" w:lineRule="auto"/>
        <w:rPr>
          <w:rFonts w:ascii="Arial" w:hAnsi="Arial" w:cs="Arial"/>
          <w:sz w:val="20"/>
          <w:szCs w:val="20"/>
        </w:rPr>
      </w:pPr>
      <w:r w:rsidRPr="00C33622">
        <w:rPr>
          <w:rFonts w:ascii="Arial" w:hAnsi="Arial" w:cs="Arial"/>
          <w:b/>
          <w:bCs/>
          <w:sz w:val="20"/>
          <w:szCs w:val="20"/>
          <w:u w:val="single"/>
        </w:rPr>
        <w:t>GPC Consolidation</w:t>
      </w:r>
      <w:r w:rsidRPr="00C33622">
        <w:rPr>
          <w:rFonts w:ascii="Arial" w:hAnsi="Arial" w:cs="Arial"/>
          <w:sz w:val="20"/>
          <w:szCs w:val="20"/>
        </w:rPr>
        <w:t>: As defined in Section 2.1.8(i) (</w:t>
      </w:r>
      <w:r w:rsidRPr="00C33622">
        <w:rPr>
          <w:rFonts w:ascii="Arial" w:hAnsi="Arial" w:cs="Arial"/>
          <w:i/>
          <w:iCs/>
          <w:sz w:val="20"/>
          <w:szCs w:val="20"/>
        </w:rPr>
        <w:t>VIE Certification</w:t>
      </w:r>
      <w:r w:rsidRPr="00C33622">
        <w:rPr>
          <w:rFonts w:ascii="Arial" w:hAnsi="Arial" w:cs="Arial"/>
          <w:sz w:val="20"/>
          <w:szCs w:val="20"/>
        </w:rPr>
        <w:t>).</w:t>
      </w:r>
    </w:p>
    <w:p w:rsidRPr="00A70DA0" w:rsidR="00520513" w:rsidP="00814DA8" w:rsidRDefault="00520513" w14:paraId="3F419E72" w14:textId="64545FD5">
      <w:pPr>
        <w:spacing w:before="120" w:after="120" w:line="240" w:lineRule="auto"/>
        <w:jc w:val="both"/>
        <w:rPr>
          <w:rFonts w:ascii="Arial" w:hAnsi="Arial" w:cs="Arial"/>
          <w:sz w:val="20"/>
          <w:szCs w:val="20"/>
        </w:rPr>
      </w:pPr>
      <w:r w:rsidRPr="008213FF">
        <w:rPr>
          <w:rFonts w:ascii="Arial" w:hAnsi="Arial" w:cs="Arial"/>
          <w:b/>
          <w:bCs/>
          <w:sz w:val="20"/>
          <w:szCs w:val="20"/>
          <w:u w:val="single"/>
        </w:rPr>
        <w:t>GPC Election Deadline</w:t>
      </w:r>
      <w:r w:rsidRPr="008213FF">
        <w:rPr>
          <w:rFonts w:ascii="Arial" w:hAnsi="Arial" w:cs="Arial"/>
          <w:b/>
          <w:bCs/>
          <w:sz w:val="20"/>
          <w:szCs w:val="20"/>
        </w:rPr>
        <w:t xml:space="preserve">: </w:t>
      </w:r>
      <w:r w:rsidRPr="008213FF">
        <w:rPr>
          <w:rFonts w:ascii="Arial" w:hAnsi="Arial" w:cs="Arial"/>
          <w:sz w:val="20"/>
          <w:szCs w:val="20"/>
        </w:rPr>
        <w:t>(i) with respect to an Excess Expenditures Notice concerning capital expenditures, Taxes, or operating costs, the date that is 180 Days after GPC’s receipt of the Excess Expenditures Notice; and (ii) with respect to an Initial Tariff Notice, the date that is 90 Days after GPC’s receipt of the Initial Tariff Notice.</w:t>
      </w:r>
    </w:p>
    <w:p w:rsidRPr="00F72165" w:rsidR="00F72165" w:rsidP="00AC5363" w:rsidRDefault="00F72165" w14:paraId="10138E2E" w14:textId="7AE399CA">
      <w:pPr>
        <w:spacing w:before="120" w:after="120" w:line="240" w:lineRule="auto"/>
        <w:jc w:val="both"/>
        <w:rPr>
          <w:rFonts w:ascii="Arial" w:hAnsi="Arial" w:cs="Arial"/>
          <w:sz w:val="20"/>
          <w:szCs w:val="20"/>
        </w:rPr>
      </w:pPr>
      <w:r w:rsidRPr="002B0326">
        <w:rPr>
          <w:rFonts w:ascii="Arial" w:hAnsi="Arial" w:cs="Arial"/>
          <w:b/>
          <w:sz w:val="20"/>
          <w:szCs w:val="20"/>
          <w:u w:val="single"/>
        </w:rPr>
        <w:t>GPC Election Notice</w:t>
      </w:r>
      <w:r w:rsidRPr="00F72165">
        <w:rPr>
          <w:rFonts w:ascii="Arial" w:hAnsi="Arial" w:cs="Arial"/>
          <w:b/>
          <w:bCs/>
          <w:sz w:val="20"/>
          <w:szCs w:val="20"/>
        </w:rPr>
        <w:t>:</w:t>
      </w:r>
      <w:r w:rsidRPr="00F72165">
        <w:rPr>
          <w:rFonts w:ascii="Arial" w:hAnsi="Arial" w:cs="Arial"/>
          <w:sz w:val="20"/>
          <w:szCs w:val="20"/>
        </w:rPr>
        <w:t xml:space="preserve"> </w:t>
      </w:r>
      <w:r w:rsidRPr="00341121" w:rsidR="000F125F">
        <w:rPr>
          <w:rFonts w:ascii="Arial" w:hAnsi="Arial" w:cs="Arial"/>
          <w:sz w:val="20"/>
          <w:szCs w:val="20"/>
        </w:rPr>
        <w:t>Written notice from GPC to Seller of GPC’s election to pay an ACP Adjustment</w:t>
      </w:r>
      <w:r w:rsidR="000F125F">
        <w:rPr>
          <w:rFonts w:ascii="Arial" w:hAnsi="Arial" w:cs="Arial"/>
          <w:sz w:val="20"/>
          <w:szCs w:val="20"/>
        </w:rPr>
        <w:t>, implement Operational Alternatives,</w:t>
      </w:r>
      <w:r w:rsidRPr="00341121" w:rsidR="000F125F">
        <w:rPr>
          <w:rFonts w:ascii="Arial" w:hAnsi="Arial" w:cs="Arial"/>
          <w:sz w:val="20"/>
          <w:szCs w:val="20"/>
        </w:rPr>
        <w:t xml:space="preserve"> or terminate the PPA</w:t>
      </w:r>
      <w:r w:rsidRPr="00F72165">
        <w:rPr>
          <w:rFonts w:ascii="Arial" w:hAnsi="Arial" w:cs="Arial"/>
          <w:sz w:val="20"/>
          <w:szCs w:val="20"/>
        </w:rPr>
        <w:t>.</w:t>
      </w:r>
    </w:p>
    <w:p w:rsidRPr="000D001A" w:rsidR="002D54C4" w:rsidP="004B0BBF" w:rsidRDefault="008B55A2" w14:paraId="2DC925E1" w14:textId="77777777">
      <w:pPr>
        <w:pStyle w:val="Heading3"/>
      </w:pPr>
      <w:bookmarkStart w:name="_Toc206673018" w:id="88"/>
      <w:r>
        <w:rPr>
          <w:rFonts w:cs="Arial"/>
        </w:rPr>
        <w:t>GPC Security Account</w:t>
      </w:r>
      <w:r>
        <w:rPr>
          <w:rFonts w:cs="Arial"/>
          <w:u w:val="none"/>
        </w:rPr>
        <w:t xml:space="preserve">: </w:t>
      </w:r>
      <w:r>
        <w:rPr>
          <w:b w:val="0"/>
          <w:u w:val="none"/>
        </w:rPr>
        <w:t xml:space="preserve"> An account designated by GPC for the benefit of GPC, under the exclusive control of GPC and free of any liens (including the lien of any lender) of any Person or entity other than GPC. Any GPC Security Account will be established and maintained at the expense of Seller and held by a depositary bank acceptable to GPC under a control agreement in form and substance acceptable to GPC.</w:t>
      </w:r>
      <w:bookmarkEnd w:id="88"/>
    </w:p>
    <w:p w:rsidRPr="000D001A" w:rsidR="002D54C4" w:rsidP="004B0BBF" w:rsidRDefault="008B55A2" w14:paraId="18BF0221" w14:textId="7E434D48">
      <w:pPr>
        <w:pStyle w:val="Heading3"/>
      </w:pPr>
      <w:bookmarkStart w:name="_Toc206673019" w:id="89"/>
      <w:r>
        <w:t>Grid Charging</w:t>
      </w:r>
      <w:r>
        <w:rPr>
          <w:u w:val="none"/>
        </w:rPr>
        <w:t xml:space="preserve">: </w:t>
      </w:r>
      <w:r>
        <w:rPr>
          <w:b w:val="0"/>
          <w:u w:val="none"/>
        </w:rPr>
        <w:t>Charging the</w:t>
      </w:r>
      <w:r>
        <w:rPr>
          <w:b w:val="0"/>
          <w:bCs w:val="0"/>
          <w:u w:val="none"/>
        </w:rPr>
        <w:t xml:space="preserve"> BESS</w:t>
      </w:r>
      <w:r>
        <w:rPr>
          <w:b w:val="0"/>
          <w:u w:val="none"/>
        </w:rPr>
        <w:t xml:space="preserve"> from the Electric System.</w:t>
      </w:r>
      <w:bookmarkEnd w:id="89"/>
      <w:r>
        <w:rPr>
          <w:b w:val="0"/>
          <w:u w:val="none"/>
        </w:rPr>
        <w:t xml:space="preserve">  </w:t>
      </w:r>
    </w:p>
    <w:p w:rsidRPr="00BF7D6E" w:rsidR="00BF7D6E" w:rsidP="0007464E" w:rsidRDefault="008B55A2" w14:paraId="72C17A36" w14:textId="77777777">
      <w:pPr>
        <w:pStyle w:val="Heading3"/>
        <w:rPr>
          <w:rFonts w:cs="Arial"/>
          <w:b w:val="0"/>
          <w:bCs w:val="0"/>
          <w:u w:val="none"/>
        </w:rPr>
      </w:pPr>
      <w:bookmarkStart w:name="_Toc206673020" w:id="90"/>
      <w:r>
        <w:rPr>
          <w:rFonts w:cs="Arial"/>
        </w:rPr>
        <w:t>Grid Charging Energy</w:t>
      </w:r>
      <w:r w:rsidRPr="00221E8B">
        <w:rPr>
          <w:rFonts w:cs="Arial"/>
          <w:u w:val="none"/>
        </w:rPr>
        <w:t xml:space="preserve">: </w:t>
      </w:r>
      <w:r>
        <w:rPr>
          <w:rFonts w:cs="Arial"/>
          <w:b w:val="0"/>
          <w:bCs w:val="0"/>
          <w:u w:val="none"/>
        </w:rPr>
        <w:t>Charging Energy supplied via Grid Charging.</w:t>
      </w:r>
      <w:bookmarkEnd w:id="90"/>
    </w:p>
    <w:p w:rsidRPr="000D001A" w:rsidR="00302ABF" w:rsidP="004B0BBF" w:rsidRDefault="008B55A2" w14:paraId="037A5BBD" w14:textId="351C9963">
      <w:pPr>
        <w:pStyle w:val="Heading3"/>
      </w:pPr>
      <w:bookmarkStart w:name="_Toc206673021" w:id="91"/>
      <w:r>
        <w:rPr>
          <w:rFonts w:cs="Arial"/>
        </w:rPr>
        <w:t>Guaranteed RTE</w:t>
      </w:r>
      <w:r>
        <w:rPr>
          <w:rFonts w:cs="Arial"/>
          <w:u w:val="none"/>
        </w:rPr>
        <w:t xml:space="preserve">: </w:t>
      </w:r>
      <w:r>
        <w:rPr>
          <w:b w:val="0"/>
          <w:bCs w:val="0"/>
          <w:u w:val="none"/>
        </w:rPr>
        <w:t xml:space="preserve">The guaranteed Round-Trip Efficiency rate of the BESS stated in </w:t>
      </w:r>
      <w:r>
        <w:rPr>
          <w:b w:val="0"/>
          <w:u w:val="none"/>
        </w:rPr>
        <w:t xml:space="preserve">Table A-3 </w:t>
      </w:r>
      <w:r w:rsidR="00B22641">
        <w:rPr>
          <w:b w:val="0"/>
          <w:u w:val="none"/>
        </w:rPr>
        <w:t>(</w:t>
      </w:r>
      <w:r w:rsidRPr="00B22641" w:rsidR="00B22641">
        <w:rPr>
          <w:b w:val="0"/>
          <w:i/>
          <w:iCs/>
          <w:u w:val="none"/>
        </w:rPr>
        <w:t>Additional Facility and Operating Information</w:t>
      </w:r>
      <w:r w:rsidR="00B22641">
        <w:rPr>
          <w:b w:val="0"/>
          <w:u w:val="none"/>
        </w:rPr>
        <w:t xml:space="preserve">) </w:t>
      </w:r>
      <w:r>
        <w:rPr>
          <w:b w:val="0"/>
          <w:u w:val="none"/>
        </w:rPr>
        <w:t>in Exhibit A (</w:t>
      </w:r>
      <w:r>
        <w:rPr>
          <w:b w:val="0"/>
          <w:i/>
          <w:u w:val="none"/>
        </w:rPr>
        <w:t>Facility Description and Additional Details</w:t>
      </w:r>
      <w:r>
        <w:rPr>
          <w:b w:val="0"/>
          <w:u w:val="none"/>
        </w:rPr>
        <w:t>)</w:t>
      </w:r>
      <w:r>
        <w:rPr>
          <w:b w:val="0"/>
          <w:bCs w:val="0"/>
          <w:u w:val="none"/>
        </w:rPr>
        <w:t>.</w:t>
      </w:r>
      <w:bookmarkEnd w:id="91"/>
    </w:p>
    <w:p w:rsidRPr="004B0BBF" w:rsidR="002D54C4" w:rsidP="004B0BBF" w:rsidRDefault="008B55A2" w14:paraId="081E075A" w14:textId="77777777">
      <w:pPr>
        <w:pStyle w:val="Heading3"/>
        <w:rPr>
          <w:b w:val="0"/>
          <w:u w:val="none"/>
        </w:rPr>
      </w:pPr>
      <w:bookmarkStart w:name="_Toc206673022" w:id="92"/>
      <w:r>
        <w:t>Hour</w:t>
      </w:r>
      <w:r>
        <w:rPr>
          <w:u w:val="none"/>
        </w:rPr>
        <w:t xml:space="preserve">: </w:t>
      </w:r>
      <w:r>
        <w:rPr>
          <w:b w:val="0"/>
          <w:u w:val="none"/>
        </w:rPr>
        <w:t>One of the 24 clock-hours of a Day. “</w:t>
      </w:r>
      <w:r>
        <w:rPr>
          <w:u w:val="none"/>
        </w:rPr>
        <w:t>Hourly</w:t>
      </w:r>
      <w:r>
        <w:rPr>
          <w:b w:val="0"/>
          <w:u w:val="none"/>
        </w:rPr>
        <w:t>” has a meaning correlative to that of Hour.</w:t>
      </w:r>
      <w:bookmarkEnd w:id="92"/>
      <w:r>
        <w:rPr>
          <w:b w:val="0"/>
          <w:u w:val="none"/>
        </w:rPr>
        <w:t xml:space="preserve"> </w:t>
      </w:r>
    </w:p>
    <w:p w:rsidRPr="006D1CCF" w:rsidR="006D1CCF" w:rsidP="0007464E" w:rsidRDefault="006D1CCF" w14:paraId="18367DEF" w14:textId="71F8337E">
      <w:pPr>
        <w:spacing w:before="120" w:after="120" w:line="240" w:lineRule="auto"/>
        <w:rPr>
          <w:rFonts w:ascii="Arial" w:hAnsi="Arial" w:cs="Arial"/>
          <w:sz w:val="20"/>
          <w:szCs w:val="20"/>
        </w:rPr>
      </w:pPr>
      <w:r w:rsidRPr="006D1CCF">
        <w:rPr>
          <w:rFonts w:ascii="Arial" w:hAnsi="Arial" w:cs="Arial"/>
          <w:b/>
          <w:bCs/>
          <w:sz w:val="20"/>
          <w:szCs w:val="20"/>
          <w:u w:val="single"/>
        </w:rPr>
        <w:t>Impasse Notice:</w:t>
      </w:r>
      <w:r w:rsidRPr="006D1CCF">
        <w:rPr>
          <w:rFonts w:ascii="Arial" w:hAnsi="Arial" w:cs="Arial"/>
          <w:sz w:val="20"/>
          <w:szCs w:val="20"/>
        </w:rPr>
        <w:t xml:space="preserve"> As defined in Section 19.1 (</w:t>
      </w:r>
      <w:r w:rsidRPr="006D1CCF">
        <w:rPr>
          <w:rFonts w:ascii="Arial" w:hAnsi="Arial" w:cs="Arial"/>
          <w:i/>
          <w:iCs/>
          <w:sz w:val="20"/>
          <w:szCs w:val="20"/>
        </w:rPr>
        <w:t>Notice of Dispute; Dispute Resolution Process</w:t>
      </w:r>
      <w:r w:rsidRPr="006D1CCF">
        <w:rPr>
          <w:rFonts w:ascii="Arial" w:hAnsi="Arial" w:cs="Arial"/>
          <w:sz w:val="20"/>
          <w:szCs w:val="20"/>
        </w:rPr>
        <w:t>).</w:t>
      </w:r>
    </w:p>
    <w:p w:rsidR="002D54C4" w:rsidP="004B0BBF" w:rsidRDefault="008B55A2" w14:paraId="030CC930" w14:textId="77777777">
      <w:pPr>
        <w:pStyle w:val="Heading3"/>
        <w:rPr>
          <w:rStyle w:val="zGNormalChar"/>
          <w:b w:val="0"/>
          <w:u w:val="none"/>
        </w:rPr>
      </w:pPr>
      <w:bookmarkStart w:name="_Toc206673023" w:id="93"/>
      <w:r>
        <w:rPr>
          <w:rFonts w:cs="Arial"/>
          <w:w w:val="0"/>
        </w:rPr>
        <w:t>Indebtedness</w:t>
      </w:r>
      <w:r>
        <w:rPr>
          <w:rFonts w:cs="Arial"/>
          <w:u w:val="none"/>
        </w:rPr>
        <w:t xml:space="preserve">: </w:t>
      </w:r>
      <w:r>
        <w:rPr>
          <w:rStyle w:val="zGNormalChar"/>
          <w:b w:val="0"/>
          <w:u w:val="none"/>
        </w:rPr>
        <w:t>For any Person, each of the following without duplication: (i) obligations of the Person for borrowed money evidenced by bonds, debentures, notes, loan agreements, or other similar instruments; (ii) purchase money indebtedness of the Person constituting an obligation to pay the deferred purchase price of property or services, other than trade payables incurred in the ordinary course of business; (iii) lease obligations of the Person that are capitalized on the balance sheet of the Person in accordance with GAAP; (iv) liabilities of the second Person secured by any lien on any property of the first Person, whether or not the liabilities have been assumed by the first Person; (v) liabilities of the Person regarding letters of credit, applications, or reimbursement agreements for the liabilities; (vi) net obligations of the Person under any swap or hedging agreement; or (vii) indebtedness of the Person owing under direct or indirect guarantees of indebtedness of any other Person or constituting obligations to purchase, acquire, or otherwise protect or insure a creditor against loss regarding indebtedness of any other Person, excluding endorsements of negotiable instruments for deposit or collection in the ordinary course of business.</w:t>
      </w:r>
      <w:bookmarkEnd w:id="93"/>
    </w:p>
    <w:p w:rsidRPr="00083400" w:rsidR="00083400" w:rsidP="00AC5363" w:rsidRDefault="00296C70" w14:paraId="64CB581B" w14:textId="088FD80B">
      <w:pPr>
        <w:jc w:val="both"/>
      </w:pPr>
      <w:r w:rsidRPr="00341121">
        <w:rPr>
          <w:rFonts w:ascii="Arial" w:hAnsi="Arial" w:cs="Arial"/>
          <w:b/>
          <w:bCs/>
          <w:sz w:val="20"/>
          <w:szCs w:val="20"/>
          <w:u w:val="single"/>
        </w:rPr>
        <w:t>Initial Capital Expenditures Notice</w:t>
      </w:r>
      <w:r w:rsidRPr="00341121">
        <w:rPr>
          <w:rFonts w:ascii="Arial" w:hAnsi="Arial" w:cs="Arial"/>
          <w:b/>
          <w:bCs/>
          <w:sz w:val="20"/>
          <w:szCs w:val="20"/>
        </w:rPr>
        <w:t xml:space="preserve">: </w:t>
      </w:r>
      <w:r w:rsidRPr="00341121">
        <w:rPr>
          <w:rFonts w:ascii="Arial" w:hAnsi="Arial" w:cs="Arial"/>
          <w:sz w:val="20"/>
          <w:szCs w:val="20"/>
        </w:rPr>
        <w:t>A preliminary Excess Expenditures Notice solely concerning additional capital costs that Seller must incur because of a Change of Law.</w:t>
      </w:r>
    </w:p>
    <w:p w:rsidR="002D54C4" w:rsidP="004B0BBF" w:rsidRDefault="008B55A2" w14:paraId="1C8EE07A" w14:textId="71546842">
      <w:pPr>
        <w:pStyle w:val="Heading3"/>
        <w:rPr>
          <w:rFonts w:cs="Arial"/>
          <w:b w:val="0"/>
          <w:u w:val="none"/>
        </w:rPr>
      </w:pPr>
      <w:bookmarkStart w:name="_Toc206673024" w:id="94"/>
      <w:r>
        <w:rPr>
          <w:rFonts w:cs="Arial"/>
        </w:rPr>
        <w:t>Initial Synchronization Date</w:t>
      </w:r>
      <w:r>
        <w:rPr>
          <w:rFonts w:cs="Arial"/>
          <w:u w:val="none"/>
        </w:rPr>
        <w:t xml:space="preserve">: </w:t>
      </w:r>
      <w:r>
        <w:rPr>
          <w:rFonts w:cs="Arial"/>
          <w:b w:val="0"/>
          <w:u w:val="none"/>
        </w:rPr>
        <w:t>The date that includes the first instant in time when energy discharged by the</w:t>
      </w:r>
      <w:r>
        <w:rPr>
          <w:b w:val="0"/>
          <w:bCs w:val="0"/>
          <w:u w:val="none"/>
        </w:rPr>
        <w:t xml:space="preserve"> BESS</w:t>
      </w:r>
      <w:r>
        <w:rPr>
          <w:rFonts w:cs="Arial"/>
          <w:b w:val="0"/>
          <w:u w:val="none"/>
        </w:rPr>
        <w:t xml:space="preserve"> is delivered to the POI in accordance with the IA.</w:t>
      </w:r>
      <w:bookmarkEnd w:id="94"/>
    </w:p>
    <w:p w:rsidRPr="00870272" w:rsidR="00870272" w:rsidP="00AC5363" w:rsidRDefault="00870272" w14:paraId="3E08ADFE" w14:textId="115FC2A4">
      <w:pPr>
        <w:jc w:val="both"/>
      </w:pPr>
      <w:r w:rsidRPr="00341121">
        <w:rPr>
          <w:rFonts w:ascii="Arial" w:hAnsi="Arial" w:cs="Arial"/>
          <w:b/>
          <w:bCs/>
          <w:sz w:val="20"/>
          <w:szCs w:val="20"/>
          <w:u w:val="single"/>
        </w:rPr>
        <w:t>Initial Tariff Notice</w:t>
      </w:r>
      <w:r w:rsidRPr="00341121">
        <w:rPr>
          <w:rFonts w:ascii="Arial" w:hAnsi="Arial" w:cs="Arial"/>
          <w:sz w:val="20"/>
          <w:szCs w:val="20"/>
        </w:rPr>
        <w:t xml:space="preserve">: A preliminary Excess Expenditures Notice solely concerning </w:t>
      </w:r>
      <w:r w:rsidR="005D7184">
        <w:rPr>
          <w:rFonts w:ascii="Arial" w:hAnsi="Arial" w:cs="Arial"/>
          <w:sz w:val="20"/>
          <w:szCs w:val="20"/>
        </w:rPr>
        <w:t>T</w:t>
      </w:r>
      <w:r w:rsidRPr="00341121">
        <w:rPr>
          <w:rFonts w:ascii="Arial" w:hAnsi="Arial" w:cs="Arial"/>
          <w:sz w:val="20"/>
          <w:szCs w:val="20"/>
        </w:rPr>
        <w:t>ariffs.</w:t>
      </w:r>
    </w:p>
    <w:p w:rsidRPr="000D001A" w:rsidR="00615C02" w:rsidP="004B0BBF" w:rsidRDefault="008B55A2" w14:paraId="304657FA" w14:textId="29935CE3">
      <w:pPr>
        <w:pStyle w:val="Heading3"/>
      </w:pPr>
      <w:bookmarkStart w:name="_Toc206673025" w:id="95"/>
      <w:r>
        <w:t>Interconnection Agreement (IA)</w:t>
      </w:r>
      <w:r>
        <w:rPr>
          <w:u w:val="none"/>
        </w:rPr>
        <w:t xml:space="preserve">: </w:t>
      </w:r>
      <w:r>
        <w:rPr>
          <w:b w:val="0"/>
          <w:bCs w:val="0"/>
          <w:u w:val="none"/>
        </w:rPr>
        <w:t xml:space="preserve">The agreement, entered into, </w:t>
      </w:r>
      <w:r w:rsidRPr="004B0BBF">
        <w:rPr>
          <w:b w:val="0"/>
          <w:u w:val="none"/>
        </w:rPr>
        <w:t>or to be entered into</w:t>
      </w:r>
      <w:r>
        <w:rPr>
          <w:b w:val="0"/>
          <w:bCs w:val="0"/>
          <w:u w:val="none"/>
        </w:rPr>
        <w:t>, between Seller and Interconnection Provider, in accordance with Section 8.1 (</w:t>
      </w:r>
      <w:r>
        <w:rPr>
          <w:b w:val="0"/>
          <w:i/>
          <w:u w:val="none"/>
        </w:rPr>
        <w:t>Interconnection</w:t>
      </w:r>
      <w:r>
        <w:rPr>
          <w:b w:val="0"/>
          <w:bCs w:val="0"/>
          <w:u w:val="none"/>
        </w:rPr>
        <w:t>), that provides for the construction and operation of the Interconnection Facilities and governs the interconnection and parallel operation of the Facility with the Electric System.</w:t>
      </w:r>
      <w:r>
        <w:rPr>
          <w:rStyle w:val="FootnoteReference"/>
          <w:b w:val="0"/>
          <w:bCs w:val="0"/>
          <w:u w:val="none"/>
        </w:rPr>
        <w:footnoteReference w:id="2"/>
      </w:r>
      <w:bookmarkEnd w:id="95"/>
    </w:p>
    <w:p w:rsidRPr="000D001A" w:rsidR="00AB126B" w:rsidP="002C7C53" w:rsidRDefault="008B55A2" w14:paraId="15A9F062" w14:textId="155F3ADF">
      <w:pPr>
        <w:pStyle w:val="Heading3"/>
        <w:rPr>
          <w:rFonts w:cs="Arial"/>
        </w:rPr>
      </w:pPr>
      <w:bookmarkStart w:name="_Toc206673026" w:id="96"/>
      <w:r>
        <w:rPr>
          <w:rFonts w:cs="Arial"/>
        </w:rPr>
        <w:t>Interconnection Facilities</w:t>
      </w:r>
      <w:r>
        <w:rPr>
          <w:rFonts w:cs="Arial"/>
          <w:u w:val="none"/>
        </w:rPr>
        <w:t>:</w:t>
      </w:r>
      <w:r w:rsidRPr="004B0BBF">
        <w:rPr>
          <w:u w:val="none"/>
        </w:rPr>
        <w:t xml:space="preserve"> </w:t>
      </w:r>
      <w:r>
        <w:rPr>
          <w:rFonts w:cs="Arial"/>
          <w:b w:val="0"/>
          <w:u w:val="none"/>
        </w:rPr>
        <w:t xml:space="preserve">The facilities described in the IA that: (i) must be installed or modified to enable the Facility to deliver the Contracted Capacity and associated energy; (ii) are owned by the Interconnection </w:t>
      </w:r>
      <w:r>
        <w:rPr>
          <w:rFonts w:cs="Arial"/>
          <w:b w:val="0"/>
          <w:u w:val="none"/>
        </w:rPr>
        <w:lastRenderedPageBreak/>
        <w:t>Provider; and (iii) are necessary to provide the physical electrical connection between the Facility and the Electric System.</w:t>
      </w:r>
      <w:bookmarkEnd w:id="96"/>
    </w:p>
    <w:p w:rsidRPr="000D001A" w:rsidR="007C66A1" w:rsidP="004B0BBF" w:rsidRDefault="008B55A2" w14:paraId="33779BEC" w14:textId="0EA24B99">
      <w:pPr>
        <w:pStyle w:val="Heading3"/>
        <w:rPr>
          <w:b w:val="0"/>
          <w:u w:val="none"/>
        </w:rPr>
      </w:pPr>
      <w:bookmarkStart w:name="_Toc206673027" w:id="97"/>
      <w:r>
        <w:t>Interconnection Limit</w:t>
      </w:r>
      <w:r>
        <w:rPr>
          <w:u w:val="none"/>
        </w:rPr>
        <w:t xml:space="preserve">: </w:t>
      </w:r>
      <w:r>
        <w:rPr>
          <w:b w:val="0"/>
          <w:u w:val="none"/>
        </w:rPr>
        <w:t>The maximum output amount of power allowed by the IA.</w:t>
      </w:r>
      <w:bookmarkEnd w:id="97"/>
    </w:p>
    <w:p w:rsidRPr="000D001A" w:rsidR="00615C02" w:rsidP="004B0BBF" w:rsidRDefault="008B55A2" w14:paraId="0EA568AE" w14:textId="113EB3E2">
      <w:pPr>
        <w:pStyle w:val="Heading3"/>
        <w:rPr>
          <w:b w:val="0"/>
          <w:u w:val="none"/>
        </w:rPr>
      </w:pPr>
      <w:bookmarkStart w:name="_Toc206673028" w:id="98"/>
      <w:r>
        <w:t>Interconnection Provider</w:t>
      </w:r>
      <w:r>
        <w:rPr>
          <w:u w:val="none"/>
        </w:rPr>
        <w:t xml:space="preserve">: </w:t>
      </w:r>
      <w:r>
        <w:rPr>
          <w:b w:val="0"/>
          <w:bCs w:val="0"/>
          <w:u w:val="none"/>
        </w:rPr>
        <w:t>The owner or operator of the Electric System responsible for providing transmission interconnection service to the Facility (i.e., GPC).</w:t>
      </w:r>
      <w:bookmarkEnd w:id="98"/>
    </w:p>
    <w:p w:rsidRPr="000D001A" w:rsidR="007F1209" w:rsidP="002C7C53" w:rsidRDefault="008B55A2" w14:paraId="7AAD9AAC" w14:textId="2D878ED7">
      <w:pPr>
        <w:pStyle w:val="Heading3"/>
      </w:pPr>
      <w:bookmarkStart w:name="_Toc206673029" w:id="99"/>
      <w:r>
        <w:t>Interconnection Study</w:t>
      </w:r>
      <w:r>
        <w:rPr>
          <w:u w:val="none"/>
        </w:rPr>
        <w:t xml:space="preserve">: </w:t>
      </w:r>
      <w:r>
        <w:rPr>
          <w:b w:val="0"/>
          <w:bCs w:val="0"/>
          <w:u w:val="none"/>
        </w:rPr>
        <w:t xml:space="preserve">A study by the Interconnection Provider in which the provider studies the Facility’s potential impact on the </w:t>
      </w:r>
      <w:r>
        <w:rPr>
          <w:rFonts w:eastAsia="PMingLiU"/>
          <w:b w:val="0"/>
          <w:bCs w:val="0"/>
          <w:u w:val="none"/>
        </w:rPr>
        <w:t>Electric</w:t>
      </w:r>
      <w:r>
        <w:rPr>
          <w:b w:val="0"/>
          <w:bCs w:val="0"/>
          <w:u w:val="none"/>
        </w:rPr>
        <w:t xml:space="preserve"> System to determine necessary Interconnection Facilities and Electric System improvements or affected system upgrades, the estimated related costs, and the schedule of construction, for purposes of entering into an IA or amending an existing IA.</w:t>
      </w:r>
      <w:bookmarkEnd w:id="99"/>
    </w:p>
    <w:p w:rsidRPr="000D001A" w:rsidR="002D54C4" w:rsidP="004B0BBF" w:rsidRDefault="008B55A2" w14:paraId="7113B2EA" w14:textId="77777777">
      <w:pPr>
        <w:pStyle w:val="Heading3"/>
      </w:pPr>
      <w:bookmarkStart w:name="_Toc206673030" w:id="100"/>
      <w:r>
        <w:t>Interconnection Study Agreement</w:t>
      </w:r>
      <w:r>
        <w:rPr>
          <w:u w:val="none"/>
        </w:rPr>
        <w:t xml:space="preserve">: </w:t>
      </w:r>
      <w:r>
        <w:rPr>
          <w:b w:val="0"/>
          <w:bCs w:val="0"/>
          <w:u w:val="none"/>
        </w:rPr>
        <w:t>An agreement between Seller and the Interconnection Provider under which the Interconnection Provider performs the Interconnection Study.</w:t>
      </w:r>
      <w:bookmarkEnd w:id="100"/>
      <w:r>
        <w:rPr>
          <w:u w:val="none"/>
        </w:rPr>
        <w:t xml:space="preserve"> </w:t>
      </w:r>
    </w:p>
    <w:p w:rsidRPr="004B0BBF" w:rsidR="002D54C4" w:rsidP="004B0BBF" w:rsidRDefault="008B55A2" w14:paraId="1BC3B3B8" w14:textId="77777777">
      <w:pPr>
        <w:pStyle w:val="Heading3"/>
        <w:rPr>
          <w:b w:val="0"/>
          <w:u w:val="none"/>
        </w:rPr>
      </w:pPr>
      <w:bookmarkStart w:name="_Toc206673031" w:id="101"/>
      <w:r>
        <w:rPr>
          <w:rFonts w:cs="Arial"/>
        </w:rPr>
        <w:t>Interest Rate</w:t>
      </w:r>
      <w:r>
        <w:rPr>
          <w:rFonts w:cs="Arial"/>
          <w:u w:val="none"/>
        </w:rPr>
        <w:t xml:space="preserve">: </w:t>
      </w:r>
      <w:r>
        <w:rPr>
          <w:b w:val="0"/>
          <w:u w:val="none"/>
        </w:rPr>
        <w:t xml:space="preserve">Interest per annum equal to the prime rate as published in </w:t>
      </w:r>
      <w:r>
        <w:rPr>
          <w:b w:val="0"/>
          <w:i/>
          <w:u w:val="none"/>
        </w:rPr>
        <w:t>The Wall Street Journal</w:t>
      </w:r>
      <w:r>
        <w:rPr>
          <w:b w:val="0"/>
          <w:u w:val="none"/>
        </w:rPr>
        <w:t>, or comparable successor publication, under “Money Rates,” as applied daily and compounded quarterly.</w:t>
      </w:r>
      <w:bookmarkEnd w:id="101"/>
    </w:p>
    <w:p w:rsidRPr="00D25A01" w:rsidR="00D25A01" w:rsidP="00BC0BD1" w:rsidRDefault="00D25A01" w14:paraId="7B04C22A" w14:textId="741D9094">
      <w:pPr>
        <w:spacing w:before="120" w:after="120" w:line="240" w:lineRule="auto"/>
        <w:jc w:val="both"/>
        <w:rPr>
          <w:rFonts w:ascii="Arial" w:hAnsi="Arial" w:cs="Arial"/>
          <w:sz w:val="20"/>
          <w:szCs w:val="20"/>
        </w:rPr>
      </w:pPr>
      <w:r w:rsidRPr="00377953">
        <w:rPr>
          <w:rFonts w:ascii="Arial" w:hAnsi="Arial" w:cs="Arial"/>
          <w:b/>
          <w:sz w:val="20"/>
          <w:szCs w:val="20"/>
          <w:u w:val="single"/>
        </w:rPr>
        <w:t>ITS Participant</w:t>
      </w:r>
      <w:r w:rsidRPr="00D25A01">
        <w:rPr>
          <w:rFonts w:ascii="Arial" w:hAnsi="Arial" w:cs="Arial"/>
          <w:b/>
          <w:bCs/>
          <w:sz w:val="20"/>
          <w:szCs w:val="20"/>
        </w:rPr>
        <w:t xml:space="preserve">: </w:t>
      </w:r>
      <w:r>
        <w:rPr>
          <w:rFonts w:ascii="Arial" w:hAnsi="Arial" w:cs="Arial"/>
          <w:sz w:val="20"/>
          <w:szCs w:val="20"/>
        </w:rPr>
        <w:t xml:space="preserve">Any of Dalton Utilities, Georgia Transmission Corporation, </w:t>
      </w:r>
      <w:r w:rsidR="00130370">
        <w:rPr>
          <w:rFonts w:ascii="Arial" w:hAnsi="Arial" w:cs="Arial"/>
          <w:sz w:val="20"/>
          <w:szCs w:val="20"/>
        </w:rPr>
        <w:t>or</w:t>
      </w:r>
      <w:r w:rsidR="00B27C58">
        <w:rPr>
          <w:rFonts w:ascii="Arial" w:hAnsi="Arial" w:cs="Arial"/>
          <w:sz w:val="20"/>
          <w:szCs w:val="20"/>
        </w:rPr>
        <w:t xml:space="preserve"> the</w:t>
      </w:r>
      <w:r w:rsidR="00314BBE">
        <w:rPr>
          <w:rFonts w:ascii="Arial" w:hAnsi="Arial" w:cs="Arial"/>
          <w:sz w:val="20"/>
          <w:szCs w:val="20"/>
        </w:rPr>
        <w:t xml:space="preserve"> Municipal Electric Authority of Georgia.</w:t>
      </w:r>
      <w:r w:rsidR="00D51302">
        <w:rPr>
          <w:rFonts w:ascii="Arial" w:hAnsi="Arial" w:cs="Arial"/>
          <w:sz w:val="20"/>
          <w:szCs w:val="20"/>
        </w:rPr>
        <w:t xml:space="preserve"> As used in this PPA, ITS Participant excludes </w:t>
      </w:r>
      <w:r w:rsidR="00864C68">
        <w:rPr>
          <w:rFonts w:ascii="Arial" w:hAnsi="Arial" w:cs="Arial"/>
          <w:sz w:val="20"/>
          <w:szCs w:val="20"/>
        </w:rPr>
        <w:t>GPC</w:t>
      </w:r>
      <w:r w:rsidR="00D51302">
        <w:rPr>
          <w:rFonts w:ascii="Arial" w:hAnsi="Arial" w:cs="Arial"/>
          <w:sz w:val="20"/>
          <w:szCs w:val="20"/>
        </w:rPr>
        <w:t>.</w:t>
      </w:r>
      <w:r>
        <w:rPr>
          <w:rFonts w:ascii="Arial" w:hAnsi="Arial" w:cs="Arial"/>
          <w:sz w:val="20"/>
          <w:szCs w:val="20"/>
        </w:rPr>
        <w:t xml:space="preserve"> </w:t>
      </w:r>
    </w:p>
    <w:p w:rsidRPr="00D25A01" w:rsidR="009F3C65" w:rsidP="0007464E" w:rsidRDefault="009F3C65" w14:paraId="0220441D" w14:textId="29081459">
      <w:pPr>
        <w:spacing w:before="120" w:after="120" w:line="240" w:lineRule="auto"/>
        <w:rPr>
          <w:rFonts w:ascii="Arial" w:hAnsi="Arial" w:cs="Arial"/>
          <w:sz w:val="20"/>
          <w:szCs w:val="20"/>
        </w:rPr>
      </w:pPr>
      <w:r w:rsidRPr="009F3C65">
        <w:rPr>
          <w:rFonts w:ascii="Arial" w:hAnsi="Arial" w:cs="Arial"/>
          <w:b/>
          <w:bCs/>
          <w:sz w:val="20"/>
          <w:szCs w:val="20"/>
          <w:u w:val="single"/>
        </w:rPr>
        <w:t>JAMS:</w:t>
      </w:r>
      <w:r>
        <w:rPr>
          <w:rFonts w:ascii="Arial" w:hAnsi="Arial" w:cs="Arial"/>
          <w:sz w:val="20"/>
          <w:szCs w:val="20"/>
        </w:rPr>
        <w:t xml:space="preserve"> </w:t>
      </w:r>
      <w:r w:rsidRPr="00A84F20">
        <w:rPr>
          <w:rFonts w:ascii="Arial" w:hAnsi="Arial" w:cs="Arial"/>
          <w:sz w:val="20"/>
          <w:szCs w:val="20"/>
        </w:rPr>
        <w:t>As defined in Section 19.3.1 (</w:t>
      </w:r>
      <w:r w:rsidRPr="00A84F20">
        <w:rPr>
          <w:rFonts w:ascii="Arial" w:hAnsi="Arial" w:cs="Arial"/>
          <w:i/>
          <w:iCs/>
          <w:sz w:val="20"/>
          <w:szCs w:val="20"/>
        </w:rPr>
        <w:t>JAMS</w:t>
      </w:r>
      <w:r w:rsidRPr="00A84F20">
        <w:rPr>
          <w:rFonts w:ascii="Arial" w:hAnsi="Arial" w:cs="Arial"/>
          <w:sz w:val="20"/>
          <w:szCs w:val="20"/>
        </w:rPr>
        <w:t>).</w:t>
      </w:r>
    </w:p>
    <w:p w:rsidRPr="000D001A" w:rsidR="002D54C4" w:rsidP="004B0BBF" w:rsidRDefault="008B55A2" w14:paraId="3DD2654C" w14:textId="77777777">
      <w:pPr>
        <w:pStyle w:val="Heading3"/>
      </w:pPr>
      <w:bookmarkStart w:name="_Toc206673032" w:id="102"/>
      <w:r>
        <w:t>Key Milestones</w:t>
      </w:r>
      <w:r>
        <w:rPr>
          <w:u w:val="none"/>
        </w:rPr>
        <w:t>:</w:t>
      </w:r>
      <w:r>
        <w:rPr>
          <w:b w:val="0"/>
          <w:u w:val="none"/>
        </w:rPr>
        <w:t xml:space="preserve"> Each of the milestones identified in Exhibit A-1 (</w:t>
      </w:r>
      <w:r>
        <w:rPr>
          <w:b w:val="0"/>
          <w:i/>
          <w:u w:val="none"/>
        </w:rPr>
        <w:t>Key Milestones and Required Key Milestone Dates</w:t>
      </w:r>
      <w:r>
        <w:rPr>
          <w:b w:val="0"/>
          <w:u w:val="none"/>
        </w:rPr>
        <w:t>).</w:t>
      </w:r>
      <w:bookmarkEnd w:id="102"/>
    </w:p>
    <w:p w:rsidRPr="000D001A" w:rsidR="00D06584" w:rsidP="004B0BBF" w:rsidRDefault="008B55A2" w14:paraId="4B84EB14" w14:textId="77777777">
      <w:pPr>
        <w:pStyle w:val="Heading3"/>
        <w:rPr>
          <w:rFonts w:cs="Arial"/>
          <w:b w:val="0"/>
          <w:bCs w:val="0"/>
        </w:rPr>
      </w:pPr>
      <w:bookmarkStart w:name="_Toc206673033" w:id="103"/>
      <w:r>
        <w:rPr>
          <w:rFonts w:cs="Arial"/>
        </w:rPr>
        <w:t>Key Milestone Date</w:t>
      </w:r>
      <w:r>
        <w:rPr>
          <w:rFonts w:cs="Arial"/>
          <w:u w:val="none"/>
        </w:rPr>
        <w:t xml:space="preserve">: </w:t>
      </w:r>
      <w:r>
        <w:rPr>
          <w:rFonts w:cs="Arial"/>
          <w:b w:val="0"/>
          <w:bCs w:val="0"/>
          <w:u w:val="none"/>
        </w:rPr>
        <w:t xml:space="preserve">Each of the dates identified in </w:t>
      </w:r>
      <w:r>
        <w:rPr>
          <w:rFonts w:cs="Arial"/>
          <w:b w:val="0"/>
          <w:u w:val="none"/>
        </w:rPr>
        <w:t>Exhibit A-1 (</w:t>
      </w:r>
      <w:r>
        <w:rPr>
          <w:rFonts w:cs="Arial"/>
          <w:b w:val="0"/>
          <w:i/>
          <w:u w:val="none"/>
        </w:rPr>
        <w:t>Key Milestones and Required Key Milestone Dates</w:t>
      </w:r>
      <w:r>
        <w:rPr>
          <w:rFonts w:cs="Arial"/>
          <w:b w:val="0"/>
          <w:u w:val="none"/>
        </w:rPr>
        <w:t>)</w:t>
      </w:r>
      <w:r>
        <w:rPr>
          <w:rFonts w:cs="Arial"/>
          <w:b w:val="0"/>
          <w:bCs w:val="0"/>
          <w:u w:val="none"/>
        </w:rPr>
        <w:t xml:space="preserve"> as the date by which Seller guarantees the corresponding Key Milestone will be achieved.</w:t>
      </w:r>
      <w:bookmarkEnd w:id="103"/>
    </w:p>
    <w:p w:rsidRPr="000D001A" w:rsidR="002D54C4" w:rsidP="004B0BBF" w:rsidRDefault="008B55A2" w14:paraId="453B2945" w14:textId="0E69CB86">
      <w:pPr>
        <w:pStyle w:val="Heading3"/>
      </w:pPr>
      <w:bookmarkStart w:name="_Toc206673034" w:id="104"/>
      <w:r>
        <w:rPr>
          <w:rFonts w:cs="Arial"/>
        </w:rPr>
        <w:t>kV</w:t>
      </w:r>
      <w:r>
        <w:rPr>
          <w:rFonts w:cs="Arial"/>
          <w:u w:val="none"/>
        </w:rPr>
        <w:t xml:space="preserve">: </w:t>
      </w:r>
      <w:r>
        <w:rPr>
          <w:b w:val="0"/>
          <w:bCs w:val="0"/>
          <w:u w:val="none"/>
        </w:rPr>
        <w:t>Kilovolt</w:t>
      </w:r>
      <w:r>
        <w:rPr>
          <w:b w:val="0"/>
          <w:u w:val="none"/>
        </w:rPr>
        <w:t>(s).</w:t>
      </w:r>
      <w:bookmarkEnd w:id="104"/>
    </w:p>
    <w:p w:rsidRPr="000D001A" w:rsidR="002D54C4" w:rsidP="004B0BBF" w:rsidRDefault="008B55A2" w14:paraId="09AB0F17" w14:textId="73673790">
      <w:pPr>
        <w:pStyle w:val="Heading3"/>
      </w:pPr>
      <w:bookmarkStart w:name="_Toc206673035" w:id="105"/>
      <w:r>
        <w:rPr>
          <w:rFonts w:cs="Arial"/>
        </w:rPr>
        <w:t>kW</w:t>
      </w:r>
      <w:r>
        <w:rPr>
          <w:rFonts w:cs="Arial"/>
          <w:u w:val="none"/>
        </w:rPr>
        <w:t xml:space="preserve">: </w:t>
      </w:r>
      <w:r>
        <w:rPr>
          <w:b w:val="0"/>
          <w:bCs w:val="0"/>
          <w:u w:val="none"/>
        </w:rPr>
        <w:t>Kilowatt</w:t>
      </w:r>
      <w:r>
        <w:rPr>
          <w:b w:val="0"/>
          <w:u w:val="none"/>
        </w:rPr>
        <w:t>(s).</w:t>
      </w:r>
      <w:bookmarkEnd w:id="105"/>
    </w:p>
    <w:p w:rsidRPr="000D001A" w:rsidR="002D54C4" w:rsidP="004B0BBF" w:rsidRDefault="008B55A2" w14:paraId="026EA2BA" w14:textId="27F76B68">
      <w:pPr>
        <w:pStyle w:val="Heading3"/>
      </w:pPr>
      <w:bookmarkStart w:name="_Toc206673036" w:id="106"/>
      <w:r>
        <w:t>kWh</w:t>
      </w:r>
      <w:r>
        <w:rPr>
          <w:u w:val="none"/>
        </w:rPr>
        <w:t xml:space="preserve">: </w:t>
      </w:r>
      <w:r>
        <w:rPr>
          <w:b w:val="0"/>
          <w:bCs w:val="0"/>
          <w:u w:val="none"/>
        </w:rPr>
        <w:t>Kilowatt</w:t>
      </w:r>
      <w:r>
        <w:rPr>
          <w:b w:val="0"/>
          <w:u w:val="none"/>
        </w:rPr>
        <w:t>-hours (AC).</w:t>
      </w:r>
      <w:bookmarkEnd w:id="106"/>
    </w:p>
    <w:p w:rsidRPr="004B0BBF" w:rsidR="002D54C4" w:rsidP="004B0BBF" w:rsidRDefault="008B55A2" w14:paraId="696563FA" w14:textId="77777777">
      <w:pPr>
        <w:pStyle w:val="Heading3"/>
        <w:rPr>
          <w:b w:val="0"/>
          <w:u w:val="none"/>
        </w:rPr>
      </w:pPr>
      <w:bookmarkStart w:name="_Toc206673037" w:id="107"/>
      <w:r>
        <w:rPr>
          <w:rFonts w:cs="Arial"/>
        </w:rPr>
        <w:t>Letter of Credit</w:t>
      </w:r>
      <w:r>
        <w:rPr>
          <w:rFonts w:cs="Arial"/>
          <w:u w:val="none"/>
        </w:rPr>
        <w:t xml:space="preserve">: </w:t>
      </w:r>
      <w:r>
        <w:rPr>
          <w:rFonts w:cs="Arial"/>
          <w:b w:val="0"/>
          <w:u w:val="none"/>
        </w:rPr>
        <w:t>An irrevocable standby letter of credit that is: (i) substantially in the form set forth in Exhibit K (</w:t>
      </w:r>
      <w:r>
        <w:rPr>
          <w:rFonts w:cs="Arial"/>
          <w:b w:val="0"/>
          <w:i/>
          <w:u w:val="none"/>
        </w:rPr>
        <w:t>Form of Standby Letter of Credit</w:t>
      </w:r>
      <w:r>
        <w:rPr>
          <w:rFonts w:cs="Arial"/>
          <w:b w:val="0"/>
          <w:u w:val="none"/>
        </w:rPr>
        <w:t>); (ii) issued by a U.S. commercial bank or a U.S. branch of a foreign bank: (a) with total assets of at least 10 billion dollars ($10,000,000,000); and (b) having a general long-term senior unsecured debt rating of: (I) A minus or higher as rated by S&amp;P; (II) A3 or higher as rated by Moody’s; or (III) A minus or higher as rated by Fitch; and (iii) acceptable to GPC in GPC’s sole, but reasonable, discretion.</w:t>
      </w:r>
      <w:bookmarkEnd w:id="107"/>
    </w:p>
    <w:p w:rsidRPr="00CA117D" w:rsidR="00CA117D" w:rsidP="0007464E" w:rsidRDefault="00CA117D" w14:paraId="62532E88" w14:textId="781783E0">
      <w:pPr>
        <w:spacing w:before="120" w:after="120" w:line="240" w:lineRule="auto"/>
        <w:rPr>
          <w:rFonts w:ascii="Arial" w:hAnsi="Arial" w:cs="Arial"/>
          <w:sz w:val="20"/>
          <w:szCs w:val="20"/>
        </w:rPr>
      </w:pPr>
      <w:r w:rsidRPr="00CA117D">
        <w:rPr>
          <w:rFonts w:ascii="Arial" w:hAnsi="Arial" w:cs="Arial"/>
          <w:b/>
          <w:bCs/>
          <w:sz w:val="20"/>
          <w:szCs w:val="20"/>
          <w:u w:val="single"/>
        </w:rPr>
        <w:t>Losses</w:t>
      </w:r>
      <w:r w:rsidRPr="00CA117D">
        <w:rPr>
          <w:rFonts w:ascii="Arial" w:hAnsi="Arial" w:cs="Arial"/>
          <w:sz w:val="20"/>
          <w:szCs w:val="20"/>
        </w:rPr>
        <w:t>: As defined in Section 16.3.3 (</w:t>
      </w:r>
      <w:r w:rsidRPr="00CA117D">
        <w:rPr>
          <w:rFonts w:ascii="Arial" w:hAnsi="Arial" w:cs="Arial"/>
          <w:i/>
          <w:iCs/>
          <w:sz w:val="20"/>
          <w:szCs w:val="20"/>
        </w:rPr>
        <w:t>Determining Gains, Losses, and Costs</w:t>
      </w:r>
      <w:r w:rsidRPr="00CA117D">
        <w:rPr>
          <w:rFonts w:ascii="Arial" w:hAnsi="Arial" w:cs="Arial"/>
          <w:sz w:val="20"/>
          <w:szCs w:val="20"/>
        </w:rPr>
        <w:t>).</w:t>
      </w:r>
    </w:p>
    <w:p w:rsidRPr="000D001A" w:rsidR="002D54C4" w:rsidP="004B0BBF" w:rsidRDefault="008B55A2" w14:paraId="71B966AE" w14:textId="32236EED">
      <w:pPr>
        <w:pStyle w:val="Heading3"/>
        <w:rPr>
          <w:rFonts w:cs="Arial"/>
        </w:rPr>
      </w:pPr>
      <w:bookmarkStart w:name="_Toc206673038" w:id="108"/>
      <w:r>
        <w:rPr>
          <w:rFonts w:cs="Arial"/>
        </w:rPr>
        <w:t>Maintenance Outage</w:t>
      </w:r>
      <w:r>
        <w:rPr>
          <w:rFonts w:cs="Arial"/>
          <w:u w:val="none"/>
        </w:rPr>
        <w:t xml:space="preserve">: </w:t>
      </w:r>
      <w:r>
        <w:rPr>
          <w:rStyle w:val="zGNormalChar"/>
          <w:b w:val="0"/>
          <w:bCs w:val="0"/>
          <w:u w:val="none"/>
        </w:rPr>
        <w:t xml:space="preserve">A planned interruption of a portion or all of the Facility’s operational capability or the charging or discharging capability of </w:t>
      </w:r>
      <w:r w:rsidRPr="0051289A">
        <w:rPr>
          <w:rStyle w:val="zGNormalChar"/>
          <w:b w:val="0"/>
          <w:bCs w:val="0"/>
          <w:u w:val="none"/>
        </w:rPr>
        <w:t>the</w:t>
      </w:r>
      <w:r w:rsidRPr="0051289A">
        <w:rPr>
          <w:u w:val="none"/>
        </w:rPr>
        <w:t xml:space="preserve"> </w:t>
      </w:r>
      <w:r w:rsidRPr="0051289A">
        <w:rPr>
          <w:b w:val="0"/>
          <w:bCs w:val="0"/>
          <w:u w:val="none"/>
        </w:rPr>
        <w:t>BESS</w:t>
      </w:r>
      <w:r>
        <w:rPr>
          <w:rStyle w:val="zGNormalChar"/>
          <w:b w:val="0"/>
          <w:bCs w:val="0"/>
          <w:u w:val="none"/>
        </w:rPr>
        <w:t xml:space="preserve"> that: (i) has been coordinated in advance with GPC with a mutually agreed start date, time, and duration or to which GPC has consented in accordance with </w:t>
      </w:r>
      <w:r>
        <w:rPr>
          <w:rStyle w:val="zGNormalChar"/>
          <w:b w:val="0"/>
          <w:u w:val="none"/>
        </w:rPr>
        <w:t>Section 10.2.2 (</w:t>
      </w:r>
      <w:r>
        <w:rPr>
          <w:rStyle w:val="zGNormalChar"/>
          <w:b w:val="0"/>
          <w:i/>
          <w:u w:val="none"/>
        </w:rPr>
        <w:t>Maintenance Outages</w:t>
      </w:r>
      <w:r>
        <w:rPr>
          <w:rStyle w:val="zGNormalChar"/>
          <w:b w:val="0"/>
          <w:u w:val="none"/>
        </w:rPr>
        <w:t>);</w:t>
      </w:r>
      <w:r>
        <w:rPr>
          <w:rStyle w:val="zGNormalChar"/>
          <w:b w:val="0"/>
          <w:bCs w:val="0"/>
          <w:u w:val="none"/>
        </w:rPr>
        <w:t xml:space="preserve"> and (ii) is for the purpose of performing work on specific components of the Facility that would limit the operational capability of the Facility or the charging or discharging capability of the</w:t>
      </w:r>
      <w:r w:rsidRPr="004B0BBF">
        <w:t xml:space="preserve"> </w:t>
      </w:r>
      <w:r>
        <w:rPr>
          <w:b w:val="0"/>
          <w:bCs w:val="0"/>
          <w:u w:val="none"/>
        </w:rPr>
        <w:t>BESS</w:t>
      </w:r>
      <w:r>
        <w:rPr>
          <w:rStyle w:val="zGNormalChar"/>
          <w:b w:val="0"/>
          <w:bCs w:val="0"/>
          <w:u w:val="none"/>
        </w:rPr>
        <w:t xml:space="preserve"> but should not, in the reasonable judgment of Seller, be postponed until the next Scheduled Outage.</w:t>
      </w:r>
      <w:bookmarkEnd w:id="108"/>
    </w:p>
    <w:p w:rsidRPr="000D001A" w:rsidR="002D54C4" w:rsidP="004B0BBF" w:rsidRDefault="008B55A2" w14:paraId="70A51187" w14:textId="77777777">
      <w:pPr>
        <w:pStyle w:val="Heading3"/>
        <w:rPr>
          <w:rFonts w:cs="Arial"/>
        </w:rPr>
      </w:pPr>
      <w:bookmarkStart w:name="_Toc206673039" w:id="109"/>
      <w:r>
        <w:rPr>
          <w:rFonts w:cs="Arial"/>
        </w:rPr>
        <w:t>Maintenance Schedule</w:t>
      </w:r>
      <w:r>
        <w:rPr>
          <w:rFonts w:cs="Arial"/>
          <w:u w:val="none"/>
        </w:rPr>
        <w:t xml:space="preserve">: </w:t>
      </w:r>
      <w:r>
        <w:rPr>
          <w:rFonts w:cs="Arial"/>
          <w:b w:val="0"/>
          <w:u w:val="none"/>
        </w:rPr>
        <w:t>Seller’s maintenance schedule, including the scope of the maintenance, and outage plans for the Facility that conform to Prudent Industry Practices for similar equipment, including in terms of frequency and duration. Upon GPC approval, the Maintenance Schedule establishes Scheduled Outages.</w:t>
      </w:r>
      <w:bookmarkEnd w:id="109"/>
    </w:p>
    <w:p w:rsidRPr="000D001A" w:rsidR="002D54C4" w:rsidP="004B0BBF" w:rsidRDefault="008B55A2" w14:paraId="079E4CAD" w14:textId="6D3317F7">
      <w:pPr>
        <w:pStyle w:val="Heading3"/>
        <w:rPr>
          <w:rFonts w:cs="Arial"/>
        </w:rPr>
      </w:pPr>
      <w:bookmarkStart w:name="_Toc206673040" w:id="110"/>
      <w:r>
        <w:rPr>
          <w:rFonts w:cs="Arial"/>
        </w:rPr>
        <w:t>Material Adverse Change</w:t>
      </w:r>
      <w:r>
        <w:rPr>
          <w:rFonts w:cs="Arial"/>
          <w:u w:val="none"/>
        </w:rPr>
        <w:t xml:space="preserve">: </w:t>
      </w:r>
      <w:r>
        <w:rPr>
          <w:rFonts w:cs="Arial"/>
          <w:b w:val="0"/>
          <w:u w:val="none"/>
        </w:rPr>
        <w:t xml:space="preserve">Seller or, if Seller is providing Eligible Collateral in the form of a </w:t>
      </w:r>
      <w:r w:rsidR="00345AB0">
        <w:rPr>
          <w:rFonts w:cs="Arial"/>
          <w:b w:val="0"/>
          <w:u w:val="none"/>
        </w:rPr>
        <w:t xml:space="preserve">Seller </w:t>
      </w:r>
      <w:r>
        <w:rPr>
          <w:rFonts w:cs="Arial"/>
          <w:b w:val="0"/>
          <w:u w:val="none"/>
        </w:rPr>
        <w:t xml:space="preserve">Guaranty, </w:t>
      </w:r>
      <w:r w:rsidR="00345AB0">
        <w:rPr>
          <w:rFonts w:cs="Arial"/>
          <w:b w:val="0"/>
          <w:u w:val="none"/>
        </w:rPr>
        <w:t>Seller</w:t>
      </w:r>
      <w:r>
        <w:rPr>
          <w:rFonts w:cs="Arial"/>
          <w:b w:val="0"/>
          <w:u w:val="none"/>
        </w:rPr>
        <w:t xml:space="preserve"> Guarantor experiences any of the following conditions: (i) Seller or </w:t>
      </w:r>
      <w:r w:rsidR="00345AB0">
        <w:rPr>
          <w:rFonts w:cs="Arial"/>
          <w:b w:val="0"/>
          <w:u w:val="none"/>
        </w:rPr>
        <w:t xml:space="preserve">Seller </w:t>
      </w:r>
      <w:r>
        <w:rPr>
          <w:rFonts w:cs="Arial"/>
          <w:b w:val="0"/>
          <w:u w:val="none"/>
        </w:rPr>
        <w:t xml:space="preserve">Guarantor is no longer Creditworthy; or (ii) the maturity of any Indebtedness of Seller or </w:t>
      </w:r>
      <w:r w:rsidR="00345AB0">
        <w:rPr>
          <w:rFonts w:cs="Arial"/>
          <w:b w:val="0"/>
          <w:u w:val="none"/>
        </w:rPr>
        <w:t xml:space="preserve">Seller </w:t>
      </w:r>
      <w:r>
        <w:rPr>
          <w:rFonts w:cs="Arial"/>
          <w:b w:val="0"/>
          <w:u w:val="none"/>
        </w:rPr>
        <w:t xml:space="preserve">Guarantor that in the aggregate exceeds fifty million dollars ($50,000,000.00) or 3% of equity, whichever is less, is accelerated by the holder or holders of the Indebtedness because of a Seller or </w:t>
      </w:r>
      <w:r w:rsidR="00733905">
        <w:rPr>
          <w:rFonts w:cs="Arial"/>
          <w:b w:val="0"/>
          <w:u w:val="none"/>
        </w:rPr>
        <w:t xml:space="preserve">Seller </w:t>
      </w:r>
      <w:r>
        <w:rPr>
          <w:rFonts w:cs="Arial"/>
          <w:b w:val="0"/>
          <w:u w:val="none"/>
        </w:rPr>
        <w:t>Guarantor default regarding the Indebtedness.</w:t>
      </w:r>
      <w:bookmarkEnd w:id="110"/>
    </w:p>
    <w:p w:rsidRPr="000D001A" w:rsidR="00EE1169" w:rsidP="004B0BBF" w:rsidRDefault="008B55A2" w14:paraId="5EF03A39" w14:textId="21C1BF47">
      <w:pPr>
        <w:pStyle w:val="Heading3"/>
        <w:rPr>
          <w:rFonts w:cs="Arial"/>
        </w:rPr>
      </w:pPr>
      <w:bookmarkStart w:name="_Toc206673041" w:id="111"/>
      <w:r>
        <w:rPr>
          <w:rFonts w:cs="Arial"/>
          <w:w w:val="0"/>
        </w:rPr>
        <w:lastRenderedPageBreak/>
        <w:t>Maximum Rate of Charge (ROC)</w:t>
      </w:r>
      <w:r>
        <w:rPr>
          <w:rFonts w:cs="Arial"/>
          <w:w w:val="0"/>
          <w:u w:val="none"/>
        </w:rPr>
        <w:t xml:space="preserve">: </w:t>
      </w:r>
      <w:r>
        <w:rPr>
          <w:rFonts w:cs="Arial"/>
          <w:b w:val="0"/>
          <w:w w:val="0"/>
          <w:u w:val="none"/>
        </w:rPr>
        <w:t xml:space="preserve">The guaranteed maximum </w:t>
      </w:r>
      <w:r>
        <w:rPr>
          <w:b w:val="0"/>
          <w:u w:val="none"/>
        </w:rPr>
        <w:t>r</w:t>
      </w:r>
      <w:r>
        <w:rPr>
          <w:rFonts w:cs="Arial"/>
          <w:b w:val="0"/>
          <w:w w:val="0"/>
          <w:u w:val="none"/>
        </w:rPr>
        <w:t xml:space="preserve">ate of </w:t>
      </w:r>
      <w:r>
        <w:rPr>
          <w:b w:val="0"/>
          <w:u w:val="none"/>
        </w:rPr>
        <w:t>c</w:t>
      </w:r>
      <w:r>
        <w:rPr>
          <w:rFonts w:cs="Arial"/>
          <w:b w:val="0"/>
          <w:w w:val="0"/>
          <w:u w:val="none"/>
        </w:rPr>
        <w:t>harge of the</w:t>
      </w:r>
      <w:r w:rsidRPr="004B0BBF">
        <w:rPr>
          <w:b w:val="0"/>
          <w:u w:val="none"/>
        </w:rPr>
        <w:t xml:space="preserve"> </w:t>
      </w:r>
      <w:r>
        <w:rPr>
          <w:b w:val="0"/>
          <w:bCs w:val="0"/>
          <w:u w:val="none"/>
        </w:rPr>
        <w:t>BESS</w:t>
      </w:r>
      <w:r>
        <w:rPr>
          <w:rFonts w:cs="Arial"/>
          <w:b w:val="0"/>
          <w:u w:val="none"/>
        </w:rPr>
        <w:t>, as further defined in Exhibit C (</w:t>
      </w:r>
      <w:r>
        <w:rPr>
          <w:rFonts w:cs="Arial"/>
          <w:b w:val="0"/>
          <w:i/>
          <w:u w:val="none"/>
        </w:rPr>
        <w:t>Monthly Capacity Payments; Monthly Capacity Reductions; AGC Performance Metrics and Requirements</w:t>
      </w:r>
      <w:r>
        <w:rPr>
          <w:rFonts w:cs="Arial"/>
          <w:b w:val="0"/>
          <w:u w:val="none"/>
        </w:rPr>
        <w:t>).</w:t>
      </w:r>
      <w:bookmarkEnd w:id="111"/>
      <w:r>
        <w:rPr>
          <w:b w:val="0"/>
          <w:u w:val="none"/>
        </w:rPr>
        <w:t xml:space="preserve"> </w:t>
      </w:r>
    </w:p>
    <w:p w:rsidRPr="000D001A" w:rsidR="002D54C4" w:rsidP="004B0BBF" w:rsidRDefault="008B55A2" w14:paraId="40F69172" w14:textId="77777777">
      <w:pPr>
        <w:pStyle w:val="Heading3"/>
        <w:rPr>
          <w:rFonts w:cs="Arial"/>
        </w:rPr>
      </w:pPr>
      <w:bookmarkStart w:name="_Toc206673042" w:id="112"/>
      <w:r>
        <w:rPr>
          <w:rFonts w:cs="Arial"/>
        </w:rPr>
        <w:t>MCF</w:t>
      </w:r>
      <w:r>
        <w:rPr>
          <w:rFonts w:cs="Arial"/>
          <w:u w:val="none"/>
        </w:rPr>
        <w:t xml:space="preserve">: </w:t>
      </w:r>
      <w:r>
        <w:rPr>
          <w:rFonts w:cs="Arial"/>
          <w:b w:val="0"/>
          <w:u w:val="none"/>
        </w:rPr>
        <w:t>See</w:t>
      </w:r>
      <w:r>
        <w:rPr>
          <w:rFonts w:cs="Arial"/>
          <w:b w:val="0"/>
          <w:i/>
          <w:u w:val="none"/>
        </w:rPr>
        <w:t xml:space="preserve"> Monthly Capacity Fee</w:t>
      </w:r>
      <w:r>
        <w:rPr>
          <w:rFonts w:cs="Arial"/>
          <w:b w:val="0"/>
          <w:u w:val="none"/>
        </w:rPr>
        <w:t>.</w:t>
      </w:r>
      <w:bookmarkEnd w:id="112"/>
    </w:p>
    <w:p w:rsidRPr="000D001A" w:rsidR="002D54C4" w:rsidP="004B0BBF" w:rsidRDefault="008B55A2" w14:paraId="4E369C1A" w14:textId="77777777">
      <w:pPr>
        <w:pStyle w:val="Heading3"/>
        <w:rPr>
          <w:rFonts w:cs="Arial"/>
        </w:rPr>
      </w:pPr>
      <w:bookmarkStart w:name="_Toc206673043" w:id="113"/>
      <w:r>
        <w:rPr>
          <w:rFonts w:cs="Arial"/>
        </w:rPr>
        <w:t>MCP</w:t>
      </w:r>
      <w:r>
        <w:rPr>
          <w:rFonts w:cs="Arial"/>
          <w:u w:val="none"/>
        </w:rPr>
        <w:t xml:space="preserve">: </w:t>
      </w:r>
      <w:r>
        <w:rPr>
          <w:rFonts w:cs="Arial"/>
          <w:b w:val="0"/>
          <w:u w:val="none"/>
        </w:rPr>
        <w:t>See</w:t>
      </w:r>
      <w:r>
        <w:rPr>
          <w:rFonts w:cs="Arial"/>
          <w:b w:val="0"/>
          <w:i/>
          <w:u w:val="none"/>
        </w:rPr>
        <w:t xml:space="preserve"> Monthly Capacity Payment</w:t>
      </w:r>
      <w:r>
        <w:rPr>
          <w:rFonts w:cs="Arial"/>
          <w:b w:val="0"/>
          <w:u w:val="none"/>
        </w:rPr>
        <w:t>.</w:t>
      </w:r>
      <w:bookmarkEnd w:id="113"/>
    </w:p>
    <w:p w:rsidRPr="000D001A" w:rsidR="002D54C4" w:rsidP="004B0BBF" w:rsidRDefault="008B55A2" w14:paraId="200F7B8C" w14:textId="77777777">
      <w:pPr>
        <w:pStyle w:val="Heading3"/>
        <w:rPr>
          <w:rFonts w:cs="Arial"/>
        </w:rPr>
      </w:pPr>
      <w:bookmarkStart w:name="_Toc206673044" w:id="114"/>
      <w:r>
        <w:rPr>
          <w:rFonts w:cs="Arial"/>
        </w:rPr>
        <w:t>Metering System</w:t>
      </w:r>
      <w:r>
        <w:rPr>
          <w:rFonts w:cs="Arial"/>
          <w:u w:val="none"/>
        </w:rPr>
        <w:t xml:space="preserve">: </w:t>
      </w:r>
      <w:r>
        <w:rPr>
          <w:rFonts w:cs="Arial"/>
          <w:b w:val="0"/>
          <w:u w:val="none"/>
        </w:rPr>
        <w:t>All meters, metering devices, and related instruments used to measure and record electric energy and to determine the amount of energy that is being made available or delivered to GPC at the POI and for the other purposes set forth in Section 8.2 (</w:t>
      </w:r>
      <w:r>
        <w:rPr>
          <w:rFonts w:cs="Arial"/>
          <w:b w:val="0"/>
          <w:i/>
          <w:u w:val="none"/>
        </w:rPr>
        <w:t>Metering and Telemetry</w:t>
      </w:r>
      <w:r>
        <w:rPr>
          <w:rFonts w:cs="Arial"/>
          <w:b w:val="0"/>
          <w:u w:val="none"/>
        </w:rPr>
        <w:t>).</w:t>
      </w:r>
      <w:bookmarkEnd w:id="114"/>
    </w:p>
    <w:p w:rsidRPr="000D001A" w:rsidR="002D54C4" w:rsidP="004B0BBF" w:rsidRDefault="008B55A2" w14:paraId="0D036522" w14:textId="7963CC34">
      <w:pPr>
        <w:pStyle w:val="Heading3"/>
        <w:rPr>
          <w:rFonts w:cs="Arial"/>
        </w:rPr>
      </w:pPr>
      <w:bookmarkStart w:name="_Toc206673045" w:id="115"/>
      <w:r>
        <w:rPr>
          <w:rFonts w:cs="Arial"/>
        </w:rPr>
        <w:t>Milestone Schedule</w:t>
      </w:r>
      <w:r>
        <w:rPr>
          <w:rFonts w:cs="Arial"/>
          <w:u w:val="none"/>
        </w:rPr>
        <w:t xml:space="preserve">: </w:t>
      </w:r>
      <w:r>
        <w:rPr>
          <w:rFonts w:cs="Arial"/>
          <w:b w:val="0"/>
          <w:u w:val="none"/>
        </w:rPr>
        <w:t>A schedule containing</w:t>
      </w:r>
      <w:r w:rsidR="008B1E32">
        <w:rPr>
          <w:rFonts w:cs="Arial"/>
          <w:b w:val="0"/>
          <w:u w:val="none"/>
        </w:rPr>
        <w:t>,</w:t>
      </w:r>
      <w:r>
        <w:rPr>
          <w:rFonts w:cs="Arial"/>
          <w:b w:val="0"/>
          <w:u w:val="none"/>
        </w:rPr>
        <w:t xml:space="preserve"> at a minimum</w:t>
      </w:r>
      <w:r w:rsidR="008B1E32">
        <w:rPr>
          <w:rFonts w:cs="Arial"/>
          <w:b w:val="0"/>
          <w:u w:val="none"/>
        </w:rPr>
        <w:t>,</w:t>
      </w:r>
      <w:r>
        <w:rPr>
          <w:rFonts w:cs="Arial"/>
          <w:b w:val="0"/>
          <w:u w:val="none"/>
        </w:rPr>
        <w:t xml:space="preserve"> </w:t>
      </w:r>
      <w:r>
        <w:rPr>
          <w:b w:val="0"/>
          <w:u w:val="none"/>
        </w:rPr>
        <w:t>Key Milestones and other</w:t>
      </w:r>
      <w:r>
        <w:rPr>
          <w:rFonts w:cs="Arial"/>
          <w:b w:val="0"/>
          <w:u w:val="none"/>
        </w:rPr>
        <w:t xml:space="preserve"> significant milestones related to </w:t>
      </w:r>
      <w:r w:rsidR="00D175B2">
        <w:rPr>
          <w:rFonts w:cs="Arial"/>
          <w:b w:val="0"/>
          <w:u w:val="none"/>
        </w:rPr>
        <w:t>Facility</w:t>
      </w:r>
      <w:r>
        <w:rPr>
          <w:rFonts w:cs="Arial"/>
          <w:b w:val="0"/>
          <w:u w:val="none"/>
        </w:rPr>
        <w:t xml:space="preserve"> design, engineering, procurement, </w:t>
      </w:r>
      <w:r w:rsidR="00D175B2">
        <w:rPr>
          <w:rFonts w:cs="Arial"/>
          <w:b w:val="0"/>
          <w:u w:val="none"/>
        </w:rPr>
        <w:t xml:space="preserve"> </w:t>
      </w:r>
      <w:r>
        <w:rPr>
          <w:rFonts w:cs="Arial"/>
          <w:b w:val="0"/>
          <w:u w:val="none"/>
        </w:rPr>
        <w:t xml:space="preserve">construction, Initial Synchronization Date, testing, startup, </w:t>
      </w:r>
      <w:r w:rsidR="009F3E38">
        <w:rPr>
          <w:rFonts w:cs="Arial"/>
          <w:b w:val="0"/>
          <w:u w:val="none"/>
        </w:rPr>
        <w:t>R</w:t>
      </w:r>
      <w:r w:rsidR="00D175B2">
        <w:rPr>
          <w:rFonts w:cs="Arial"/>
          <w:b w:val="0"/>
          <w:u w:val="none"/>
        </w:rPr>
        <w:t xml:space="preserve">COD, and any </w:t>
      </w:r>
      <w:r w:rsidR="009F3E38">
        <w:rPr>
          <w:rFonts w:cs="Arial"/>
          <w:b w:val="0"/>
          <w:u w:val="none"/>
        </w:rPr>
        <w:t>other milestone</w:t>
      </w:r>
      <w:r w:rsidR="00D175B2">
        <w:rPr>
          <w:rFonts w:cs="Arial"/>
          <w:b w:val="0"/>
          <w:u w:val="none"/>
        </w:rPr>
        <w:t xml:space="preserve"> GPC may reasonably request</w:t>
      </w:r>
      <w:r>
        <w:rPr>
          <w:rFonts w:cs="Arial"/>
          <w:b w:val="0"/>
          <w:u w:val="none"/>
        </w:rPr>
        <w:t>.</w:t>
      </w:r>
      <w:bookmarkEnd w:id="115"/>
    </w:p>
    <w:p w:rsidRPr="000D001A" w:rsidR="002D54C4" w:rsidP="004B0BBF" w:rsidRDefault="008B55A2" w14:paraId="564B7077" w14:textId="77777777">
      <w:pPr>
        <w:pStyle w:val="Heading3"/>
        <w:rPr>
          <w:rFonts w:cs="Arial"/>
        </w:rPr>
      </w:pPr>
      <w:bookmarkStart w:name="_Toc206673046" w:id="116"/>
      <w:r>
        <w:rPr>
          <w:rFonts w:cs="Arial"/>
        </w:rPr>
        <w:t>Month</w:t>
      </w:r>
      <w:r>
        <w:rPr>
          <w:rFonts w:cs="Arial"/>
          <w:u w:val="none"/>
        </w:rPr>
        <w:t xml:space="preserve">: </w:t>
      </w:r>
      <w:r>
        <w:rPr>
          <w:rFonts w:cs="Arial"/>
          <w:b w:val="0"/>
          <w:u w:val="none"/>
        </w:rPr>
        <w:t>A calendar month, commencing at the beginning of the first Day of such calendar month. “</w:t>
      </w:r>
      <w:r>
        <w:rPr>
          <w:rFonts w:cs="Arial"/>
          <w:u w:val="none"/>
        </w:rPr>
        <w:t>Monthly</w:t>
      </w:r>
      <w:r>
        <w:rPr>
          <w:rFonts w:cs="Arial"/>
          <w:b w:val="0"/>
          <w:u w:val="none"/>
        </w:rPr>
        <w:t>” has a meaning correlative to that of Month.</w:t>
      </w:r>
      <w:bookmarkEnd w:id="116"/>
    </w:p>
    <w:p w:rsidRPr="000D001A" w:rsidR="002D54C4" w:rsidP="004B0BBF" w:rsidRDefault="008B55A2" w14:paraId="27265807" w14:textId="7D27B46D">
      <w:pPr>
        <w:pStyle w:val="Heading3"/>
        <w:rPr>
          <w:rFonts w:cs="Arial"/>
        </w:rPr>
      </w:pPr>
      <w:bookmarkStart w:name="_Toc206673047" w:id="117"/>
      <w:r>
        <w:rPr>
          <w:rFonts w:cs="Arial"/>
        </w:rPr>
        <w:t>Monthly Capacity Fee (MCF)</w:t>
      </w:r>
      <w:r>
        <w:rPr>
          <w:rFonts w:cs="Arial"/>
          <w:u w:val="none"/>
        </w:rPr>
        <w:t xml:space="preserve">: </w:t>
      </w:r>
      <w:r>
        <w:rPr>
          <w:rFonts w:cs="Arial"/>
          <w:b w:val="0"/>
          <w:bCs w:val="0"/>
          <w:u w:val="none"/>
        </w:rPr>
        <w:t>As</w:t>
      </w:r>
      <w:r>
        <w:rPr>
          <w:rFonts w:cs="Arial"/>
          <w:u w:val="none"/>
        </w:rPr>
        <w:t xml:space="preserve"> </w:t>
      </w:r>
      <w:r>
        <w:rPr>
          <w:rFonts w:cs="Arial"/>
          <w:b w:val="0"/>
          <w:u w:val="none"/>
        </w:rPr>
        <w:t xml:space="preserve">defined and determined in accordance with </w:t>
      </w:r>
      <w:r w:rsidR="001F1255">
        <w:rPr>
          <w:rFonts w:cs="Arial"/>
          <w:b w:val="0"/>
          <w:u w:val="none"/>
        </w:rPr>
        <w:t>Section 1.2 (</w:t>
      </w:r>
      <w:r w:rsidRPr="001F1255" w:rsidR="001F1255">
        <w:rPr>
          <w:rFonts w:cs="Arial"/>
          <w:b w:val="0"/>
          <w:i/>
          <w:iCs/>
          <w:u w:val="none"/>
        </w:rPr>
        <w:t>Monthly Capacity Payment</w:t>
      </w:r>
      <w:r w:rsidR="001F1255">
        <w:rPr>
          <w:rFonts w:cs="Arial"/>
          <w:b w:val="0"/>
          <w:u w:val="none"/>
        </w:rPr>
        <w:t xml:space="preserve">) of </w:t>
      </w:r>
      <w:r>
        <w:rPr>
          <w:rFonts w:cs="Arial"/>
          <w:b w:val="0"/>
          <w:u w:val="none"/>
        </w:rPr>
        <w:t>Exhibit C (</w:t>
      </w:r>
      <w:r>
        <w:rPr>
          <w:rFonts w:cs="Arial"/>
          <w:b w:val="0"/>
          <w:i/>
          <w:u w:val="none"/>
        </w:rPr>
        <w:t>Monthly Capacity Payments; Monthly Capacity Reductions; AGC Performance Metrics and Requirements</w:t>
      </w:r>
      <w:r>
        <w:rPr>
          <w:rFonts w:cs="Arial"/>
          <w:b w:val="0"/>
          <w:u w:val="none"/>
        </w:rPr>
        <w:t>).</w:t>
      </w:r>
      <w:bookmarkEnd w:id="117"/>
    </w:p>
    <w:p w:rsidRPr="000D001A" w:rsidR="002D54C4" w:rsidP="004B0BBF" w:rsidRDefault="008B55A2" w14:paraId="050BD35F" w14:textId="77777777">
      <w:pPr>
        <w:pStyle w:val="Heading3"/>
        <w:rPr>
          <w:rFonts w:cs="Arial"/>
          <w:b w:val="0"/>
        </w:rPr>
      </w:pPr>
      <w:bookmarkStart w:name="_Toc206673048" w:id="118"/>
      <w:r>
        <w:rPr>
          <w:rFonts w:cs="Arial"/>
        </w:rPr>
        <w:t>Monthly Capacity Payment (MCP)</w:t>
      </w:r>
      <w:r>
        <w:rPr>
          <w:rFonts w:cs="Arial"/>
          <w:u w:val="none"/>
        </w:rPr>
        <w:t xml:space="preserve">: </w:t>
      </w:r>
      <w:r>
        <w:rPr>
          <w:rFonts w:cs="Arial"/>
          <w:b w:val="0"/>
          <w:u w:val="none"/>
        </w:rPr>
        <w:t>The amount to be paid by GPC to Seller for GPC’s purchase of the Storage Device Design Capacity for a particular Month, which will equal the Monthly Capacity Fee as adjusted, if applicable, by Monthly Capacity Reduction in accordance with Exhibit C (</w:t>
      </w:r>
      <w:r>
        <w:rPr>
          <w:rFonts w:cs="Arial"/>
          <w:b w:val="0"/>
          <w:i/>
          <w:u w:val="none"/>
        </w:rPr>
        <w:t>Monthly Capacity Payments; Monthly Capacity Reductions; AGC Performance Metrics and Requirements</w:t>
      </w:r>
      <w:r>
        <w:rPr>
          <w:rFonts w:cs="Arial"/>
          <w:b w:val="0"/>
          <w:u w:val="none"/>
        </w:rPr>
        <w:t>), Part 2 (</w:t>
      </w:r>
      <w:r>
        <w:rPr>
          <w:rFonts w:cs="Arial"/>
          <w:b w:val="0"/>
          <w:i/>
          <w:u w:val="none"/>
        </w:rPr>
        <w:t>Monthly Capacity Reductions; Performance Metrics</w:t>
      </w:r>
      <w:r>
        <w:rPr>
          <w:rFonts w:cs="Arial"/>
          <w:b w:val="0"/>
          <w:u w:val="none"/>
        </w:rPr>
        <w:t>):</w:t>
      </w:r>
      <w:bookmarkEnd w:id="118"/>
    </w:p>
    <w:p w:rsidRPr="004B0BBF" w:rsidR="002D54C4" w:rsidP="004B0BBF" w:rsidRDefault="008B55A2" w14:paraId="31B89A49" w14:textId="77777777">
      <w:pPr>
        <w:pStyle w:val="Heading3"/>
        <w:jc w:val="center"/>
        <w:rPr>
          <w:b w:val="0"/>
          <w:u w:val="none"/>
        </w:rPr>
      </w:pPr>
      <w:bookmarkStart w:name="_Toc206673049" w:id="119"/>
      <w:r w:rsidRPr="004B0BBF">
        <w:rPr>
          <w:b w:val="0"/>
          <w:u w:val="none"/>
        </w:rPr>
        <w:t>MCP = MCF – MCR</w:t>
      </w:r>
      <w:bookmarkEnd w:id="119"/>
    </w:p>
    <w:p w:rsidRPr="000D001A" w:rsidR="00D84496" w:rsidP="004B0BBF" w:rsidRDefault="008B55A2" w14:paraId="1203B3E5" w14:textId="77777777">
      <w:pPr>
        <w:pStyle w:val="Heading3"/>
        <w:rPr>
          <w:rFonts w:cs="Arial"/>
        </w:rPr>
      </w:pPr>
      <w:bookmarkStart w:name="_Toc206673050" w:id="120"/>
      <w:r>
        <w:rPr>
          <w:rFonts w:cs="Arial"/>
        </w:rPr>
        <w:t>Monthly Capacity Reduction (MCR)</w:t>
      </w:r>
      <w:r>
        <w:rPr>
          <w:rFonts w:cs="Arial"/>
          <w:u w:val="none"/>
        </w:rPr>
        <w:t xml:space="preserve">: </w:t>
      </w:r>
      <w:r>
        <w:rPr>
          <w:rFonts w:cs="Arial"/>
          <w:b w:val="0"/>
          <w:bCs w:val="0"/>
          <w:u w:val="none"/>
        </w:rPr>
        <w:t xml:space="preserve">As defined and determined in accordance with </w:t>
      </w:r>
      <w:r>
        <w:rPr>
          <w:rFonts w:cs="Arial"/>
          <w:b w:val="0"/>
          <w:u w:val="none"/>
        </w:rPr>
        <w:t>Exhibit C (</w:t>
      </w:r>
      <w:r>
        <w:rPr>
          <w:rFonts w:cs="Arial"/>
          <w:b w:val="0"/>
          <w:i/>
          <w:u w:val="none"/>
        </w:rPr>
        <w:t>Monthly Capacity Payments; Monthly Capacity Reductions; AGC Performance Metrics and Requirements</w:t>
      </w:r>
      <w:r>
        <w:rPr>
          <w:rFonts w:cs="Arial"/>
          <w:b w:val="0"/>
          <w:u w:val="none"/>
        </w:rPr>
        <w:t>), Part 2 (</w:t>
      </w:r>
      <w:r>
        <w:rPr>
          <w:rFonts w:cs="Arial"/>
          <w:b w:val="0"/>
          <w:i/>
          <w:u w:val="none"/>
        </w:rPr>
        <w:t>Monthly Capacity Reductions; Performance Metrics</w:t>
      </w:r>
      <w:r>
        <w:rPr>
          <w:rFonts w:cs="Arial"/>
          <w:b w:val="0"/>
          <w:u w:val="none"/>
        </w:rPr>
        <w:t>)</w:t>
      </w:r>
      <w:r>
        <w:rPr>
          <w:rFonts w:cs="Arial"/>
          <w:b w:val="0"/>
          <w:bCs w:val="0"/>
          <w:u w:val="none"/>
        </w:rPr>
        <w:t>.</w:t>
      </w:r>
      <w:bookmarkEnd w:id="120"/>
    </w:p>
    <w:p w:rsidRPr="000D001A" w:rsidR="002D54C4" w:rsidP="004B0BBF" w:rsidRDefault="008B55A2" w14:paraId="331915B5" w14:textId="77777777">
      <w:pPr>
        <w:pStyle w:val="Heading3"/>
        <w:rPr>
          <w:rFonts w:cs="Arial"/>
          <w:b w:val="0"/>
          <w:u w:val="none"/>
        </w:rPr>
      </w:pPr>
      <w:bookmarkStart w:name="_Toc206673051" w:id="121"/>
      <w:r>
        <w:rPr>
          <w:rFonts w:cs="Arial"/>
        </w:rPr>
        <w:t>Monthly Invoice</w:t>
      </w:r>
      <w:r>
        <w:rPr>
          <w:rFonts w:cs="Arial"/>
          <w:u w:val="none"/>
        </w:rPr>
        <w:t xml:space="preserve">: </w:t>
      </w:r>
      <w:r>
        <w:rPr>
          <w:rFonts w:cs="Arial"/>
          <w:b w:val="0"/>
          <w:u w:val="none"/>
        </w:rPr>
        <w:t>As defined in Section 5.1.1 (</w:t>
      </w:r>
      <w:r>
        <w:rPr>
          <w:rFonts w:cs="Arial"/>
          <w:b w:val="0"/>
          <w:i/>
          <w:u w:val="none"/>
        </w:rPr>
        <w:t>Seller Invoices</w:t>
      </w:r>
      <w:r>
        <w:rPr>
          <w:rFonts w:cs="Arial"/>
          <w:b w:val="0"/>
          <w:u w:val="none"/>
        </w:rPr>
        <w:t>).</w:t>
      </w:r>
      <w:bookmarkEnd w:id="121"/>
    </w:p>
    <w:p w:rsidRPr="000D001A" w:rsidR="001E2D5A" w:rsidP="002C7C53" w:rsidRDefault="008B55A2" w14:paraId="64629F76" w14:textId="1525B043">
      <w:pPr>
        <w:pStyle w:val="Heading3"/>
      </w:pPr>
      <w:bookmarkStart w:name="_Toc206673052" w:id="122"/>
      <w:r>
        <w:t>Monthly RTE True-Up:</w:t>
      </w:r>
      <w:r w:rsidRPr="004B0BBF">
        <w:rPr>
          <w:u w:val="none"/>
        </w:rPr>
        <w:t xml:space="preserve"> </w:t>
      </w:r>
      <w:r>
        <w:rPr>
          <w:b w:val="0"/>
          <w:bCs w:val="0"/>
          <w:u w:val="none"/>
        </w:rPr>
        <w:t xml:space="preserve">As defined in </w:t>
      </w:r>
      <w:r w:rsidR="00381C57">
        <w:rPr>
          <w:b w:val="0"/>
          <w:bCs w:val="0"/>
          <w:u w:val="none"/>
        </w:rPr>
        <w:t>Section 2.1 (</w:t>
      </w:r>
      <w:r w:rsidRPr="00381C57" w:rsidR="00381C57">
        <w:rPr>
          <w:b w:val="0"/>
          <w:bCs w:val="0"/>
          <w:i/>
          <w:iCs/>
          <w:u w:val="none"/>
        </w:rPr>
        <w:t>Monthly Capacity Reduction</w:t>
      </w:r>
      <w:r w:rsidR="00381C57">
        <w:rPr>
          <w:b w:val="0"/>
          <w:bCs w:val="0"/>
          <w:u w:val="none"/>
        </w:rPr>
        <w:t xml:space="preserve">) of </w:t>
      </w:r>
      <w:r>
        <w:rPr>
          <w:b w:val="0"/>
          <w:u w:val="none"/>
        </w:rPr>
        <w:t>Exhibit C (</w:t>
      </w:r>
      <w:r>
        <w:rPr>
          <w:b w:val="0"/>
          <w:bCs w:val="0"/>
          <w:i/>
          <w:u w:val="none"/>
        </w:rPr>
        <w:t>Monthly Capacity Payments; Monthly Capacity Reductions; AGC Performance Metrics and Requirements</w:t>
      </w:r>
      <w:r>
        <w:rPr>
          <w:b w:val="0"/>
          <w:u w:val="none"/>
        </w:rPr>
        <w:t>)</w:t>
      </w:r>
      <w:r>
        <w:rPr>
          <w:b w:val="0"/>
          <w:bCs w:val="0"/>
          <w:u w:val="none"/>
        </w:rPr>
        <w:t>.</w:t>
      </w:r>
      <w:bookmarkEnd w:id="122"/>
    </w:p>
    <w:p w:rsidRPr="000D001A" w:rsidR="002D54C4" w:rsidP="004B0BBF" w:rsidRDefault="008B55A2" w14:paraId="368C627C" w14:textId="052E276F">
      <w:pPr>
        <w:pStyle w:val="Heading3"/>
        <w:rPr>
          <w:rFonts w:cs="Arial"/>
        </w:rPr>
      </w:pPr>
      <w:bookmarkStart w:name="_Toc206673053" w:id="123"/>
      <w:r>
        <w:rPr>
          <w:rFonts w:cs="Arial"/>
        </w:rPr>
        <w:t>Monthly Value Factor (MVF)</w:t>
      </w:r>
      <w:r>
        <w:rPr>
          <w:rFonts w:cs="Arial"/>
          <w:u w:val="none"/>
        </w:rPr>
        <w:t>:</w:t>
      </w:r>
      <w:r>
        <w:rPr>
          <w:rFonts w:cs="Arial"/>
          <w:b w:val="0"/>
          <w:u w:val="none"/>
        </w:rPr>
        <w:t xml:space="preserve"> For a given Month, the value factor stated in Table C-2 (</w:t>
      </w:r>
      <w:r>
        <w:rPr>
          <w:rFonts w:cs="Arial"/>
          <w:b w:val="0"/>
          <w:i/>
          <w:u w:val="none"/>
        </w:rPr>
        <w:t>Monthly Value Factor</w:t>
      </w:r>
      <w:r w:rsidR="0022306E">
        <w:rPr>
          <w:rFonts w:cs="Arial"/>
          <w:b w:val="0"/>
          <w:i/>
          <w:u w:val="none"/>
        </w:rPr>
        <w:t xml:space="preserve"> (MVF)</w:t>
      </w:r>
      <w:r>
        <w:rPr>
          <w:rFonts w:cs="Arial"/>
          <w:b w:val="0"/>
          <w:u w:val="none"/>
        </w:rPr>
        <w:t>) in Exhibit C (</w:t>
      </w:r>
      <w:r>
        <w:rPr>
          <w:rFonts w:cs="Arial"/>
          <w:b w:val="0"/>
          <w:i/>
          <w:u w:val="none"/>
        </w:rPr>
        <w:t>Monthly Capacity Payments; Monthly Capacity Reductions; AGC Performance Metrics and Requirements</w:t>
      </w:r>
      <w:r>
        <w:rPr>
          <w:rFonts w:cs="Arial"/>
          <w:b w:val="0"/>
          <w:u w:val="none"/>
        </w:rPr>
        <w:t>).</w:t>
      </w:r>
      <w:bookmarkEnd w:id="123"/>
    </w:p>
    <w:p w:rsidRPr="000D001A" w:rsidR="002D54C4" w:rsidP="004B0BBF" w:rsidRDefault="008B55A2" w14:paraId="42AB091C" w14:textId="77777777">
      <w:pPr>
        <w:pStyle w:val="Heading3"/>
        <w:rPr>
          <w:rFonts w:cs="Arial"/>
        </w:rPr>
      </w:pPr>
      <w:bookmarkStart w:name="_Toc206673054" w:id="124"/>
      <w:r>
        <w:rPr>
          <w:rFonts w:cs="Arial"/>
        </w:rPr>
        <w:t>Moody’s</w:t>
      </w:r>
      <w:r>
        <w:rPr>
          <w:rFonts w:cs="Arial"/>
          <w:u w:val="none"/>
        </w:rPr>
        <w:t xml:space="preserve">: </w:t>
      </w:r>
      <w:r>
        <w:rPr>
          <w:rFonts w:cs="Arial"/>
          <w:b w:val="0"/>
          <w:u w:val="none"/>
        </w:rPr>
        <w:t>Moody’s Investors Service, Inc. or its successor. If Moody’s ceases to exist or publish ratings, Moody’s will mean a nationally recognized rating agency mutually agreed upon by the Parties.</w:t>
      </w:r>
      <w:bookmarkEnd w:id="124"/>
    </w:p>
    <w:p w:rsidRPr="000D001A" w:rsidR="002D54C4" w:rsidP="004B0BBF" w:rsidRDefault="008B55A2" w14:paraId="36895DC0" w14:textId="77777777">
      <w:pPr>
        <w:pStyle w:val="Heading3"/>
        <w:rPr>
          <w:rFonts w:cs="Arial"/>
        </w:rPr>
      </w:pPr>
      <w:bookmarkStart w:name="_Toc206673055" w:id="125"/>
      <w:r>
        <w:rPr>
          <w:rFonts w:cs="Arial"/>
        </w:rPr>
        <w:t>MVF</w:t>
      </w:r>
      <w:r>
        <w:rPr>
          <w:rFonts w:cs="Arial"/>
          <w:u w:val="none"/>
        </w:rPr>
        <w:t xml:space="preserve">: </w:t>
      </w:r>
      <w:r>
        <w:rPr>
          <w:rFonts w:cs="Arial"/>
          <w:b w:val="0"/>
          <w:bCs w:val="0"/>
          <w:u w:val="none"/>
        </w:rPr>
        <w:t>See</w:t>
      </w:r>
      <w:r>
        <w:rPr>
          <w:rFonts w:cs="Arial"/>
          <w:b w:val="0"/>
          <w:bCs w:val="0"/>
          <w:i/>
          <w:u w:val="none"/>
        </w:rPr>
        <w:t xml:space="preserve"> Monthly Value Factor</w:t>
      </w:r>
      <w:r>
        <w:rPr>
          <w:rFonts w:cs="Arial"/>
          <w:b w:val="0"/>
          <w:bCs w:val="0"/>
          <w:u w:val="none"/>
        </w:rPr>
        <w:t>.</w:t>
      </w:r>
      <w:bookmarkEnd w:id="125"/>
    </w:p>
    <w:p w:rsidRPr="000D001A" w:rsidR="002D54C4" w:rsidP="004B0BBF" w:rsidRDefault="008B55A2" w14:paraId="4EDE5BC7" w14:textId="77777777">
      <w:pPr>
        <w:pStyle w:val="Heading3"/>
        <w:rPr>
          <w:rFonts w:cs="Arial"/>
        </w:rPr>
      </w:pPr>
      <w:bookmarkStart w:name="_Toc206673056" w:id="126"/>
      <w:r>
        <w:rPr>
          <w:rFonts w:cs="Arial"/>
        </w:rPr>
        <w:t>MW</w:t>
      </w:r>
      <w:r>
        <w:rPr>
          <w:rFonts w:cs="Arial"/>
          <w:u w:val="none"/>
        </w:rPr>
        <w:t xml:space="preserve">: </w:t>
      </w:r>
      <w:r>
        <w:rPr>
          <w:rFonts w:cs="Arial"/>
          <w:b w:val="0"/>
          <w:bCs w:val="0"/>
          <w:u w:val="none"/>
        </w:rPr>
        <w:t>Megawatt alternating current (AC).</w:t>
      </w:r>
      <w:bookmarkEnd w:id="126"/>
    </w:p>
    <w:p w:rsidRPr="000D001A" w:rsidR="002D54C4" w:rsidP="004B0BBF" w:rsidRDefault="008B55A2" w14:paraId="4373B0A4" w14:textId="77777777">
      <w:pPr>
        <w:pStyle w:val="Heading3"/>
        <w:rPr>
          <w:rFonts w:cs="Arial"/>
        </w:rPr>
      </w:pPr>
      <w:bookmarkStart w:name="_Toc206673057" w:id="127"/>
      <w:r>
        <w:rPr>
          <w:rFonts w:cs="Arial"/>
        </w:rPr>
        <w:t>MWh</w:t>
      </w:r>
      <w:r>
        <w:rPr>
          <w:rFonts w:cs="Arial"/>
          <w:u w:val="none"/>
        </w:rPr>
        <w:t xml:space="preserve">: </w:t>
      </w:r>
      <w:r>
        <w:rPr>
          <w:rFonts w:cs="Arial"/>
          <w:b w:val="0"/>
          <w:bCs w:val="0"/>
          <w:u w:val="none"/>
        </w:rPr>
        <w:t>Megawatt-hour (AC).</w:t>
      </w:r>
      <w:bookmarkEnd w:id="127"/>
    </w:p>
    <w:p w:rsidRPr="004B0BBF" w:rsidR="002D54C4" w:rsidP="004B0BBF" w:rsidRDefault="008B55A2" w14:paraId="484C6B21" w14:textId="77777777">
      <w:pPr>
        <w:pStyle w:val="Heading3"/>
        <w:rPr>
          <w:b w:val="0"/>
          <w:u w:val="none"/>
        </w:rPr>
      </w:pPr>
      <w:bookmarkStart w:name="_Toc206673058" w:id="128"/>
      <w:r>
        <w:rPr>
          <w:rFonts w:cs="Arial"/>
        </w:rPr>
        <w:t>NERC</w:t>
      </w:r>
      <w:r>
        <w:rPr>
          <w:rFonts w:cs="Arial"/>
          <w:u w:val="none"/>
        </w:rPr>
        <w:t xml:space="preserve">: </w:t>
      </w:r>
      <w:r>
        <w:rPr>
          <w:rFonts w:cs="Arial"/>
          <w:b w:val="0"/>
          <w:bCs w:val="0"/>
          <w:u w:val="none"/>
        </w:rPr>
        <w:t>The North American Electric Reliability Corporation, including any successor, and subdivisions.</w:t>
      </w:r>
      <w:bookmarkEnd w:id="128"/>
    </w:p>
    <w:p w:rsidR="0039309B" w:rsidP="0007464E" w:rsidRDefault="0039309B" w14:paraId="5935FD1C" w14:textId="3EC8FEAF">
      <w:pPr>
        <w:spacing w:before="120" w:after="120" w:line="240" w:lineRule="auto"/>
        <w:rPr>
          <w:rFonts w:ascii="Arial" w:hAnsi="Arial" w:cs="Arial"/>
          <w:sz w:val="20"/>
          <w:szCs w:val="20"/>
        </w:rPr>
      </w:pPr>
      <w:r w:rsidRPr="0039309B">
        <w:rPr>
          <w:rFonts w:ascii="Arial" w:hAnsi="Arial" w:cs="Arial"/>
          <w:b/>
          <w:bCs/>
          <w:sz w:val="20"/>
          <w:szCs w:val="20"/>
          <w:u w:val="single"/>
        </w:rPr>
        <w:t>Non-Defaulting Party:</w:t>
      </w:r>
      <w:r w:rsidRPr="0039309B">
        <w:rPr>
          <w:rFonts w:ascii="Arial" w:hAnsi="Arial" w:cs="Arial"/>
          <w:sz w:val="20"/>
          <w:szCs w:val="20"/>
        </w:rPr>
        <w:t xml:space="preserve"> As defined in Section 16.3.1 (</w:t>
      </w:r>
      <w:r w:rsidRPr="0039309B">
        <w:rPr>
          <w:rFonts w:ascii="Arial" w:hAnsi="Arial" w:cs="Arial"/>
          <w:i/>
          <w:iCs/>
          <w:sz w:val="20"/>
          <w:szCs w:val="20"/>
        </w:rPr>
        <w:t>Remedies for Event of Default</w:t>
      </w:r>
      <w:r w:rsidRPr="0039309B">
        <w:rPr>
          <w:rFonts w:ascii="Arial" w:hAnsi="Arial" w:cs="Arial"/>
          <w:sz w:val="20"/>
          <w:szCs w:val="20"/>
        </w:rPr>
        <w:t>).</w:t>
      </w:r>
    </w:p>
    <w:p w:rsidR="00273FF2" w:rsidP="0007464E" w:rsidRDefault="00273FF2" w14:paraId="493001CF" w14:textId="44119840">
      <w:pPr>
        <w:spacing w:before="120" w:after="120" w:line="240" w:lineRule="auto"/>
        <w:rPr>
          <w:rFonts w:ascii="Arial" w:hAnsi="Arial" w:cs="Arial"/>
          <w:sz w:val="20"/>
          <w:szCs w:val="20"/>
        </w:rPr>
      </w:pPr>
      <w:r w:rsidRPr="00273FF2">
        <w:rPr>
          <w:rFonts w:ascii="Arial" w:hAnsi="Arial" w:cs="Arial"/>
          <w:b/>
          <w:bCs/>
          <w:sz w:val="20"/>
          <w:szCs w:val="20"/>
          <w:u w:val="single"/>
        </w:rPr>
        <w:t>Notice of Dispute:</w:t>
      </w:r>
      <w:r>
        <w:rPr>
          <w:rFonts w:ascii="Arial" w:hAnsi="Arial" w:cs="Arial"/>
          <w:sz w:val="20"/>
          <w:szCs w:val="20"/>
        </w:rPr>
        <w:t xml:space="preserve"> As defined in Section 19.1 (</w:t>
      </w:r>
      <w:r w:rsidRPr="00273FF2">
        <w:rPr>
          <w:rFonts w:ascii="Arial" w:hAnsi="Arial" w:cs="Arial"/>
          <w:i/>
          <w:iCs/>
          <w:sz w:val="20"/>
          <w:szCs w:val="20"/>
        </w:rPr>
        <w:t>Notice of Dispute; Dispute Resolution Process</w:t>
      </w:r>
      <w:r>
        <w:rPr>
          <w:rFonts w:ascii="Arial" w:hAnsi="Arial" w:cs="Arial"/>
          <w:sz w:val="20"/>
          <w:szCs w:val="20"/>
        </w:rPr>
        <w:t>).</w:t>
      </w:r>
    </w:p>
    <w:p w:rsidR="00373375" w:rsidP="0007464E" w:rsidRDefault="00373375" w14:paraId="03D29CD5" w14:textId="05BF4BB9">
      <w:pPr>
        <w:spacing w:before="120" w:after="120" w:line="240" w:lineRule="auto"/>
        <w:rPr>
          <w:rFonts w:ascii="Arial" w:hAnsi="Arial" w:cs="Arial"/>
          <w:sz w:val="20"/>
          <w:szCs w:val="20"/>
        </w:rPr>
      </w:pPr>
      <w:r w:rsidRPr="00373375">
        <w:rPr>
          <w:rFonts w:ascii="Arial" w:hAnsi="Arial" w:cs="Arial"/>
          <w:b/>
          <w:bCs/>
          <w:sz w:val="20"/>
          <w:szCs w:val="20"/>
          <w:u w:val="single"/>
        </w:rPr>
        <w:t>NOV:</w:t>
      </w:r>
      <w:r>
        <w:rPr>
          <w:rFonts w:ascii="Arial" w:hAnsi="Arial" w:cs="Arial"/>
          <w:sz w:val="20"/>
          <w:szCs w:val="20"/>
        </w:rPr>
        <w:t xml:space="preserve"> As defined in Section 17.6.1 (</w:t>
      </w:r>
      <w:r w:rsidRPr="00373375">
        <w:rPr>
          <w:rFonts w:ascii="Arial" w:hAnsi="Arial" w:cs="Arial"/>
          <w:i/>
          <w:iCs/>
          <w:sz w:val="20"/>
          <w:szCs w:val="20"/>
        </w:rPr>
        <w:t>Notices of Violations</w:t>
      </w:r>
      <w:r>
        <w:rPr>
          <w:rFonts w:ascii="Arial" w:hAnsi="Arial" w:cs="Arial"/>
          <w:sz w:val="20"/>
          <w:szCs w:val="20"/>
        </w:rPr>
        <w:t>).</w:t>
      </w:r>
    </w:p>
    <w:p w:rsidRPr="0039309B" w:rsidR="00373375" w:rsidP="0007464E" w:rsidRDefault="00373375" w14:paraId="4280B99D" w14:textId="5B07539A">
      <w:pPr>
        <w:spacing w:before="120" w:after="120" w:line="240" w:lineRule="auto"/>
        <w:rPr>
          <w:rFonts w:ascii="Arial" w:hAnsi="Arial" w:cs="Arial"/>
          <w:sz w:val="20"/>
          <w:szCs w:val="20"/>
        </w:rPr>
      </w:pPr>
      <w:r w:rsidRPr="00373375">
        <w:rPr>
          <w:rFonts w:ascii="Arial" w:hAnsi="Arial" w:cs="Arial"/>
          <w:b/>
          <w:bCs/>
          <w:sz w:val="20"/>
          <w:szCs w:val="20"/>
          <w:u w:val="single"/>
        </w:rPr>
        <w:t>NOV Remedy Plan:</w:t>
      </w:r>
      <w:r>
        <w:rPr>
          <w:rFonts w:ascii="Arial" w:hAnsi="Arial" w:cs="Arial"/>
          <w:sz w:val="20"/>
          <w:szCs w:val="20"/>
        </w:rPr>
        <w:t xml:space="preserve"> As defined in Section 17.6.2 (</w:t>
      </w:r>
      <w:r w:rsidRPr="00373375">
        <w:rPr>
          <w:rFonts w:ascii="Arial" w:hAnsi="Arial" w:cs="Arial"/>
          <w:i/>
          <w:iCs/>
          <w:sz w:val="20"/>
          <w:szCs w:val="20"/>
        </w:rPr>
        <w:t>NOV Remedy Plan</w:t>
      </w:r>
      <w:r>
        <w:rPr>
          <w:rFonts w:ascii="Arial" w:hAnsi="Arial" w:cs="Arial"/>
          <w:sz w:val="20"/>
          <w:szCs w:val="20"/>
        </w:rPr>
        <w:t>).</w:t>
      </w:r>
    </w:p>
    <w:p w:rsidRPr="004B0BBF" w:rsidR="002D54C4" w:rsidP="004B0BBF" w:rsidRDefault="008B55A2" w14:paraId="36B6ABE1" w14:textId="77777777">
      <w:pPr>
        <w:pStyle w:val="Heading3"/>
        <w:rPr>
          <w:b w:val="0"/>
          <w:u w:val="none"/>
        </w:rPr>
      </w:pPr>
      <w:bookmarkStart w:name="_Toc206673059" w:id="129"/>
      <w:r>
        <w:t>Off Peak Season</w:t>
      </w:r>
      <w:r>
        <w:rPr>
          <w:u w:val="none"/>
        </w:rPr>
        <w:t xml:space="preserve">: </w:t>
      </w:r>
      <w:r>
        <w:rPr>
          <w:b w:val="0"/>
          <w:u w:val="none"/>
        </w:rPr>
        <w:t>The Months of March, April, May, September, October, and November.</w:t>
      </w:r>
      <w:bookmarkEnd w:id="129"/>
    </w:p>
    <w:p w:rsidRPr="000D001A" w:rsidR="002D54C4" w:rsidP="004B0BBF" w:rsidRDefault="008B55A2" w14:paraId="18EC96E1" w14:textId="77777777">
      <w:pPr>
        <w:pStyle w:val="Heading3"/>
      </w:pPr>
      <w:bookmarkStart w:name="_Toc206673060" w:id="130"/>
      <w:r>
        <w:t>On Peak Season</w:t>
      </w:r>
      <w:r>
        <w:rPr>
          <w:u w:val="none"/>
        </w:rPr>
        <w:t xml:space="preserve">: </w:t>
      </w:r>
      <w:r>
        <w:rPr>
          <w:b w:val="0"/>
          <w:u w:val="none"/>
        </w:rPr>
        <w:t>The Months of January, February, June, July, August, and December.</w:t>
      </w:r>
      <w:bookmarkEnd w:id="130"/>
    </w:p>
    <w:p w:rsidRPr="000D001A" w:rsidR="002D54C4" w:rsidP="004B0BBF" w:rsidRDefault="008B55A2" w14:paraId="4764FBCC" w14:textId="77777777">
      <w:pPr>
        <w:pStyle w:val="Heading3"/>
        <w:rPr>
          <w:rFonts w:cs="Arial"/>
          <w:u w:val="none"/>
        </w:rPr>
      </w:pPr>
      <w:bookmarkStart w:name="_Toc206673061" w:id="131"/>
      <w:r>
        <w:rPr>
          <w:rFonts w:cs="Arial"/>
        </w:rPr>
        <w:lastRenderedPageBreak/>
        <w:t>Operating Committee</w:t>
      </w:r>
      <w:r>
        <w:rPr>
          <w:rFonts w:cs="Arial"/>
          <w:u w:val="none"/>
        </w:rPr>
        <w:t xml:space="preserve">: </w:t>
      </w:r>
      <w:r>
        <w:rPr>
          <w:rFonts w:cs="Arial"/>
          <w:b w:val="0"/>
          <w:u w:val="none"/>
        </w:rPr>
        <w:t>The committee established in accordance with Section 10.7 (</w:t>
      </w:r>
      <w:r>
        <w:rPr>
          <w:rFonts w:cs="Arial"/>
          <w:b w:val="0"/>
          <w:i/>
          <w:u w:val="none"/>
        </w:rPr>
        <w:t>Operating Committee</w:t>
      </w:r>
      <w:r>
        <w:rPr>
          <w:rFonts w:cs="Arial"/>
          <w:b w:val="0"/>
          <w:u w:val="none"/>
        </w:rPr>
        <w:t>).</w:t>
      </w:r>
      <w:bookmarkEnd w:id="131"/>
    </w:p>
    <w:p w:rsidRPr="000D001A" w:rsidR="002D54C4" w:rsidP="004B0BBF" w:rsidRDefault="008B55A2" w14:paraId="081C9495" w14:textId="71E52406">
      <w:pPr>
        <w:pStyle w:val="Heading3"/>
      </w:pPr>
      <w:bookmarkStart w:name="_Toc206673062" w:id="132"/>
      <w:r>
        <w:t>Operating High Limit</w:t>
      </w:r>
      <w:r>
        <w:rPr>
          <w:u w:val="none"/>
        </w:rPr>
        <w:t xml:space="preserve">: </w:t>
      </w:r>
      <w:r>
        <w:rPr>
          <w:b w:val="0"/>
          <w:u w:val="none"/>
        </w:rPr>
        <w:t>For AGC purposes, the current maximum discharging capability of the</w:t>
      </w:r>
      <w:r>
        <w:rPr>
          <w:b w:val="0"/>
          <w:bCs w:val="0"/>
          <w:u w:val="none"/>
        </w:rPr>
        <w:t xml:space="preserve"> BESS</w:t>
      </w:r>
      <w:r>
        <w:rPr>
          <w:b w:val="0"/>
          <w:u w:val="none"/>
        </w:rPr>
        <w:t>, adjusted for any equipment limitation or outage that could limit the maximum output, as further described in Exhibit G (</w:t>
      </w:r>
      <w:r>
        <w:rPr>
          <w:b w:val="0"/>
          <w:i/>
          <w:u w:val="none"/>
        </w:rPr>
        <w:t>AGC and Facility Minimum Data Requirements</w:t>
      </w:r>
      <w:r>
        <w:rPr>
          <w:b w:val="0"/>
          <w:u w:val="none"/>
        </w:rPr>
        <w:t>).</w:t>
      </w:r>
      <w:bookmarkEnd w:id="132"/>
      <w:r>
        <w:t xml:space="preserve"> </w:t>
      </w:r>
    </w:p>
    <w:p w:rsidRPr="000D001A" w:rsidR="002D54C4" w:rsidP="004B0BBF" w:rsidRDefault="008B55A2" w14:paraId="4B7CD8F1" w14:textId="53DB5D96">
      <w:pPr>
        <w:pStyle w:val="Heading3"/>
      </w:pPr>
      <w:bookmarkStart w:name="_Toc206673063" w:id="133"/>
      <w:r>
        <w:rPr>
          <w:rStyle w:val="ui-provider"/>
        </w:rPr>
        <w:t>Operating Low Limit</w:t>
      </w:r>
      <w:r>
        <w:rPr>
          <w:rStyle w:val="ui-provider"/>
          <w:u w:val="none"/>
        </w:rPr>
        <w:t xml:space="preserve">: </w:t>
      </w:r>
      <w:r>
        <w:rPr>
          <w:rStyle w:val="ui-provider"/>
          <w:b w:val="0"/>
          <w:u w:val="none"/>
        </w:rPr>
        <w:t>For AGC purposes, the current maximum charging capability of the</w:t>
      </w:r>
      <w:r w:rsidRPr="004B0BBF">
        <w:t xml:space="preserve"> </w:t>
      </w:r>
      <w:r>
        <w:rPr>
          <w:b w:val="0"/>
          <w:bCs w:val="0"/>
          <w:u w:val="none"/>
        </w:rPr>
        <w:t>BESS</w:t>
      </w:r>
      <w:r>
        <w:rPr>
          <w:rStyle w:val="ui-provider"/>
          <w:b w:val="0"/>
          <w:u w:val="none"/>
        </w:rPr>
        <w:t>, adjusted for any equipment limitation or outage that could limit charging capability</w:t>
      </w:r>
      <w:r>
        <w:rPr>
          <w:b w:val="0"/>
          <w:u w:val="none"/>
        </w:rPr>
        <w:t>, as further described in Exhibit G (</w:t>
      </w:r>
      <w:r>
        <w:rPr>
          <w:b w:val="0"/>
          <w:i/>
          <w:u w:val="none"/>
        </w:rPr>
        <w:t>AGC and Facility Minimum Data Requirements</w:t>
      </w:r>
      <w:r>
        <w:rPr>
          <w:b w:val="0"/>
          <w:u w:val="none"/>
        </w:rPr>
        <w:t>)</w:t>
      </w:r>
      <w:r>
        <w:rPr>
          <w:rStyle w:val="ui-provider"/>
          <w:b w:val="0"/>
          <w:u w:val="none"/>
        </w:rPr>
        <w:t>.</w:t>
      </w:r>
      <w:bookmarkEnd w:id="133"/>
      <w:r>
        <w:rPr>
          <w:rStyle w:val="ui-provider"/>
          <w:b w:val="0"/>
          <w:u w:val="none"/>
        </w:rPr>
        <w:t> </w:t>
      </w:r>
    </w:p>
    <w:p w:rsidRPr="000D001A" w:rsidR="002D54C4" w:rsidP="004B0BBF" w:rsidRDefault="008B55A2" w14:paraId="0F9B73F7" w14:textId="77777777">
      <w:pPr>
        <w:pStyle w:val="Heading3"/>
        <w:rPr>
          <w:rFonts w:cs="Arial"/>
        </w:rPr>
      </w:pPr>
      <w:bookmarkStart w:name="_Toc206673064" w:id="134"/>
      <w:r>
        <w:rPr>
          <w:rFonts w:cs="Arial"/>
        </w:rPr>
        <w:t>Operating Procedures</w:t>
      </w:r>
      <w:r>
        <w:rPr>
          <w:rFonts w:cs="Arial"/>
          <w:u w:val="none"/>
        </w:rPr>
        <w:t xml:space="preserve">: </w:t>
      </w:r>
      <w:r>
        <w:rPr>
          <w:rFonts w:cs="Arial"/>
          <w:b w:val="0"/>
          <w:u w:val="none"/>
        </w:rPr>
        <w:t>Procedures developed by the Parties in accordance with Section 10.1.2 (</w:t>
      </w:r>
      <w:r>
        <w:rPr>
          <w:rFonts w:cs="Arial"/>
          <w:b w:val="0"/>
          <w:i/>
          <w:u w:val="none"/>
        </w:rPr>
        <w:t>Written</w:t>
      </w:r>
      <w:r>
        <w:rPr>
          <w:rFonts w:cs="Arial"/>
          <w:b w:val="0"/>
          <w:u w:val="none"/>
        </w:rPr>
        <w:t xml:space="preserve"> </w:t>
      </w:r>
      <w:r>
        <w:rPr>
          <w:rFonts w:cs="Arial"/>
          <w:b w:val="0"/>
          <w:i/>
          <w:u w:val="none"/>
        </w:rPr>
        <w:t>Operating Procedures</w:t>
      </w:r>
      <w:r>
        <w:rPr>
          <w:rFonts w:cs="Arial"/>
          <w:b w:val="0"/>
          <w:u w:val="none"/>
        </w:rPr>
        <w:t>).</w:t>
      </w:r>
      <w:bookmarkEnd w:id="134"/>
    </w:p>
    <w:p w:rsidR="002D54C4" w:rsidP="004B0BBF" w:rsidRDefault="008B55A2" w14:paraId="59BC791C" w14:textId="2FA59A15">
      <w:pPr>
        <w:pStyle w:val="Heading3"/>
        <w:rPr>
          <w:rFonts w:cs="Arial"/>
          <w:b w:val="0"/>
          <w:u w:val="none"/>
        </w:rPr>
      </w:pPr>
      <w:bookmarkStart w:name="_Toc206673065" w:id="135"/>
      <w:r>
        <w:rPr>
          <w:rFonts w:cs="Arial"/>
        </w:rPr>
        <w:t>Operating Representatives</w:t>
      </w:r>
      <w:r>
        <w:rPr>
          <w:rFonts w:cs="Arial"/>
          <w:u w:val="none"/>
        </w:rPr>
        <w:t xml:space="preserve">: </w:t>
      </w:r>
      <w:r>
        <w:rPr>
          <w:rFonts w:cs="Arial"/>
          <w:b w:val="0"/>
          <w:u w:val="none"/>
        </w:rPr>
        <w:t>Those individuals appointed by each of the Parties to the Operating Committee in accordance with Section 10.7 (</w:t>
      </w:r>
      <w:r>
        <w:rPr>
          <w:rFonts w:cs="Arial"/>
          <w:b w:val="0"/>
          <w:i/>
          <w:u w:val="none"/>
        </w:rPr>
        <w:t>Operating Committee</w:t>
      </w:r>
      <w:r>
        <w:rPr>
          <w:rFonts w:cs="Arial"/>
          <w:b w:val="0"/>
          <w:u w:val="none"/>
        </w:rPr>
        <w:t>).</w:t>
      </w:r>
      <w:bookmarkEnd w:id="135"/>
    </w:p>
    <w:p w:rsidRPr="00B73CF7" w:rsidR="00B73CF7" w:rsidP="00B73CF7" w:rsidRDefault="00B73CF7" w14:paraId="148AF7CD" w14:textId="0B3F0D78">
      <w:r w:rsidRPr="00341121">
        <w:rPr>
          <w:rFonts w:ascii="Arial" w:hAnsi="Arial" w:cs="Arial"/>
          <w:b/>
          <w:bCs/>
          <w:sz w:val="20"/>
          <w:szCs w:val="20"/>
          <w:u w:val="single"/>
        </w:rPr>
        <w:t>Operational Alternatives</w:t>
      </w:r>
      <w:r w:rsidRPr="00341121">
        <w:rPr>
          <w:rFonts w:ascii="Arial" w:hAnsi="Arial" w:cs="Arial"/>
          <w:sz w:val="20"/>
          <w:szCs w:val="20"/>
        </w:rPr>
        <w:t>: Proposed changes to the operation of the Facility that avoid or reduce Change of Law Expenditures.</w:t>
      </w:r>
    </w:p>
    <w:p w:rsidRPr="004B0BBF" w:rsidR="002D54C4" w:rsidP="004B0BBF" w:rsidRDefault="008B55A2" w14:paraId="2E7F11B9" w14:textId="4589D05A">
      <w:pPr>
        <w:pStyle w:val="Heading3"/>
        <w:rPr>
          <w:b w:val="0"/>
          <w:u w:val="none"/>
        </w:rPr>
      </w:pPr>
      <w:bookmarkStart w:name="_Toc206673066" w:id="136"/>
      <w:r>
        <w:t>Party or</w:t>
      </w:r>
      <w:r>
        <w:rPr>
          <w:rFonts w:cs="Arial"/>
        </w:rPr>
        <w:t xml:space="preserve"> </w:t>
      </w:r>
      <w:r>
        <w:t>Parties</w:t>
      </w:r>
      <w:r>
        <w:rPr>
          <w:rFonts w:cs="Arial"/>
          <w:u w:val="none"/>
        </w:rPr>
        <w:t xml:space="preserve">: </w:t>
      </w:r>
      <w:r>
        <w:rPr>
          <w:rFonts w:cs="Arial"/>
          <w:b w:val="0"/>
          <w:u w:val="none"/>
        </w:rPr>
        <w:t>Either GPC or Seller or both</w:t>
      </w:r>
      <w:r w:rsidR="00CE5DA6">
        <w:rPr>
          <w:rFonts w:cs="Arial"/>
          <w:b w:val="0"/>
          <w:u w:val="none"/>
        </w:rPr>
        <w:t>, as applicable</w:t>
      </w:r>
      <w:r>
        <w:rPr>
          <w:rFonts w:cs="Arial"/>
          <w:b w:val="0"/>
          <w:u w:val="none"/>
        </w:rPr>
        <w:t>.</w:t>
      </w:r>
      <w:bookmarkEnd w:id="136"/>
    </w:p>
    <w:p w:rsidRPr="00863B68" w:rsidR="00863B68" w:rsidP="00925736" w:rsidRDefault="00863B68" w14:paraId="36A0BFF6" w14:textId="0A5A2D4F">
      <w:pPr>
        <w:spacing w:before="120" w:after="120" w:line="240" w:lineRule="auto"/>
        <w:jc w:val="both"/>
        <w:rPr>
          <w:rFonts w:ascii="Arial" w:hAnsi="Arial" w:cs="Arial"/>
          <w:sz w:val="20"/>
          <w:szCs w:val="20"/>
        </w:rPr>
      </w:pPr>
      <w:r w:rsidRPr="00863B68">
        <w:rPr>
          <w:rFonts w:ascii="Arial" w:hAnsi="Arial" w:cs="Arial"/>
          <w:b/>
          <w:bCs/>
          <w:sz w:val="20"/>
          <w:szCs w:val="20"/>
          <w:u w:val="single"/>
        </w:rPr>
        <w:t>Party-Appointed Arbitrators:</w:t>
      </w:r>
      <w:r w:rsidRPr="00863B68">
        <w:rPr>
          <w:rFonts w:ascii="Arial" w:hAnsi="Arial" w:cs="Arial"/>
          <w:sz w:val="20"/>
          <w:szCs w:val="20"/>
        </w:rPr>
        <w:t xml:space="preserve"> As defined in Section 19.3.2</w:t>
      </w:r>
      <w:r w:rsidR="006008F7">
        <w:rPr>
          <w:rFonts w:ascii="Arial" w:hAnsi="Arial" w:cs="Arial"/>
          <w:sz w:val="20"/>
          <w:szCs w:val="20"/>
        </w:rPr>
        <w:t>(i)</w:t>
      </w:r>
      <w:r w:rsidRPr="00863B68">
        <w:rPr>
          <w:rFonts w:ascii="Arial" w:hAnsi="Arial" w:cs="Arial"/>
          <w:sz w:val="20"/>
          <w:szCs w:val="20"/>
        </w:rPr>
        <w:t xml:space="preserve"> (</w:t>
      </w:r>
      <w:r w:rsidRPr="00863B68">
        <w:rPr>
          <w:rFonts w:ascii="Arial" w:hAnsi="Arial" w:cs="Arial"/>
          <w:i/>
          <w:iCs/>
          <w:sz w:val="20"/>
          <w:szCs w:val="20"/>
        </w:rPr>
        <w:t xml:space="preserve">Initiation of Arbitration; Selection of </w:t>
      </w:r>
      <w:r w:rsidR="006008F7">
        <w:rPr>
          <w:rFonts w:ascii="Arial" w:hAnsi="Arial" w:cs="Arial"/>
          <w:i/>
          <w:iCs/>
          <w:sz w:val="20"/>
          <w:szCs w:val="20"/>
        </w:rPr>
        <w:t>Party-Appointed</w:t>
      </w:r>
      <w:r w:rsidRPr="00863B68">
        <w:rPr>
          <w:rFonts w:ascii="Arial" w:hAnsi="Arial" w:cs="Arial"/>
          <w:i/>
          <w:iCs/>
          <w:sz w:val="20"/>
          <w:szCs w:val="20"/>
        </w:rPr>
        <w:t xml:space="preserve"> Arbitrators</w:t>
      </w:r>
      <w:r w:rsidRPr="00863B68">
        <w:rPr>
          <w:rFonts w:ascii="Arial" w:hAnsi="Arial" w:cs="Arial"/>
          <w:sz w:val="20"/>
          <w:szCs w:val="20"/>
        </w:rPr>
        <w:t>).</w:t>
      </w:r>
    </w:p>
    <w:p w:rsidRPr="000D001A" w:rsidR="002D54C4" w:rsidP="004B0BBF" w:rsidRDefault="008B55A2" w14:paraId="5BD7A4EC" w14:textId="5685C822">
      <w:pPr>
        <w:pStyle w:val="Heading3"/>
        <w:rPr>
          <w:b w:val="0"/>
          <w:u w:val="none"/>
        </w:rPr>
      </w:pPr>
      <w:bookmarkStart w:name="_Toc206673067" w:id="137"/>
      <w:r>
        <w:rPr>
          <w:rFonts w:cs="Arial"/>
        </w:rPr>
        <w:t>Performance Guarantees</w:t>
      </w:r>
      <w:r>
        <w:rPr>
          <w:rFonts w:cs="Arial"/>
          <w:u w:val="none"/>
        </w:rPr>
        <w:t xml:space="preserve">: </w:t>
      </w:r>
      <w:r>
        <w:rPr>
          <w:rFonts w:cs="Arial"/>
          <w:b w:val="0"/>
          <w:u w:val="none"/>
        </w:rPr>
        <w:t>Each of the</w:t>
      </w:r>
      <w:r>
        <w:rPr>
          <w:b w:val="0"/>
          <w:bCs w:val="0"/>
          <w:u w:val="none"/>
        </w:rPr>
        <w:t xml:space="preserve"> BESS</w:t>
      </w:r>
      <w:r>
        <w:rPr>
          <w:rFonts w:cs="Arial"/>
          <w:b w:val="0"/>
          <w:u w:val="none"/>
        </w:rPr>
        <w:t xml:space="preserve"> performance guarantees identified as items A through E in Table A-3 </w:t>
      </w:r>
      <w:r w:rsidR="00731A68">
        <w:rPr>
          <w:b w:val="0"/>
          <w:u w:val="none"/>
        </w:rPr>
        <w:t>(</w:t>
      </w:r>
      <w:r w:rsidRPr="00B22641" w:rsidR="00731A68">
        <w:rPr>
          <w:b w:val="0"/>
          <w:i/>
          <w:iCs/>
          <w:u w:val="none"/>
        </w:rPr>
        <w:t>Additional Facility and Operating Information</w:t>
      </w:r>
      <w:r w:rsidR="00731A68">
        <w:rPr>
          <w:b w:val="0"/>
          <w:u w:val="none"/>
        </w:rPr>
        <w:t xml:space="preserve">) </w:t>
      </w:r>
      <w:r>
        <w:rPr>
          <w:rFonts w:cs="Arial"/>
          <w:b w:val="0"/>
          <w:u w:val="none"/>
        </w:rPr>
        <w:t>of Exhibit A (</w:t>
      </w:r>
      <w:r>
        <w:rPr>
          <w:rFonts w:cs="Arial"/>
          <w:b w:val="0"/>
          <w:i/>
          <w:u w:val="none"/>
        </w:rPr>
        <w:t>Facility Description and Additional Details</w:t>
      </w:r>
      <w:r>
        <w:rPr>
          <w:rFonts w:cs="Arial"/>
          <w:b w:val="0"/>
          <w:u w:val="none"/>
        </w:rPr>
        <w:t>).</w:t>
      </w:r>
      <w:bookmarkEnd w:id="137"/>
      <w:r>
        <w:rPr>
          <w:b w:val="0"/>
          <w:u w:val="none"/>
        </w:rPr>
        <w:t xml:space="preserve"> </w:t>
      </w:r>
    </w:p>
    <w:p w:rsidRPr="000D001A" w:rsidR="004A6665" w:rsidP="002C7C53" w:rsidRDefault="008B55A2" w14:paraId="7ADECCD8" w14:textId="77777777">
      <w:pPr>
        <w:pStyle w:val="Heading3"/>
      </w:pPr>
      <w:bookmarkStart w:name="_Toc206673068" w:id="138"/>
      <w:r>
        <w:t>Performance Metrics</w:t>
      </w:r>
      <w:r>
        <w:rPr>
          <w:u w:val="none"/>
        </w:rPr>
        <w:t xml:space="preserve">: </w:t>
      </w:r>
      <w:r>
        <w:rPr>
          <w:b w:val="0"/>
          <w:bCs w:val="0"/>
          <w:u w:val="none"/>
        </w:rPr>
        <w:t xml:space="preserve">Each of the performance metrics described in </w:t>
      </w:r>
      <w:r>
        <w:rPr>
          <w:b w:val="0"/>
          <w:u w:val="none"/>
        </w:rPr>
        <w:t>Exhibit C (</w:t>
      </w:r>
      <w:r>
        <w:rPr>
          <w:b w:val="0"/>
          <w:i/>
          <w:u w:val="none"/>
        </w:rPr>
        <w:t>Monthly Capacity Payments; Monthly Capacity Reductions; AGC Performance Metrics and Requirements</w:t>
      </w:r>
      <w:r>
        <w:rPr>
          <w:b w:val="0"/>
          <w:u w:val="none"/>
        </w:rPr>
        <w:t>)</w:t>
      </w:r>
      <w:r>
        <w:rPr>
          <w:b w:val="0"/>
          <w:bCs w:val="0"/>
          <w:u w:val="none"/>
        </w:rPr>
        <w:t>.</w:t>
      </w:r>
      <w:bookmarkEnd w:id="138"/>
    </w:p>
    <w:p w:rsidRPr="000D001A" w:rsidR="002D54C4" w:rsidP="004B0BBF" w:rsidRDefault="008B55A2" w14:paraId="506575E0" w14:textId="77777777">
      <w:pPr>
        <w:pStyle w:val="Heading3"/>
        <w:rPr>
          <w:rFonts w:cs="Arial"/>
        </w:rPr>
      </w:pPr>
      <w:bookmarkStart w:name="_Toc206673069" w:id="139"/>
      <w:r>
        <w:rPr>
          <w:rFonts w:cs="Arial"/>
        </w:rPr>
        <w:t>Performance Security</w:t>
      </w:r>
      <w:r>
        <w:rPr>
          <w:rFonts w:cs="Arial"/>
          <w:u w:val="none"/>
        </w:rPr>
        <w:t xml:space="preserve">: </w:t>
      </w:r>
      <w:r>
        <w:rPr>
          <w:rFonts w:cs="Arial"/>
          <w:b w:val="0"/>
          <w:bCs w:val="0"/>
          <w:u w:val="none"/>
        </w:rPr>
        <w:t xml:space="preserve">Security in the form of Eligible Collateral that Seller must deliver to GPC to secure Seller’s due performance of Seller’s PPA obligations, as required under </w:t>
      </w:r>
      <w:r>
        <w:rPr>
          <w:rFonts w:cs="Arial"/>
          <w:b w:val="0"/>
          <w:u w:val="none"/>
        </w:rPr>
        <w:t>Section 6.1 (</w:t>
      </w:r>
      <w:r>
        <w:rPr>
          <w:rFonts w:cs="Arial"/>
          <w:b w:val="0"/>
          <w:i/>
          <w:u w:val="none"/>
        </w:rPr>
        <w:t>Performance Security</w:t>
      </w:r>
      <w:r>
        <w:rPr>
          <w:rFonts w:cs="Arial"/>
          <w:b w:val="0"/>
          <w:u w:val="none"/>
        </w:rPr>
        <w:t>) and Part 1 (</w:t>
      </w:r>
      <w:r>
        <w:rPr>
          <w:rFonts w:cs="Arial"/>
          <w:b w:val="0"/>
          <w:i/>
          <w:iCs/>
          <w:u w:val="none"/>
        </w:rPr>
        <w:t>Performance Security</w:t>
      </w:r>
      <w:r>
        <w:rPr>
          <w:rFonts w:cs="Arial"/>
          <w:b w:val="0"/>
          <w:u w:val="none"/>
        </w:rPr>
        <w:t>) of Exhibit A-2 (</w:t>
      </w:r>
      <w:r>
        <w:rPr>
          <w:rFonts w:cs="Arial"/>
          <w:b w:val="0"/>
          <w:i/>
          <w:iCs/>
          <w:u w:val="none"/>
        </w:rPr>
        <w:t>Performance Security and Liquidated Damages</w:t>
      </w:r>
      <w:r>
        <w:rPr>
          <w:rFonts w:cs="Arial"/>
          <w:b w:val="0"/>
          <w:u w:val="none"/>
        </w:rPr>
        <w:t>).</w:t>
      </w:r>
      <w:bookmarkEnd w:id="139"/>
    </w:p>
    <w:p w:rsidRPr="000D001A" w:rsidR="002D54C4" w:rsidP="004B0BBF" w:rsidRDefault="008B55A2" w14:paraId="5F67F282" w14:textId="77777777">
      <w:pPr>
        <w:pStyle w:val="Heading3"/>
        <w:rPr>
          <w:rFonts w:cs="Arial"/>
        </w:rPr>
      </w:pPr>
      <w:bookmarkStart w:name="_Toc206673070" w:id="140"/>
      <w:r>
        <w:rPr>
          <w:rFonts w:cs="Arial"/>
        </w:rPr>
        <w:t>Performance Test</w:t>
      </w:r>
      <w:r>
        <w:rPr>
          <w:rFonts w:cs="Arial"/>
          <w:u w:val="none"/>
        </w:rPr>
        <w:t xml:space="preserve">: </w:t>
      </w:r>
      <w:r>
        <w:rPr>
          <w:rFonts w:cs="Arial"/>
          <w:b w:val="0"/>
          <w:bCs w:val="0"/>
          <w:u w:val="none"/>
        </w:rPr>
        <w:t xml:space="preserve">A performance test conducted in accordance with the procedures set forth in </w:t>
      </w:r>
      <w:r>
        <w:rPr>
          <w:rFonts w:cs="Arial"/>
          <w:b w:val="0"/>
          <w:u w:val="none"/>
        </w:rPr>
        <w:t>Exhibit E (</w:t>
      </w:r>
      <w:r>
        <w:rPr>
          <w:rFonts w:cs="Arial"/>
          <w:b w:val="0"/>
          <w:i/>
          <w:u w:val="none"/>
        </w:rPr>
        <w:t>Performance Testing Procedures</w:t>
      </w:r>
      <w:r>
        <w:rPr>
          <w:rFonts w:cs="Arial"/>
          <w:b w:val="0"/>
          <w:u w:val="none"/>
        </w:rPr>
        <w:t>).</w:t>
      </w:r>
      <w:r>
        <w:rPr>
          <w:rFonts w:cs="Arial"/>
          <w:b w:val="0"/>
          <w:bCs w:val="0"/>
          <w:u w:val="none"/>
        </w:rPr>
        <w:t xml:space="preserve"> Performance Testing has a meaning correlative to that of Performance Test.</w:t>
      </w:r>
      <w:bookmarkEnd w:id="140"/>
      <w:r>
        <w:rPr>
          <w:rFonts w:cs="Arial"/>
        </w:rPr>
        <w:t xml:space="preserve"> </w:t>
      </w:r>
    </w:p>
    <w:p w:rsidRPr="000D001A" w:rsidR="002D54C4" w:rsidP="004B0BBF" w:rsidRDefault="008B55A2" w14:paraId="31CF40CA" w14:textId="77777777">
      <w:pPr>
        <w:pStyle w:val="Heading3"/>
        <w:rPr>
          <w:rFonts w:cs="Arial"/>
        </w:rPr>
      </w:pPr>
      <w:bookmarkStart w:name="_Toc206673071" w:id="141"/>
      <w:r>
        <w:rPr>
          <w:rFonts w:cs="Arial"/>
        </w:rPr>
        <w:t>Person</w:t>
      </w:r>
      <w:r>
        <w:rPr>
          <w:rFonts w:cs="Arial"/>
          <w:u w:val="none"/>
        </w:rPr>
        <w:t xml:space="preserve">: </w:t>
      </w:r>
      <w:r>
        <w:rPr>
          <w:rFonts w:cs="Arial"/>
          <w:b w:val="0"/>
          <w:bCs w:val="0"/>
          <w:u w:val="none"/>
        </w:rPr>
        <w:t>Any natural person, corporation, limited liability company, general partnership, limited partnership, proprietorship, other business organization, trust, union, association, or Governmental Authority.</w:t>
      </w:r>
      <w:bookmarkEnd w:id="141"/>
    </w:p>
    <w:p w:rsidRPr="004B0BBF" w:rsidR="002D54C4" w:rsidP="004B0BBF" w:rsidRDefault="008B55A2" w14:paraId="76F55DDF" w14:textId="5DDCF07C">
      <w:pPr>
        <w:pStyle w:val="Heading3"/>
        <w:rPr>
          <w:b w:val="0"/>
          <w:u w:val="none"/>
        </w:rPr>
      </w:pPr>
      <w:bookmarkStart w:name="_Toc206673072" w:id="142"/>
      <w:r>
        <w:rPr>
          <w:rFonts w:cs="Arial"/>
        </w:rPr>
        <w:t>Point of Interconnection (POI)</w:t>
      </w:r>
      <w:r>
        <w:rPr>
          <w:rFonts w:cs="Arial"/>
          <w:u w:val="none"/>
        </w:rPr>
        <w:t xml:space="preserve">: </w:t>
      </w:r>
      <w:r>
        <w:rPr>
          <w:rFonts w:cs="Arial" w:eastAsiaTheme="minorHAnsi"/>
          <w:b w:val="0"/>
          <w:bCs w:val="0"/>
          <w:u w:val="none"/>
        </w:rPr>
        <w:t xml:space="preserve">The point of connection between the Southern Company Transmission System and the Facility and, if applicable, the Renewable Resource, as identified in </w:t>
      </w:r>
      <w:r>
        <w:rPr>
          <w:rFonts w:cs="Arial" w:eastAsiaTheme="minorHAnsi"/>
          <w:b w:val="0"/>
          <w:u w:val="none"/>
        </w:rPr>
        <w:t>Table A-1</w:t>
      </w:r>
      <w:r>
        <w:rPr>
          <w:rFonts w:cs="Arial" w:eastAsiaTheme="minorHAnsi"/>
          <w:b w:val="0"/>
          <w:bCs w:val="0"/>
          <w:u w:val="none"/>
        </w:rPr>
        <w:t xml:space="preserve"> of </w:t>
      </w:r>
      <w:r>
        <w:rPr>
          <w:rFonts w:cs="Arial" w:eastAsiaTheme="minorHAnsi"/>
          <w:b w:val="0"/>
          <w:u w:val="none"/>
        </w:rPr>
        <w:t>Exhibit A (</w:t>
      </w:r>
      <w:r>
        <w:rPr>
          <w:rFonts w:cs="Arial" w:eastAsiaTheme="minorHAnsi"/>
          <w:b w:val="0"/>
          <w:i/>
          <w:u w:val="none"/>
        </w:rPr>
        <w:t>Facility Description and Additional Details</w:t>
      </w:r>
      <w:r>
        <w:rPr>
          <w:rFonts w:cs="Arial" w:eastAsiaTheme="minorHAnsi"/>
          <w:b w:val="0"/>
          <w:u w:val="none"/>
        </w:rPr>
        <w:t>)</w:t>
      </w:r>
      <w:r>
        <w:rPr>
          <w:rFonts w:cs="Arial" w:eastAsiaTheme="minorHAnsi"/>
          <w:b w:val="0"/>
          <w:bCs w:val="0"/>
          <w:u w:val="none"/>
        </w:rPr>
        <w:t xml:space="preserve"> and further described in the IA.</w:t>
      </w:r>
      <w:bookmarkEnd w:id="142"/>
      <w:r>
        <w:rPr>
          <w:rFonts w:cs="Arial" w:eastAsiaTheme="minorHAnsi"/>
          <w:b w:val="0"/>
          <w:bCs w:val="0"/>
          <w:u w:val="none"/>
        </w:rPr>
        <w:t xml:space="preserve"> </w:t>
      </w:r>
    </w:p>
    <w:p w:rsidRPr="00DD763E" w:rsidR="00916FDC" w:rsidP="003E65BA" w:rsidRDefault="00DD763E" w14:paraId="027F8F4A" w14:textId="6F2A96C7">
      <w:pPr>
        <w:spacing w:before="120" w:after="120" w:line="240" w:lineRule="auto"/>
        <w:jc w:val="both"/>
        <w:rPr>
          <w:rFonts w:ascii="Arial" w:hAnsi="Arial" w:cs="Arial"/>
          <w:sz w:val="20"/>
          <w:szCs w:val="20"/>
        </w:rPr>
      </w:pPr>
      <w:r w:rsidRPr="00E514F4">
        <w:rPr>
          <w:rFonts w:ascii="Arial" w:hAnsi="Arial" w:cs="Arial"/>
          <w:b/>
          <w:bCs/>
          <w:sz w:val="20"/>
          <w:szCs w:val="20"/>
          <w:u w:val="single"/>
        </w:rPr>
        <w:t>Potential High Limit</w:t>
      </w:r>
      <w:r w:rsidR="00DC3C2D">
        <w:rPr>
          <w:rFonts w:ascii="Arial" w:hAnsi="Arial" w:cs="Arial"/>
          <w:b/>
          <w:bCs/>
          <w:sz w:val="20"/>
          <w:szCs w:val="20"/>
          <w:u w:val="single"/>
        </w:rPr>
        <w:t xml:space="preserve"> </w:t>
      </w:r>
      <w:r w:rsidR="00381EF4">
        <w:rPr>
          <w:rFonts w:ascii="Arial" w:hAnsi="Arial" w:cs="Arial"/>
          <w:b/>
          <w:bCs/>
          <w:sz w:val="20"/>
          <w:szCs w:val="20"/>
          <w:u w:val="single"/>
        </w:rPr>
        <w:t>(</w:t>
      </w:r>
      <w:r w:rsidR="00DC3C2D">
        <w:rPr>
          <w:rFonts w:ascii="Arial" w:hAnsi="Arial" w:cs="Arial"/>
          <w:b/>
          <w:bCs/>
          <w:sz w:val="20"/>
          <w:szCs w:val="20"/>
          <w:u w:val="single"/>
        </w:rPr>
        <w:t>PHL</w:t>
      </w:r>
      <w:r w:rsidR="00381EF4">
        <w:rPr>
          <w:rFonts w:ascii="Arial" w:hAnsi="Arial" w:cs="Arial"/>
          <w:b/>
          <w:bCs/>
          <w:sz w:val="20"/>
          <w:szCs w:val="20"/>
          <w:u w:val="single"/>
        </w:rPr>
        <w:t>)</w:t>
      </w:r>
      <w:r w:rsidRPr="00DF20A4">
        <w:rPr>
          <w:rFonts w:ascii="Arial" w:hAnsi="Arial" w:cs="Arial"/>
          <w:b/>
          <w:bCs/>
          <w:sz w:val="20"/>
          <w:szCs w:val="20"/>
        </w:rPr>
        <w:t>:</w:t>
      </w:r>
      <w:r w:rsidRPr="00DD763E">
        <w:rPr>
          <w:rFonts w:ascii="Arial" w:hAnsi="Arial" w:cs="Arial"/>
          <w:sz w:val="20"/>
          <w:szCs w:val="20"/>
        </w:rPr>
        <w:t xml:space="preserve"> </w:t>
      </w:r>
      <w:r>
        <w:rPr>
          <w:rFonts w:ascii="Arial" w:hAnsi="Arial" w:cs="Arial"/>
          <w:sz w:val="20"/>
          <w:szCs w:val="20"/>
        </w:rPr>
        <w:t>The estimated value of the potential insta</w:t>
      </w:r>
      <w:r w:rsidR="00E514F4">
        <w:rPr>
          <w:rFonts w:ascii="Arial" w:hAnsi="Arial" w:cs="Arial"/>
          <w:sz w:val="20"/>
          <w:szCs w:val="20"/>
        </w:rPr>
        <w:t>ntaneous power output (MW) of the Facility as if the Facility is not in a period of curtailment</w:t>
      </w:r>
      <w:r w:rsidR="00444109">
        <w:rPr>
          <w:rFonts w:ascii="Arial" w:hAnsi="Arial" w:cs="Arial"/>
          <w:sz w:val="20"/>
          <w:szCs w:val="20"/>
        </w:rPr>
        <w:t>, as further described in Exhibit G (</w:t>
      </w:r>
      <w:r w:rsidRPr="00444109" w:rsidR="00444109">
        <w:rPr>
          <w:rFonts w:ascii="Arial" w:hAnsi="Arial" w:cs="Arial"/>
          <w:i/>
          <w:iCs/>
          <w:sz w:val="20"/>
          <w:szCs w:val="20"/>
        </w:rPr>
        <w:t>AGC and Facility Minimum Data Requirements</w:t>
      </w:r>
      <w:r w:rsidR="00444109">
        <w:rPr>
          <w:rFonts w:ascii="Arial" w:hAnsi="Arial" w:cs="Arial"/>
          <w:sz w:val="20"/>
          <w:szCs w:val="20"/>
        </w:rPr>
        <w:t>)</w:t>
      </w:r>
      <w:r w:rsidR="00E514F4">
        <w:rPr>
          <w:rFonts w:ascii="Arial" w:hAnsi="Arial" w:cs="Arial"/>
          <w:sz w:val="20"/>
          <w:szCs w:val="20"/>
        </w:rPr>
        <w:t>.</w:t>
      </w:r>
    </w:p>
    <w:p w:rsidRPr="000D001A" w:rsidR="002D54C4" w:rsidP="004B0BBF" w:rsidRDefault="008B55A2" w14:paraId="3E1F21B5" w14:textId="55AA4CE4">
      <w:pPr>
        <w:pStyle w:val="Heading3"/>
        <w:rPr>
          <w:b w:val="0"/>
        </w:rPr>
      </w:pPr>
      <w:bookmarkStart w:name="_Toc206673073" w:id="143"/>
      <w:r>
        <w:t>PPA</w:t>
      </w:r>
      <w:r>
        <w:rPr>
          <w:u w:val="none"/>
        </w:rPr>
        <w:t>:</w:t>
      </w:r>
      <w:r>
        <w:rPr>
          <w:b w:val="0"/>
          <w:u w:val="none"/>
        </w:rPr>
        <w:t xml:space="preserve"> This </w:t>
      </w:r>
      <w:r w:rsidRPr="004B0BBF">
        <w:rPr>
          <w:rStyle w:val="normaltextrun"/>
          <w:i/>
          <w:u w:val="none"/>
          <w:shd w:val="clear" w:color="auto" w:fill="FFFFFF"/>
        </w:rPr>
        <w:t xml:space="preserve">Power Purchase Agreement for Firm Capacity, Energy Storage Services, and Ancillary Services from a </w:t>
      </w:r>
      <w:r>
        <w:rPr>
          <w:rStyle w:val="normaltextrun"/>
          <w:bCs w:val="0"/>
          <w:i/>
          <w:iCs/>
          <w:u w:val="none"/>
          <w:shd w:val="clear" w:color="auto" w:fill="FFFFFF"/>
        </w:rPr>
        <w:t xml:space="preserve">Battery Energy Storage System </w:t>
      </w:r>
      <w:r w:rsidR="001324CA">
        <w:rPr>
          <w:rStyle w:val="normaltextrun"/>
          <w:bCs w:val="0"/>
          <w:i/>
          <w:iCs/>
          <w:u w:val="none"/>
          <w:shd w:val="clear" w:color="auto" w:fill="FFFFFF"/>
        </w:rPr>
        <w:t>[</w:t>
      </w:r>
      <w:r w:rsidRPr="001324CA" w:rsidR="001324CA">
        <w:rPr>
          <w:rStyle w:val="normaltextrun"/>
          <w:bCs w:val="0"/>
          <w:i/>
          <w:iCs/>
          <w:highlight w:val="yellow"/>
          <w:u w:val="none"/>
          <w:shd w:val="clear" w:color="auto" w:fill="FFFFFF"/>
        </w:rPr>
        <w:t>Paired with a Renewable Resource</w:t>
      </w:r>
      <w:r w:rsidR="001324CA">
        <w:rPr>
          <w:rStyle w:val="normaltextrun"/>
          <w:bCs w:val="0"/>
          <w:i/>
          <w:iCs/>
          <w:u w:val="none"/>
          <w:shd w:val="clear" w:color="auto" w:fill="FFFFFF"/>
        </w:rPr>
        <w:t xml:space="preserve">] for </w:t>
      </w:r>
      <w:r w:rsidR="002D615D">
        <w:rPr>
          <w:i/>
          <w:iCs/>
          <w:u w:val="none"/>
        </w:rPr>
        <w:t>2026 All-Source Capacity Request for Proposals for Need Years 2032</w:t>
      </w:r>
      <w:r w:rsidR="000F49F2">
        <w:rPr>
          <w:i/>
          <w:iCs/>
          <w:u w:val="none"/>
        </w:rPr>
        <w:t>-</w:t>
      </w:r>
      <w:r w:rsidR="00F257FD">
        <w:rPr>
          <w:i/>
          <w:iCs/>
          <w:u w:val="none"/>
        </w:rPr>
        <w:t xml:space="preserve"> </w:t>
      </w:r>
      <w:r w:rsidR="002D615D">
        <w:rPr>
          <w:i/>
          <w:iCs/>
          <w:u w:val="none"/>
        </w:rPr>
        <w:t>2033</w:t>
      </w:r>
      <w:r w:rsidR="001F69C6">
        <w:rPr>
          <w:rStyle w:val="normaltextrun"/>
          <w:bCs w:val="0"/>
          <w:i/>
          <w:iCs/>
          <w:u w:val="none"/>
          <w:shd w:val="clear" w:color="auto" w:fill="FFFFFF"/>
        </w:rPr>
        <w:t xml:space="preserve"> </w:t>
      </w:r>
      <w:r>
        <w:rPr>
          <w:rStyle w:val="normaltextrun"/>
          <w:bCs w:val="0"/>
          <w:i/>
          <w:iCs/>
          <w:u w:val="none"/>
          <w:shd w:val="clear" w:color="auto" w:fill="FFFFFF"/>
        </w:rPr>
        <w:t>at #</w:t>
      </w:r>
      <w:r>
        <w:rPr>
          <w:rStyle w:val="normaltextrun"/>
          <w:bCs w:val="0"/>
          <w:i/>
          <w:iCs/>
          <w:highlight w:val="yellow"/>
          <w:u w:val="none"/>
          <w:shd w:val="clear" w:color="auto" w:fill="FFFFFF"/>
        </w:rPr>
        <w:t>FacilityName</w:t>
      </w:r>
      <w:r>
        <w:rPr>
          <w:rStyle w:val="normaltextrun"/>
          <w:bCs w:val="0"/>
          <w:i/>
          <w:iCs/>
          <w:u w:val="none"/>
          <w:shd w:val="clear" w:color="auto" w:fill="FFFFFF"/>
        </w:rPr>
        <w:t>#</w:t>
      </w:r>
      <w:r>
        <w:rPr>
          <w:rStyle w:val="normaltextrun"/>
          <w:b w:val="0"/>
          <w:bCs w:val="0"/>
          <w:u w:val="none"/>
          <w:shd w:val="clear" w:color="auto" w:fill="FFFFFF"/>
        </w:rPr>
        <w:t xml:space="preserve"> </w:t>
      </w:r>
      <w:r>
        <w:rPr>
          <w:b w:val="0"/>
          <w:u w:val="none"/>
        </w:rPr>
        <w:t>between GPC and Seller.</w:t>
      </w:r>
      <w:bookmarkEnd w:id="143"/>
    </w:p>
    <w:p w:rsidRPr="000D001A" w:rsidR="002D54C4" w:rsidP="004B0BBF" w:rsidRDefault="008B55A2" w14:paraId="4B5CF398" w14:textId="77777777">
      <w:pPr>
        <w:pStyle w:val="Heading3"/>
        <w:rPr>
          <w:rFonts w:cs="Arial"/>
        </w:rPr>
      </w:pPr>
      <w:bookmarkStart w:name="_Toc206673074" w:id="144"/>
      <w:r>
        <w:rPr>
          <w:rFonts w:cs="Arial"/>
        </w:rPr>
        <w:t>Primary Beneficiary</w:t>
      </w:r>
      <w:r>
        <w:rPr>
          <w:rFonts w:cs="Arial"/>
          <w:u w:val="none"/>
        </w:rPr>
        <w:t xml:space="preserve">: </w:t>
      </w:r>
      <w:r>
        <w:rPr>
          <w:rFonts w:cs="Arial"/>
          <w:b w:val="0"/>
          <w:bCs w:val="0"/>
          <w:u w:val="none"/>
        </w:rPr>
        <w:t>As defined in FASB ASC Topic 810 (</w:t>
      </w:r>
      <w:r>
        <w:rPr>
          <w:rFonts w:cs="Arial"/>
          <w:b w:val="0"/>
          <w:bCs w:val="0"/>
          <w:i/>
          <w:u w:val="none"/>
        </w:rPr>
        <w:t>Consolidation</w:t>
      </w:r>
      <w:r>
        <w:rPr>
          <w:rFonts w:cs="Arial"/>
          <w:b w:val="0"/>
          <w:bCs w:val="0"/>
          <w:u w:val="none"/>
        </w:rPr>
        <w:t>), as issued and modified from time to time by FASB.</w:t>
      </w:r>
      <w:bookmarkEnd w:id="144"/>
      <w:r>
        <w:rPr>
          <w:rFonts w:cs="Arial"/>
        </w:rPr>
        <w:t xml:space="preserve">  </w:t>
      </w:r>
    </w:p>
    <w:p w:rsidRPr="000D001A" w:rsidR="002D54C4" w:rsidP="004B0BBF" w:rsidRDefault="008B55A2" w14:paraId="47F9FC10" w14:textId="77777777">
      <w:pPr>
        <w:pStyle w:val="Heading3"/>
        <w:rPr>
          <w:rFonts w:cs="Arial"/>
        </w:rPr>
      </w:pPr>
      <w:bookmarkStart w:name="_Toc206673075" w:id="145"/>
      <w:r>
        <w:rPr>
          <w:rFonts w:cs="Arial"/>
        </w:rPr>
        <w:t>Project</w:t>
      </w:r>
      <w:r>
        <w:rPr>
          <w:rFonts w:cs="Arial"/>
          <w:u w:val="none"/>
        </w:rPr>
        <w:t xml:space="preserve">: </w:t>
      </w:r>
      <w:r>
        <w:rPr>
          <w:rFonts w:cs="Arial"/>
          <w:b w:val="0"/>
          <w:bCs w:val="0"/>
          <w:u w:val="none"/>
        </w:rPr>
        <w:t>The design, engineering, construction, testing, and commissioning of the Facility and, as applicable, the ownership, operation, management, and maintenance of the Facility, all of which being reasonably expected to enable Seller to fulfill its obligations under this PPA.</w:t>
      </w:r>
      <w:bookmarkEnd w:id="145"/>
    </w:p>
    <w:p w:rsidRPr="000D001A" w:rsidR="002D54C4" w:rsidP="004B0BBF" w:rsidRDefault="008B55A2" w14:paraId="5C47D697" w14:textId="548E766E">
      <w:pPr>
        <w:pStyle w:val="Heading3"/>
        <w:rPr>
          <w:rFonts w:cs="Arial"/>
        </w:rPr>
      </w:pPr>
      <w:bookmarkStart w:name="_Hlk37504624" w:id="146"/>
      <w:bookmarkStart w:name="_Toc206673076" w:id="147"/>
      <w:r>
        <w:rPr>
          <w:rFonts w:cs="Arial"/>
        </w:rPr>
        <w:lastRenderedPageBreak/>
        <w:t>Proposed Resolutions</w:t>
      </w:r>
      <w:r>
        <w:rPr>
          <w:rFonts w:cs="Arial"/>
          <w:u w:val="none"/>
        </w:rPr>
        <w:t xml:space="preserve">: </w:t>
      </w:r>
      <w:bookmarkEnd w:id="146"/>
      <w:r>
        <w:rPr>
          <w:rFonts w:cs="Arial"/>
          <w:b w:val="0"/>
          <w:u w:val="none"/>
        </w:rPr>
        <w:t>As defined</w:t>
      </w:r>
      <w:r>
        <w:rPr>
          <w:rFonts w:cs="Arial"/>
          <w:b w:val="0"/>
          <w:bCs w:val="0"/>
          <w:u w:val="none"/>
        </w:rPr>
        <w:t xml:space="preserve"> in </w:t>
      </w:r>
      <w:r>
        <w:rPr>
          <w:rFonts w:cs="Arial"/>
          <w:b w:val="0"/>
          <w:u w:val="none"/>
        </w:rPr>
        <w:t>Section 19.3.3 (</w:t>
      </w:r>
      <w:r>
        <w:rPr>
          <w:rFonts w:cs="Arial"/>
          <w:b w:val="0"/>
          <w:i/>
          <w:u w:val="none"/>
        </w:rPr>
        <w:t>Discovery; Hearing</w:t>
      </w:r>
      <w:r>
        <w:rPr>
          <w:rFonts w:cs="Arial"/>
          <w:b w:val="0"/>
          <w:u w:val="none"/>
        </w:rPr>
        <w:t>).</w:t>
      </w:r>
      <w:bookmarkEnd w:id="147"/>
    </w:p>
    <w:p w:rsidRPr="000D001A" w:rsidR="002D54C4" w:rsidP="004B0BBF" w:rsidRDefault="008B55A2" w14:paraId="4B004475" w14:textId="77777777">
      <w:pPr>
        <w:pStyle w:val="Heading3"/>
        <w:rPr>
          <w:rFonts w:cs="Arial"/>
        </w:rPr>
      </w:pPr>
      <w:bookmarkStart w:name="_Toc206673077" w:id="148"/>
      <w:r>
        <w:rPr>
          <w:rFonts w:cs="Arial"/>
        </w:rPr>
        <w:t>Prudent Industry Practices</w:t>
      </w:r>
      <w:r>
        <w:rPr>
          <w:rFonts w:cs="Arial"/>
          <w:u w:val="none"/>
        </w:rPr>
        <w:t xml:space="preserve">: </w:t>
      </w:r>
      <w:r>
        <w:rPr>
          <w:rFonts w:cs="Arial"/>
          <w:b w:val="0"/>
          <w:u w:val="none"/>
        </w:rPr>
        <w:t>Any of the practices, methods, standards, or acts engaged in or approved by a significant portion of the electric power industry in the United States that, at a particular time, in the exercise of reasonable judgment in light of the facts known or that should reasonably have been known when a decision was made, could have been expected to accomplish the desired result, consistent with good business practices, reliability, economy, safety, and expedition. Prudent Industry Practices are not intended to be limited to the optimum practices, methods, or acts to the exclusion of all others, but rather to be acceptable practices, methods, or acts generally accepted in the United States electric power industry having due regard for, among other things, manufacturers’ warranties, applicable law, and, as applicable, requirements of this PPA.</w:t>
      </w:r>
      <w:bookmarkEnd w:id="148"/>
    </w:p>
    <w:p w:rsidRPr="000D001A" w:rsidR="002D54C4" w:rsidP="004B0BBF" w:rsidRDefault="008B55A2" w14:paraId="644F2208" w14:textId="77777777">
      <w:pPr>
        <w:pStyle w:val="Heading3"/>
        <w:rPr>
          <w:rFonts w:cs="Arial"/>
        </w:rPr>
      </w:pPr>
      <w:bookmarkStart w:name="_Toc206673078" w:id="149"/>
      <w:r>
        <w:rPr>
          <w:rFonts w:cs="Arial"/>
        </w:rPr>
        <w:t>Rating Agency</w:t>
      </w:r>
      <w:r>
        <w:rPr>
          <w:rFonts w:cs="Arial"/>
          <w:u w:val="none"/>
        </w:rPr>
        <w:t xml:space="preserve">: </w:t>
      </w:r>
      <w:r>
        <w:rPr>
          <w:rFonts w:cs="Arial"/>
          <w:b w:val="0"/>
          <w:u w:val="none"/>
        </w:rPr>
        <w:t>The rating entities of S&amp;P, Moody’s, or Fitch. If any Rating Agency ceases to exist or publish ratings, the Rating Agency will be replaced under this PPA with a nationally recognized rating agency mutually agreed upon by the Parties.</w:t>
      </w:r>
      <w:bookmarkEnd w:id="149"/>
    </w:p>
    <w:p w:rsidRPr="004B0BBF" w:rsidR="002D54C4" w:rsidP="004B0BBF" w:rsidRDefault="008B55A2" w14:paraId="4AD96B77" w14:textId="77777777">
      <w:pPr>
        <w:pStyle w:val="Heading3"/>
        <w:rPr>
          <w:b w:val="0"/>
          <w:u w:val="none"/>
        </w:rPr>
      </w:pPr>
      <w:bookmarkStart w:name="_Toc206673079" w:id="150"/>
      <w:r>
        <w:rPr>
          <w:rFonts w:cs="Arial"/>
        </w:rPr>
        <w:t>RCOD</w:t>
      </w:r>
      <w:r>
        <w:rPr>
          <w:rFonts w:cs="Arial"/>
          <w:u w:val="none"/>
        </w:rPr>
        <w:t xml:space="preserve">: </w:t>
      </w:r>
      <w:r>
        <w:rPr>
          <w:rFonts w:cs="Arial"/>
          <w:b w:val="0"/>
          <w:u w:val="none"/>
        </w:rPr>
        <w:t xml:space="preserve">See </w:t>
      </w:r>
      <w:r>
        <w:rPr>
          <w:rFonts w:cs="Arial"/>
          <w:b w:val="0"/>
          <w:i/>
          <w:u w:val="none"/>
        </w:rPr>
        <w:t>Required Commercial Operation Date</w:t>
      </w:r>
      <w:r>
        <w:rPr>
          <w:rFonts w:cs="Arial"/>
          <w:b w:val="0"/>
          <w:u w:val="none"/>
        </w:rPr>
        <w:t>.</w:t>
      </w:r>
      <w:bookmarkEnd w:id="150"/>
    </w:p>
    <w:p w:rsidRPr="000D001A" w:rsidR="009325F1" w:rsidP="005C7FA7" w:rsidRDefault="008B55A2" w14:paraId="22364AF4" w14:textId="77777777">
      <w:pPr>
        <w:pStyle w:val="Heading3"/>
      </w:pPr>
      <w:bookmarkStart w:name="_Toc206673080" w:id="151"/>
      <w:bookmarkStart w:name="_Hlk37504706" w:id="152"/>
      <w:r>
        <w:t>Renewable Resource</w:t>
      </w:r>
      <w:r>
        <w:rPr>
          <w:u w:val="none"/>
        </w:rPr>
        <w:t xml:space="preserve">: </w:t>
      </w:r>
      <w:r>
        <w:rPr>
          <w:b w:val="0"/>
          <w:bCs w:val="0"/>
          <w:u w:val="none"/>
        </w:rPr>
        <w:t xml:space="preserve"> </w:t>
      </w:r>
      <w:r>
        <w:rPr>
          <w:rFonts w:cs="Arial"/>
          <w:b w:val="0"/>
          <w:bCs w:val="0"/>
          <w:u w:val="none"/>
        </w:rPr>
        <w:t xml:space="preserve">If applicable and as may be further described in </w:t>
      </w:r>
      <w:r>
        <w:rPr>
          <w:rFonts w:cs="Arial"/>
          <w:b w:val="0"/>
          <w:u w:val="none"/>
        </w:rPr>
        <w:t>Exhibit A (</w:t>
      </w:r>
      <w:r>
        <w:rPr>
          <w:rFonts w:cs="Arial"/>
          <w:b w:val="0"/>
          <w:i/>
          <w:u w:val="none"/>
        </w:rPr>
        <w:t>Facility Description and Additional Details</w:t>
      </w:r>
      <w:r>
        <w:rPr>
          <w:rFonts w:cs="Arial"/>
          <w:b w:val="0"/>
          <w:u w:val="none"/>
        </w:rPr>
        <w:t>)</w:t>
      </w:r>
      <w:r>
        <w:rPr>
          <w:rFonts w:cs="Arial"/>
          <w:b w:val="0"/>
          <w:bCs w:val="0"/>
          <w:u w:val="none"/>
        </w:rPr>
        <w:t>,</w:t>
      </w:r>
      <w:r>
        <w:rPr>
          <w:b w:val="0"/>
          <w:bCs w:val="0"/>
          <w:u w:val="none"/>
        </w:rPr>
        <w:t xml:space="preserve"> a renewable energy generating facility that: (i) connects or will connect to the Southern Company Transmission System at the POI; (ii) will have achieved commercial operation, as defined by the Renewable Resource PPA, on or before the RCOD; (iii) is subject to a Renewable Resource PPA; and (iv) is or will be paired with the Facility.</w:t>
      </w:r>
      <w:bookmarkEnd w:id="151"/>
    </w:p>
    <w:p w:rsidRPr="000D001A" w:rsidR="00693372" w:rsidP="005C7FA7" w:rsidRDefault="008B55A2" w14:paraId="17E6321C" w14:textId="77777777">
      <w:pPr>
        <w:pStyle w:val="Heading3"/>
        <w:rPr>
          <w:u w:val="none"/>
        </w:rPr>
      </w:pPr>
      <w:bookmarkStart w:name="_Toc206673081" w:id="153"/>
      <w:bookmarkEnd w:id="152"/>
      <w:r>
        <w:t>Renewable Resource Charging</w:t>
      </w:r>
      <w:r>
        <w:rPr>
          <w:u w:val="none"/>
        </w:rPr>
        <w:t xml:space="preserve">: </w:t>
      </w:r>
      <w:r>
        <w:rPr>
          <w:b w:val="0"/>
          <w:bCs w:val="0"/>
          <w:u w:val="none"/>
        </w:rPr>
        <w:t xml:space="preserve">Charging the BESS from the Renewable Resource, if applicable and as may be further described in </w:t>
      </w:r>
      <w:r>
        <w:rPr>
          <w:b w:val="0"/>
          <w:u w:val="none"/>
        </w:rPr>
        <w:t>Exhibit A (</w:t>
      </w:r>
      <w:r>
        <w:rPr>
          <w:b w:val="0"/>
          <w:i/>
          <w:u w:val="none"/>
        </w:rPr>
        <w:t>Facility Description and Additional Details</w:t>
      </w:r>
      <w:r>
        <w:rPr>
          <w:b w:val="0"/>
          <w:u w:val="none"/>
        </w:rPr>
        <w:t>)</w:t>
      </w:r>
      <w:r>
        <w:rPr>
          <w:b w:val="0"/>
          <w:bCs w:val="0"/>
          <w:u w:val="none"/>
        </w:rPr>
        <w:t>.</w:t>
      </w:r>
      <w:bookmarkEnd w:id="153"/>
    </w:p>
    <w:p w:rsidRPr="000D001A" w:rsidR="00CA5844" w:rsidP="005C7FA7" w:rsidRDefault="008B55A2" w14:paraId="751D09E0" w14:textId="27C4538A">
      <w:pPr>
        <w:pStyle w:val="Heading3"/>
        <w:rPr>
          <w:b w:val="0"/>
          <w:bCs w:val="0"/>
          <w:u w:val="none"/>
        </w:rPr>
      </w:pPr>
      <w:bookmarkStart w:name="_Toc206673082" w:id="154"/>
      <w:r>
        <w:t>Renewable Resource Charging Energy</w:t>
      </w:r>
      <w:r>
        <w:rPr>
          <w:b w:val="0"/>
          <w:bCs w:val="0"/>
          <w:u w:val="none"/>
        </w:rPr>
        <w:t>: Charging Energy delivered to the BESS from the Renewable Resource, if applicable.</w:t>
      </w:r>
      <w:bookmarkEnd w:id="154"/>
    </w:p>
    <w:p w:rsidRPr="000D001A" w:rsidR="00693372" w:rsidP="005C7FA7" w:rsidRDefault="008B55A2" w14:paraId="7610CEEF" w14:textId="2A5E298E">
      <w:pPr>
        <w:pStyle w:val="Heading3"/>
        <w:rPr>
          <w:b w:val="0"/>
          <w:bCs w:val="0"/>
          <w:u w:val="none"/>
        </w:rPr>
      </w:pPr>
      <w:bookmarkStart w:name="_Toc206673083" w:id="155"/>
      <w:r>
        <w:t>Renewable Resource Seller</w:t>
      </w:r>
      <w:r>
        <w:rPr>
          <w:u w:val="none"/>
        </w:rPr>
        <w:t>:</w:t>
      </w:r>
      <w:r>
        <w:rPr>
          <w:b w:val="0"/>
          <w:bCs w:val="0"/>
          <w:u w:val="none"/>
        </w:rPr>
        <w:t xml:space="preserve"> The counterparty identified in the Renewable Resource PPA responsible for providing to GPC energy from the Renewable Resource, if applicable and as may be further described in </w:t>
      </w:r>
      <w:r w:rsidR="00237FB4">
        <w:rPr>
          <w:b w:val="0"/>
          <w:bCs w:val="0"/>
          <w:u w:val="none"/>
        </w:rPr>
        <w:t>Table A-4 (</w:t>
      </w:r>
      <w:r w:rsidRPr="00237FB4" w:rsidR="00237FB4">
        <w:rPr>
          <w:b w:val="0"/>
          <w:bCs w:val="0"/>
          <w:i/>
          <w:iCs/>
          <w:u w:val="none"/>
        </w:rPr>
        <w:t>Renewable Resource and Site Information</w:t>
      </w:r>
      <w:r w:rsidR="00237FB4">
        <w:rPr>
          <w:b w:val="0"/>
          <w:bCs w:val="0"/>
          <w:u w:val="none"/>
        </w:rPr>
        <w:t xml:space="preserve">) of </w:t>
      </w:r>
      <w:r>
        <w:rPr>
          <w:b w:val="0"/>
          <w:u w:val="none"/>
        </w:rPr>
        <w:t>Exhibit A (</w:t>
      </w:r>
      <w:r>
        <w:rPr>
          <w:b w:val="0"/>
          <w:i/>
          <w:u w:val="none"/>
        </w:rPr>
        <w:t>Facility Description and Additional Details</w:t>
      </w:r>
      <w:r>
        <w:rPr>
          <w:b w:val="0"/>
          <w:u w:val="none"/>
        </w:rPr>
        <w:t>)</w:t>
      </w:r>
      <w:r>
        <w:rPr>
          <w:b w:val="0"/>
          <w:bCs w:val="0"/>
          <w:u w:val="none"/>
        </w:rPr>
        <w:t>.</w:t>
      </w:r>
      <w:bookmarkEnd w:id="155"/>
    </w:p>
    <w:p w:rsidRPr="00872813" w:rsidR="002A5ABD" w:rsidP="00872813" w:rsidRDefault="008B55A2" w14:paraId="7DDF8AB3" w14:textId="1C3CC482">
      <w:pPr>
        <w:pStyle w:val="Heading3"/>
        <w:rPr>
          <w:rFonts w:cs="Arial"/>
          <w:b w:val="0"/>
          <w:bCs w:val="0"/>
          <w:u w:val="none"/>
        </w:rPr>
      </w:pPr>
      <w:bookmarkStart w:name="_Toc206673084" w:id="156"/>
      <w:r>
        <w:t>Renewable Resource PPA</w:t>
      </w:r>
      <w:r>
        <w:rPr>
          <w:u w:val="none"/>
        </w:rPr>
        <w:t xml:space="preserve">: </w:t>
      </w:r>
      <w:r w:rsidR="000F65BD">
        <w:rPr>
          <w:b w:val="0"/>
          <w:bCs w:val="0"/>
          <w:u w:val="none"/>
        </w:rPr>
        <w:t>Either: (i) a</w:t>
      </w:r>
      <w:r>
        <w:rPr>
          <w:b w:val="0"/>
          <w:bCs w:val="0"/>
          <w:u w:val="none"/>
        </w:rPr>
        <w:t>n existing power purchase agreement (</w:t>
      </w:r>
      <w:r w:rsidR="000E3330">
        <w:rPr>
          <w:b w:val="0"/>
          <w:bCs w:val="0"/>
          <w:u w:val="none"/>
        </w:rPr>
        <w:t>a</w:t>
      </w:r>
      <w:r>
        <w:rPr>
          <w:b w:val="0"/>
          <w:bCs w:val="0"/>
          <w:u w:val="none"/>
        </w:rPr>
        <w:t>) under which GPC purchases energy generated by the Renewable Resource; and (</w:t>
      </w:r>
      <w:r w:rsidR="000E3330">
        <w:rPr>
          <w:b w:val="0"/>
          <w:bCs w:val="0"/>
          <w:u w:val="none"/>
        </w:rPr>
        <w:t>b</w:t>
      </w:r>
      <w:r>
        <w:rPr>
          <w:b w:val="0"/>
          <w:bCs w:val="0"/>
          <w:u w:val="none"/>
        </w:rPr>
        <w:t xml:space="preserve">) that was awarded by GPC through a </w:t>
      </w:r>
      <w:r w:rsidR="00747632">
        <w:rPr>
          <w:rFonts w:cs="Arial"/>
          <w:b w:val="0"/>
          <w:bCs w:val="0"/>
          <w:u w:val="none"/>
        </w:rPr>
        <w:t xml:space="preserve">prior GPC RFP; or (ii) a new power purchase agreement in the form of </w:t>
      </w:r>
      <w:r w:rsidRPr="00387B86" w:rsidR="00CC43AC">
        <w:rPr>
          <w:rFonts w:cs="Arial"/>
          <w:b w:val="0"/>
          <w:bCs w:val="0"/>
          <w:i/>
          <w:iCs/>
          <w:u w:val="none"/>
        </w:rPr>
        <w:t>Power Purchase Agreement for Firm Capacity, Associated Energy, and Ancillary Services from a Battery Energy Storage System with Renewable Resource for ESS 500</w:t>
      </w:r>
      <w:r w:rsidR="00CC43AC">
        <w:rPr>
          <w:rFonts w:cs="Arial"/>
          <w:b w:val="0"/>
          <w:bCs w:val="0"/>
          <w:i/>
          <w:iCs/>
          <w:u w:val="none"/>
        </w:rPr>
        <w:t xml:space="preserve">, </w:t>
      </w:r>
      <w:r w:rsidRPr="00A8557D" w:rsidR="00CC43AC">
        <w:rPr>
          <w:rFonts w:cs="Arial"/>
          <w:b w:val="0"/>
          <w:bCs w:val="0"/>
          <w:u w:val="none"/>
        </w:rPr>
        <w:t>in either case</w:t>
      </w:r>
      <w:r w:rsidRPr="00872813">
        <w:rPr>
          <w:rFonts w:cs="Arial"/>
          <w:b w:val="0"/>
          <w:bCs w:val="0"/>
          <w:u w:val="none"/>
        </w:rPr>
        <w:t xml:space="preserve">, if applicable and as may be further described in </w:t>
      </w:r>
      <w:r w:rsidRPr="00872813" w:rsidR="00310048">
        <w:rPr>
          <w:rFonts w:cs="Arial"/>
          <w:b w:val="0"/>
          <w:bCs w:val="0"/>
          <w:u w:val="none"/>
        </w:rPr>
        <w:t>Table A-1 (</w:t>
      </w:r>
      <w:r w:rsidRPr="00872813" w:rsidR="00310048">
        <w:rPr>
          <w:rFonts w:cs="Arial"/>
          <w:b w:val="0"/>
          <w:bCs w:val="0"/>
          <w:i/>
          <w:iCs/>
          <w:u w:val="none"/>
        </w:rPr>
        <w:t>Facility and Site Information</w:t>
      </w:r>
      <w:r w:rsidRPr="00872813" w:rsidR="00310048">
        <w:rPr>
          <w:rFonts w:cs="Arial"/>
          <w:b w:val="0"/>
          <w:bCs w:val="0"/>
          <w:u w:val="none"/>
        </w:rPr>
        <w:t xml:space="preserve">) of </w:t>
      </w:r>
      <w:r w:rsidRPr="00872813">
        <w:rPr>
          <w:rFonts w:cs="Arial"/>
          <w:b w:val="0"/>
          <w:u w:val="none"/>
        </w:rPr>
        <w:t>Exhibit A (</w:t>
      </w:r>
      <w:r w:rsidRPr="00872813">
        <w:rPr>
          <w:rFonts w:cs="Arial"/>
          <w:b w:val="0"/>
          <w:i/>
          <w:u w:val="none"/>
        </w:rPr>
        <w:t>Facility Description and Additional Details</w:t>
      </w:r>
      <w:r w:rsidRPr="00872813">
        <w:rPr>
          <w:rFonts w:cs="Arial"/>
          <w:b w:val="0"/>
          <w:u w:val="none"/>
        </w:rPr>
        <w:t>)</w:t>
      </w:r>
      <w:r w:rsidRPr="00872813">
        <w:rPr>
          <w:rFonts w:cs="Arial"/>
          <w:b w:val="0"/>
          <w:bCs w:val="0"/>
          <w:u w:val="none"/>
        </w:rPr>
        <w:t>.</w:t>
      </w:r>
      <w:bookmarkEnd w:id="156"/>
    </w:p>
    <w:p w:rsidRPr="00872813" w:rsidR="00760A16" w:rsidP="00872813" w:rsidRDefault="00760A16" w14:paraId="046FEBAB" w14:textId="6074D946">
      <w:pPr>
        <w:spacing w:before="120" w:after="120"/>
        <w:rPr>
          <w:rFonts w:ascii="Arial" w:hAnsi="Arial" w:cs="Arial"/>
          <w:sz w:val="20"/>
          <w:szCs w:val="20"/>
        </w:rPr>
      </w:pPr>
      <w:r w:rsidRPr="00872813">
        <w:rPr>
          <w:rFonts w:ascii="Arial" w:hAnsi="Arial" w:cs="Arial"/>
          <w:b/>
          <w:bCs/>
          <w:sz w:val="20"/>
          <w:szCs w:val="20"/>
          <w:u w:val="single"/>
        </w:rPr>
        <w:t>Renewable Resource PPA Amendment:</w:t>
      </w:r>
      <w:r w:rsidRPr="00872813">
        <w:rPr>
          <w:rFonts w:ascii="Arial" w:hAnsi="Arial" w:cs="Arial"/>
          <w:sz w:val="20"/>
          <w:szCs w:val="20"/>
        </w:rPr>
        <w:t xml:space="preserve"> </w:t>
      </w:r>
      <w:r w:rsidRPr="00872813" w:rsidR="00DD5050">
        <w:rPr>
          <w:rFonts w:ascii="Arial" w:hAnsi="Arial" w:cs="Arial"/>
          <w:sz w:val="20"/>
          <w:szCs w:val="20"/>
        </w:rPr>
        <w:t xml:space="preserve">If applicable, </w:t>
      </w:r>
      <w:r w:rsidR="00953AAA">
        <w:rPr>
          <w:rFonts w:ascii="Arial" w:hAnsi="Arial" w:cs="Arial"/>
          <w:sz w:val="20"/>
          <w:szCs w:val="20"/>
        </w:rPr>
        <w:t>an</w:t>
      </w:r>
      <w:r w:rsidRPr="00872813" w:rsidR="00DD5050">
        <w:rPr>
          <w:rFonts w:ascii="Arial" w:hAnsi="Arial" w:cs="Arial"/>
          <w:sz w:val="20"/>
          <w:szCs w:val="20"/>
        </w:rPr>
        <w:t xml:space="preserve"> amendment to the Renewable Resource PPA </w:t>
      </w:r>
      <w:r w:rsidR="00953AAA">
        <w:rPr>
          <w:rFonts w:ascii="Arial" w:hAnsi="Arial" w:cs="Arial"/>
          <w:sz w:val="20"/>
          <w:szCs w:val="20"/>
        </w:rPr>
        <w:t xml:space="preserve">executed by GPC and Renewable Resource Seller </w:t>
      </w:r>
      <w:r w:rsidRPr="00872813" w:rsidR="00DD5050">
        <w:rPr>
          <w:rFonts w:ascii="Arial" w:hAnsi="Arial" w:cs="Arial"/>
          <w:sz w:val="20"/>
          <w:szCs w:val="20"/>
        </w:rPr>
        <w:t xml:space="preserve">for the purpose of allowing the paired operation of the Renewable Resource and the </w:t>
      </w:r>
      <w:r w:rsidRPr="00872813" w:rsidR="005B498D">
        <w:rPr>
          <w:rFonts w:ascii="Arial" w:hAnsi="Arial" w:cs="Arial"/>
          <w:sz w:val="20"/>
          <w:szCs w:val="20"/>
        </w:rPr>
        <w:t>BESS.</w:t>
      </w:r>
    </w:p>
    <w:p w:rsidRPr="00872813" w:rsidR="00B17ECF" w:rsidP="00872813" w:rsidRDefault="00B17ECF" w14:paraId="4A14AD67" w14:textId="2F78E6A6">
      <w:pPr>
        <w:spacing w:before="120" w:after="120" w:line="240" w:lineRule="auto"/>
        <w:jc w:val="both"/>
        <w:rPr>
          <w:rFonts w:ascii="Arial" w:hAnsi="Arial" w:cs="Arial"/>
          <w:sz w:val="20"/>
          <w:szCs w:val="20"/>
        </w:rPr>
      </w:pPr>
      <w:r w:rsidRPr="00872813">
        <w:rPr>
          <w:rFonts w:ascii="Arial" w:hAnsi="Arial" w:cs="Arial"/>
          <w:b/>
          <w:bCs/>
          <w:sz w:val="20"/>
          <w:szCs w:val="20"/>
          <w:u w:val="single"/>
        </w:rPr>
        <w:t>Reorganization Transaction</w:t>
      </w:r>
      <w:r w:rsidRPr="00872813">
        <w:rPr>
          <w:rFonts w:ascii="Arial" w:hAnsi="Arial" w:cs="Arial"/>
          <w:b/>
          <w:bCs/>
          <w:sz w:val="20"/>
          <w:szCs w:val="20"/>
        </w:rPr>
        <w:t>:</w:t>
      </w:r>
      <w:r w:rsidRPr="00872813">
        <w:rPr>
          <w:rFonts w:ascii="Arial" w:hAnsi="Arial" w:cs="Arial"/>
          <w:sz w:val="20"/>
          <w:szCs w:val="20"/>
        </w:rPr>
        <w:t xml:space="preserve"> A transaction or series of transactions that, if consummated, would result in a change to the interest, or the addition, of a parent of Seller, but that does not change Seller nor its Ultimate Parent Entity.</w:t>
      </w:r>
    </w:p>
    <w:p w:rsidR="0037673B" w:rsidP="004B0BBF" w:rsidRDefault="008B55A2" w14:paraId="03D8FA2E" w14:textId="77777777">
      <w:pPr>
        <w:pStyle w:val="Heading3"/>
      </w:pPr>
      <w:bookmarkStart w:name="_Toc206673085" w:id="157"/>
      <w:r>
        <w:t>Representative</w:t>
      </w:r>
      <w:r>
        <w:rPr>
          <w:u w:val="none"/>
        </w:rPr>
        <w:t xml:space="preserve">: </w:t>
      </w:r>
      <w:r>
        <w:rPr>
          <w:b w:val="0"/>
          <w:u w:val="none"/>
        </w:rPr>
        <w:t>When used regarding a Person, collectively or individually (as the context indicates), the Person, its Affiliates, and any permitted successor or assign, and the directors, officers, employees, representatives, consultants, attorneys, agents, bankers, insurers, financiers, accountants, contractors, or subcontractors of each of them.</w:t>
      </w:r>
      <w:bookmarkEnd w:id="157"/>
      <w:r>
        <w:t xml:space="preserve"> </w:t>
      </w:r>
    </w:p>
    <w:p w:rsidRPr="00876D44" w:rsidR="00D97221" w:rsidP="00872813" w:rsidRDefault="00D97221" w14:paraId="5BFA5140" w14:textId="178B4766">
      <w:pPr>
        <w:spacing w:before="120" w:after="120" w:line="240" w:lineRule="auto"/>
        <w:jc w:val="both"/>
        <w:rPr>
          <w:rFonts w:ascii="Arial" w:hAnsi="Arial" w:cs="Arial"/>
          <w:sz w:val="20"/>
          <w:szCs w:val="20"/>
        </w:rPr>
      </w:pPr>
      <w:r w:rsidRPr="00CB2E6F">
        <w:rPr>
          <w:rFonts w:ascii="Arial" w:hAnsi="Arial" w:cs="Arial"/>
          <w:b/>
          <w:sz w:val="20"/>
          <w:szCs w:val="20"/>
          <w:u w:val="single"/>
        </w:rPr>
        <w:t>Required BMPs</w:t>
      </w:r>
      <w:r w:rsidRPr="00876D44">
        <w:rPr>
          <w:rFonts w:ascii="Arial" w:hAnsi="Arial" w:cs="Arial"/>
          <w:sz w:val="20"/>
          <w:szCs w:val="20"/>
        </w:rPr>
        <w:t xml:space="preserve">: </w:t>
      </w:r>
      <w:r w:rsidRPr="00876D44" w:rsidR="00876D44">
        <w:rPr>
          <w:rFonts w:ascii="Arial" w:hAnsi="Arial" w:cs="Arial"/>
          <w:sz w:val="20"/>
          <w:szCs w:val="20"/>
        </w:rPr>
        <w:t>As defined in Section 17.4</w:t>
      </w:r>
      <w:r w:rsidR="00CB0886">
        <w:rPr>
          <w:rFonts w:ascii="Arial" w:hAnsi="Arial" w:cs="Arial"/>
          <w:sz w:val="20"/>
          <w:szCs w:val="20"/>
        </w:rPr>
        <w:t>.1</w:t>
      </w:r>
      <w:r w:rsidRPr="00876D44" w:rsidR="00876D44">
        <w:rPr>
          <w:rFonts w:ascii="Arial" w:hAnsi="Arial" w:cs="Arial"/>
          <w:sz w:val="20"/>
          <w:szCs w:val="20"/>
        </w:rPr>
        <w:t xml:space="preserve"> (</w:t>
      </w:r>
      <w:r w:rsidR="00CB0886">
        <w:rPr>
          <w:rFonts w:ascii="Arial" w:hAnsi="Arial" w:cs="Arial"/>
          <w:i/>
          <w:iCs/>
          <w:sz w:val="20"/>
          <w:szCs w:val="20"/>
        </w:rPr>
        <w:t>Required BMPs</w:t>
      </w:r>
      <w:r w:rsidRPr="00876D44" w:rsidR="00876D44">
        <w:rPr>
          <w:rFonts w:ascii="Arial" w:hAnsi="Arial" w:cs="Arial"/>
          <w:sz w:val="20"/>
          <w:szCs w:val="20"/>
        </w:rPr>
        <w:t>).</w:t>
      </w:r>
    </w:p>
    <w:p w:rsidR="0037673B" w:rsidP="004B0BBF" w:rsidRDefault="008B55A2" w14:paraId="360261A5" w14:textId="1A943665">
      <w:pPr>
        <w:pStyle w:val="Heading3"/>
        <w:rPr>
          <w:b w:val="0"/>
          <w:u w:val="none"/>
        </w:rPr>
      </w:pPr>
      <w:bookmarkStart w:name="_Toc206673086" w:id="158"/>
      <w:r>
        <w:t>Required Commercial Operation Date (RCOD)</w:t>
      </w:r>
      <w:r>
        <w:rPr>
          <w:u w:val="none"/>
        </w:rPr>
        <w:t xml:space="preserve">: </w:t>
      </w:r>
      <w:r>
        <w:rPr>
          <w:b w:val="0"/>
          <w:u w:val="none"/>
        </w:rPr>
        <w:t xml:space="preserve">The date by which the Facility must obtain Commercial Operation, as stated in Table A-2 </w:t>
      </w:r>
      <w:r w:rsidR="00CB2E6F">
        <w:rPr>
          <w:b w:val="0"/>
          <w:u w:val="none"/>
        </w:rPr>
        <w:t>(</w:t>
      </w:r>
      <w:r w:rsidRPr="00CB2E6F" w:rsidR="00CB2E6F">
        <w:rPr>
          <w:b w:val="0"/>
          <w:i/>
          <w:iCs/>
          <w:u w:val="none"/>
        </w:rPr>
        <w:t>Term</w:t>
      </w:r>
      <w:r w:rsidR="00CB2E6F">
        <w:rPr>
          <w:b w:val="0"/>
          <w:i/>
          <w:iCs/>
          <w:u w:val="none"/>
        </w:rPr>
        <w:t>,</w:t>
      </w:r>
      <w:r w:rsidRPr="00CB2E6F" w:rsidR="00CB2E6F">
        <w:rPr>
          <w:b w:val="0"/>
          <w:i/>
          <w:iCs/>
          <w:u w:val="none"/>
        </w:rPr>
        <w:t xml:space="preserve"> RCOD</w:t>
      </w:r>
      <w:r w:rsidR="00CB2E6F">
        <w:rPr>
          <w:b w:val="0"/>
          <w:u w:val="none"/>
        </w:rPr>
        <w:t xml:space="preserve">) </w:t>
      </w:r>
      <w:r>
        <w:rPr>
          <w:b w:val="0"/>
          <w:u w:val="none"/>
        </w:rPr>
        <w:t>of Exhibit A (</w:t>
      </w:r>
      <w:r>
        <w:rPr>
          <w:b w:val="0"/>
          <w:i/>
          <w:iCs/>
          <w:u w:val="none"/>
        </w:rPr>
        <w:t>Facility Description and Additional Details</w:t>
      </w:r>
      <w:r>
        <w:rPr>
          <w:b w:val="0"/>
          <w:u w:val="none"/>
        </w:rPr>
        <w:t>), subject to any extension of this date in accordance with Section 7.3.6 (</w:t>
      </w:r>
      <w:r>
        <w:rPr>
          <w:b w:val="0"/>
          <w:i/>
          <w:u w:val="none"/>
        </w:rPr>
        <w:t>Commercial Operation Delay Caused by Southern Company Transmission System Capability</w:t>
      </w:r>
      <w:r>
        <w:rPr>
          <w:b w:val="0"/>
          <w:u w:val="none"/>
        </w:rPr>
        <w:t>) or Section 15.3.2 (</w:t>
      </w:r>
      <w:r>
        <w:rPr>
          <w:b w:val="0"/>
          <w:i/>
          <w:u w:val="none"/>
        </w:rPr>
        <w:t>Extension of RCOD</w:t>
      </w:r>
      <w:r>
        <w:rPr>
          <w:b w:val="0"/>
          <w:u w:val="none"/>
        </w:rPr>
        <w:t>).</w:t>
      </w:r>
      <w:bookmarkEnd w:id="158"/>
    </w:p>
    <w:p w:rsidRPr="00637296" w:rsidR="00637296" w:rsidP="0007464E" w:rsidRDefault="00637296" w14:paraId="6695E4B7" w14:textId="5041156A">
      <w:pPr>
        <w:spacing w:before="120" w:after="120" w:line="240" w:lineRule="auto"/>
        <w:rPr>
          <w:rFonts w:ascii="Arial" w:hAnsi="Arial" w:cs="Arial"/>
          <w:sz w:val="20"/>
          <w:szCs w:val="20"/>
        </w:rPr>
      </w:pPr>
      <w:r w:rsidRPr="00637296">
        <w:rPr>
          <w:rFonts w:ascii="Arial" w:hAnsi="Arial" w:cs="Arial"/>
          <w:b/>
          <w:bCs/>
          <w:sz w:val="20"/>
          <w:szCs w:val="20"/>
          <w:u w:val="single"/>
        </w:rPr>
        <w:lastRenderedPageBreak/>
        <w:t>Responding Party:</w:t>
      </w:r>
      <w:r w:rsidRPr="00637296">
        <w:rPr>
          <w:rFonts w:ascii="Arial" w:hAnsi="Arial" w:cs="Arial"/>
          <w:sz w:val="20"/>
          <w:szCs w:val="20"/>
        </w:rPr>
        <w:t xml:space="preserve"> As defined in Section 19.1 (</w:t>
      </w:r>
      <w:r w:rsidRPr="00637296">
        <w:rPr>
          <w:rFonts w:ascii="Arial" w:hAnsi="Arial" w:cs="Arial"/>
          <w:i/>
          <w:iCs/>
          <w:sz w:val="20"/>
          <w:szCs w:val="20"/>
        </w:rPr>
        <w:t>Notice of Dispute; Dispute Resolution Process</w:t>
      </w:r>
      <w:r w:rsidRPr="00637296">
        <w:rPr>
          <w:rFonts w:ascii="Arial" w:hAnsi="Arial" w:cs="Arial"/>
          <w:sz w:val="20"/>
          <w:szCs w:val="20"/>
        </w:rPr>
        <w:t>).</w:t>
      </w:r>
    </w:p>
    <w:p w:rsidRPr="00B01CD3" w:rsidR="00B01CD3" w:rsidP="0007464E" w:rsidRDefault="00B01CD3" w14:paraId="66CD2BED" w14:textId="70B3288B">
      <w:pPr>
        <w:pStyle w:val="Heading3"/>
        <w:rPr>
          <w:b w:val="0"/>
          <w:bCs w:val="0"/>
          <w:color w:val="000000"/>
        </w:rPr>
      </w:pPr>
      <w:bookmarkStart w:name="_Toc206673089" w:id="159"/>
      <w:r>
        <w:rPr>
          <w:color w:val="000000"/>
        </w:rPr>
        <w:t>ROC</w:t>
      </w:r>
      <w:r w:rsidRPr="00B01CD3">
        <w:rPr>
          <w:color w:val="000000"/>
          <w:u w:val="none"/>
        </w:rPr>
        <w:t xml:space="preserve">: </w:t>
      </w:r>
      <w:r w:rsidRPr="00B01CD3">
        <w:rPr>
          <w:b w:val="0"/>
          <w:bCs w:val="0"/>
          <w:color w:val="000000"/>
          <w:u w:val="none"/>
        </w:rPr>
        <w:t xml:space="preserve">See </w:t>
      </w:r>
      <w:r w:rsidRPr="00CC3A87">
        <w:rPr>
          <w:b w:val="0"/>
          <w:i/>
          <w:color w:val="000000"/>
          <w:u w:val="none"/>
        </w:rPr>
        <w:t>Maximum Rate of Charge</w:t>
      </w:r>
      <w:r w:rsidRPr="00B01CD3">
        <w:rPr>
          <w:b w:val="0"/>
          <w:bCs w:val="0"/>
          <w:color w:val="000000"/>
          <w:u w:val="none"/>
        </w:rPr>
        <w:t>.</w:t>
      </w:r>
      <w:bookmarkEnd w:id="159"/>
    </w:p>
    <w:p w:rsidRPr="004B0BBF" w:rsidR="00EA4787" w:rsidP="004B0BBF" w:rsidRDefault="008B55A2" w14:paraId="14C3176D" w14:textId="11A04102">
      <w:pPr>
        <w:pStyle w:val="Heading3"/>
        <w:rPr>
          <w:b w:val="0"/>
          <w:color w:val="000000" w:themeColor="text1"/>
          <w:u w:val="none"/>
        </w:rPr>
      </w:pPr>
      <w:bookmarkStart w:name="_Toc206673090" w:id="160"/>
      <w:r>
        <w:rPr>
          <w:color w:val="000000"/>
        </w:rPr>
        <w:t>Round-Trip Efficiency (RTE)</w:t>
      </w:r>
      <w:r>
        <w:rPr>
          <w:color w:val="000000"/>
          <w:u w:val="none"/>
        </w:rPr>
        <w:t xml:space="preserve">: </w:t>
      </w:r>
      <w:r w:rsidRPr="004B0BBF">
        <w:rPr>
          <w:b w:val="0"/>
          <w:color w:val="000000" w:themeColor="text1"/>
          <w:u w:val="none"/>
        </w:rPr>
        <w:t xml:space="preserve">The amount of energy </w:t>
      </w:r>
      <w:r>
        <w:rPr>
          <w:rFonts w:cs="Arial"/>
          <w:b w:val="0"/>
          <w:color w:val="000000" w:themeColor="text1"/>
          <w:u w:val="none"/>
        </w:rPr>
        <w:t>discharged</w:t>
      </w:r>
      <w:r w:rsidRPr="004B0BBF">
        <w:rPr>
          <w:b w:val="0"/>
          <w:color w:val="000000" w:themeColor="text1"/>
          <w:u w:val="none"/>
        </w:rPr>
        <w:t xml:space="preserve"> from the</w:t>
      </w:r>
      <w:r w:rsidRPr="004B0BBF">
        <w:rPr>
          <w:b w:val="0"/>
          <w:u w:val="none"/>
        </w:rPr>
        <w:t xml:space="preserve"> </w:t>
      </w:r>
      <w:r>
        <w:rPr>
          <w:b w:val="0"/>
          <w:u w:val="none"/>
        </w:rPr>
        <w:t>BESS</w:t>
      </w:r>
      <w:r w:rsidRPr="004B0BBF">
        <w:rPr>
          <w:b w:val="0"/>
          <w:color w:val="000000" w:themeColor="text1"/>
          <w:u w:val="none"/>
        </w:rPr>
        <w:t xml:space="preserve"> at the </w:t>
      </w:r>
      <w:r>
        <w:rPr>
          <w:rFonts w:cs="Arial"/>
          <w:b w:val="0"/>
          <w:color w:val="000000" w:themeColor="text1"/>
          <w:u w:val="none"/>
        </w:rPr>
        <w:t>low voltage AC side of the main power transformer(s) (exclusive of the Auxiliary Operational Load)</w:t>
      </w:r>
      <w:r w:rsidRPr="004B0BBF">
        <w:rPr>
          <w:b w:val="0"/>
          <w:color w:val="000000" w:themeColor="text1"/>
          <w:u w:val="none"/>
        </w:rPr>
        <w:t xml:space="preserve"> divided by the original amount of energy that was used to charge the</w:t>
      </w:r>
      <w:r w:rsidRPr="004B0BBF">
        <w:rPr>
          <w:b w:val="0"/>
          <w:u w:val="none"/>
        </w:rPr>
        <w:t xml:space="preserve"> </w:t>
      </w:r>
      <w:r>
        <w:rPr>
          <w:b w:val="0"/>
          <w:u w:val="none"/>
        </w:rPr>
        <w:t>BESS</w:t>
      </w:r>
      <w:r w:rsidRPr="004B0BBF">
        <w:rPr>
          <w:b w:val="0"/>
          <w:color w:val="000000" w:themeColor="text1"/>
          <w:u w:val="none"/>
        </w:rPr>
        <w:t xml:space="preserve"> at </w:t>
      </w:r>
      <w:r w:rsidRPr="004B0BBF" w:rsidR="008A6211">
        <w:rPr>
          <w:b w:val="0"/>
          <w:color w:val="000000" w:themeColor="text1"/>
          <w:u w:val="none"/>
        </w:rPr>
        <w:t>the</w:t>
      </w:r>
      <w:r w:rsidRPr="004B0BBF">
        <w:rPr>
          <w:b w:val="0"/>
          <w:color w:val="000000" w:themeColor="text1"/>
          <w:u w:val="none"/>
        </w:rPr>
        <w:t xml:space="preserve"> </w:t>
      </w:r>
      <w:r>
        <w:rPr>
          <w:rFonts w:cs="Arial"/>
          <w:b w:val="0"/>
          <w:color w:val="000000" w:themeColor="text1"/>
          <w:u w:val="none"/>
        </w:rPr>
        <w:t xml:space="preserve">low voltage AC side of the main power transformer(s) (exclusive of the Auxiliary Operational Load). </w:t>
      </w:r>
      <w:bookmarkEnd w:id="160"/>
    </w:p>
    <w:p w:rsidRPr="00A84F20" w:rsidR="00A84F20" w:rsidP="0007464E" w:rsidRDefault="00A84F20" w14:paraId="64DFEF0B" w14:textId="34E315EA">
      <w:pPr>
        <w:spacing w:before="120" w:after="120" w:line="240" w:lineRule="auto"/>
        <w:rPr>
          <w:rFonts w:ascii="Arial" w:hAnsi="Arial" w:cs="Arial"/>
          <w:sz w:val="20"/>
          <w:szCs w:val="20"/>
        </w:rPr>
      </w:pPr>
      <w:r w:rsidRPr="00A84F20">
        <w:rPr>
          <w:rFonts w:ascii="Arial" w:hAnsi="Arial" w:cs="Arial"/>
          <w:b/>
          <w:bCs/>
          <w:sz w:val="20"/>
          <w:szCs w:val="20"/>
          <w:u w:val="single"/>
        </w:rPr>
        <w:t>Rules</w:t>
      </w:r>
      <w:r w:rsidRPr="005503BE">
        <w:rPr>
          <w:rFonts w:ascii="Arial" w:hAnsi="Arial" w:cs="Arial"/>
          <w:b/>
          <w:bCs/>
          <w:sz w:val="20"/>
          <w:szCs w:val="20"/>
        </w:rPr>
        <w:t>:</w:t>
      </w:r>
      <w:r w:rsidRPr="00A84F20">
        <w:rPr>
          <w:rFonts w:ascii="Arial" w:hAnsi="Arial" w:cs="Arial"/>
          <w:sz w:val="20"/>
          <w:szCs w:val="20"/>
        </w:rPr>
        <w:t xml:space="preserve"> As defined in Section 19.3.1 (</w:t>
      </w:r>
      <w:r w:rsidRPr="00A84F20">
        <w:rPr>
          <w:rFonts w:ascii="Arial" w:hAnsi="Arial" w:cs="Arial"/>
          <w:i/>
          <w:iCs/>
          <w:sz w:val="20"/>
          <w:szCs w:val="20"/>
        </w:rPr>
        <w:t>JAMS</w:t>
      </w:r>
      <w:r w:rsidRPr="00A84F20">
        <w:rPr>
          <w:rFonts w:ascii="Arial" w:hAnsi="Arial" w:cs="Arial"/>
          <w:sz w:val="20"/>
          <w:szCs w:val="20"/>
        </w:rPr>
        <w:t>).</w:t>
      </w:r>
    </w:p>
    <w:p w:rsidRPr="000D001A" w:rsidR="002D54C4" w:rsidP="004B0BBF" w:rsidRDefault="008B55A2" w14:paraId="42A9B81C" w14:textId="159E654E">
      <w:pPr>
        <w:pStyle w:val="Heading3"/>
        <w:rPr>
          <w:rFonts w:cs="Arial"/>
        </w:rPr>
      </w:pPr>
      <w:bookmarkStart w:name="_Toc206673091" w:id="161"/>
      <w:r>
        <w:rPr>
          <w:rFonts w:cs="Arial"/>
        </w:rPr>
        <w:t>S&amp;P</w:t>
      </w:r>
      <w:r>
        <w:rPr>
          <w:rFonts w:cs="Arial"/>
          <w:u w:val="none"/>
        </w:rPr>
        <w:t xml:space="preserve">: </w:t>
      </w:r>
      <w:r w:rsidR="003F2F2E">
        <w:rPr>
          <w:rFonts w:cs="Arial"/>
          <w:b w:val="0"/>
          <w:u w:val="none"/>
        </w:rPr>
        <w:t>S&amp;P Global Ratings, a division of S&amp;P Global Inc.</w:t>
      </w:r>
      <w:r>
        <w:rPr>
          <w:rFonts w:cs="Arial"/>
          <w:b w:val="0"/>
          <w:u w:val="none"/>
        </w:rPr>
        <w:t>, or its successor. If S&amp;P ceases to exist or publish ratings, S&amp;P will mean a nationally recognized rating agency mutually agreed upon by the Parties.</w:t>
      </w:r>
      <w:bookmarkEnd w:id="161"/>
    </w:p>
    <w:p w:rsidRPr="000D001A" w:rsidR="002D54C4" w:rsidP="004B0BBF" w:rsidRDefault="008B55A2" w14:paraId="0408D554" w14:textId="77777777">
      <w:pPr>
        <w:pStyle w:val="Heading3"/>
        <w:rPr>
          <w:rFonts w:cs="Arial"/>
          <w:b w:val="0"/>
          <w:u w:val="none"/>
        </w:rPr>
      </w:pPr>
      <w:bookmarkStart w:name="_Toc206673092" w:id="162"/>
      <w:r>
        <w:rPr>
          <w:rFonts w:cs="Arial"/>
        </w:rPr>
        <w:t>Scheduled Outage</w:t>
      </w:r>
      <w:r>
        <w:rPr>
          <w:rFonts w:cs="Arial"/>
          <w:u w:val="none"/>
        </w:rPr>
        <w:t xml:space="preserve">: </w:t>
      </w:r>
      <w:r>
        <w:rPr>
          <w:rFonts w:cs="Arial"/>
          <w:b w:val="0"/>
          <w:u w:val="none"/>
        </w:rPr>
        <w:t>Any Facility outage (whole or partial) scheduled in the final, approved Maintenance Schedule.</w:t>
      </w:r>
      <w:bookmarkEnd w:id="162"/>
    </w:p>
    <w:p w:rsidRPr="000D001A" w:rsidR="00147BD3" w:rsidP="002C7C53" w:rsidRDefault="008B55A2" w14:paraId="61ECB21C" w14:textId="4BEA9782">
      <w:pPr>
        <w:pStyle w:val="Heading3"/>
      </w:pPr>
      <w:bookmarkStart w:name="_Toc206673093" w:id="163"/>
      <w:r>
        <w:rPr>
          <w:rStyle w:val="normaltextrun"/>
        </w:rPr>
        <w:t>SCS</w:t>
      </w:r>
      <w:r>
        <w:rPr>
          <w:rStyle w:val="normaltextrun"/>
          <w:rFonts w:cs="Arial"/>
          <w:u w:val="none"/>
          <w:shd w:val="clear" w:color="auto" w:fill="FFFFFF"/>
        </w:rPr>
        <w:t xml:space="preserve">: </w:t>
      </w:r>
      <w:r w:rsidRPr="00580C20" w:rsidR="00580C20">
        <w:rPr>
          <w:rStyle w:val="normaltextrun"/>
          <w:rFonts w:cs="Arial"/>
          <w:b w:val="0"/>
          <w:bCs w:val="0"/>
          <w:u w:val="none"/>
          <w:shd w:val="clear" w:color="auto" w:fill="FFFFFF"/>
        </w:rPr>
        <w:t>See</w:t>
      </w:r>
      <w:r w:rsidR="00580C20">
        <w:rPr>
          <w:rStyle w:val="normaltextrun"/>
          <w:rFonts w:cs="Arial"/>
          <w:u w:val="none"/>
          <w:shd w:val="clear" w:color="auto" w:fill="FFFFFF"/>
        </w:rPr>
        <w:t xml:space="preserve"> </w:t>
      </w:r>
      <w:r w:rsidRPr="00580C20">
        <w:rPr>
          <w:rStyle w:val="normaltextrun"/>
          <w:rFonts w:cs="Arial"/>
          <w:b w:val="0"/>
          <w:bCs w:val="0"/>
          <w:i/>
          <w:iCs/>
          <w:u w:val="none"/>
          <w:shd w:val="clear" w:color="auto" w:fill="FFFFFF"/>
        </w:rPr>
        <w:t>Southern Company Services</w:t>
      </w:r>
      <w:r>
        <w:rPr>
          <w:rStyle w:val="normaltextrun"/>
          <w:rFonts w:cs="Arial"/>
          <w:b w:val="0"/>
          <w:bCs w:val="0"/>
          <w:u w:val="none"/>
          <w:shd w:val="clear" w:color="auto" w:fill="FFFFFF"/>
        </w:rPr>
        <w:t>.</w:t>
      </w:r>
      <w:bookmarkEnd w:id="163"/>
      <w:r>
        <w:rPr>
          <w:rStyle w:val="eop"/>
          <w:rFonts w:cs="Arial"/>
          <w:shd w:val="clear" w:color="auto" w:fill="FFFFFF"/>
        </w:rPr>
        <w:t xml:space="preserve"> </w:t>
      </w:r>
    </w:p>
    <w:p w:rsidRPr="000D001A" w:rsidR="002D54C4" w:rsidP="002C7C53" w:rsidRDefault="008B55A2" w14:paraId="5079B7A9" w14:textId="77777777">
      <w:pPr>
        <w:pStyle w:val="Heading3"/>
      </w:pPr>
      <w:bookmarkStart w:name="_Toc206673094" w:id="164"/>
      <w:r>
        <w:t>SDDC</w:t>
      </w:r>
      <w:r>
        <w:rPr>
          <w:u w:val="none"/>
        </w:rPr>
        <w:t xml:space="preserve">: </w:t>
      </w:r>
      <w:r>
        <w:rPr>
          <w:b w:val="0"/>
          <w:u w:val="none"/>
        </w:rPr>
        <w:t xml:space="preserve">See </w:t>
      </w:r>
      <w:r>
        <w:rPr>
          <w:b w:val="0"/>
          <w:i/>
          <w:u w:val="none"/>
        </w:rPr>
        <w:t>Storage Device Design Capacity</w:t>
      </w:r>
      <w:r>
        <w:rPr>
          <w:b w:val="0"/>
          <w:u w:val="none"/>
        </w:rPr>
        <w:t>.</w:t>
      </w:r>
      <w:bookmarkEnd w:id="164"/>
    </w:p>
    <w:p w:rsidRPr="000D001A" w:rsidR="002D54C4" w:rsidP="004B0BBF" w:rsidRDefault="008B55A2" w14:paraId="68879FEA" w14:textId="77777777">
      <w:pPr>
        <w:pStyle w:val="Heading3"/>
      </w:pPr>
      <w:bookmarkStart w:name="_Toc206673095" w:id="165"/>
      <w:r>
        <w:t>SDDD</w:t>
      </w:r>
      <w:r>
        <w:rPr>
          <w:u w:val="none"/>
        </w:rPr>
        <w:t xml:space="preserve">: </w:t>
      </w:r>
      <w:r>
        <w:rPr>
          <w:b w:val="0"/>
          <w:u w:val="none"/>
        </w:rPr>
        <w:t xml:space="preserve">See </w:t>
      </w:r>
      <w:r>
        <w:rPr>
          <w:b w:val="0"/>
          <w:i/>
          <w:u w:val="none"/>
        </w:rPr>
        <w:t>Storage Device Discharge Duration</w:t>
      </w:r>
      <w:r>
        <w:rPr>
          <w:b w:val="0"/>
          <w:u w:val="none"/>
        </w:rPr>
        <w:t>.</w:t>
      </w:r>
      <w:bookmarkEnd w:id="165"/>
      <w:r>
        <w:t xml:space="preserve"> </w:t>
      </w:r>
    </w:p>
    <w:p w:rsidRPr="000D001A" w:rsidR="002D54C4" w:rsidP="004B0BBF" w:rsidRDefault="008B55A2" w14:paraId="360EC5D3" w14:textId="77777777">
      <w:pPr>
        <w:pStyle w:val="Heading3"/>
      </w:pPr>
      <w:bookmarkStart w:name="_Toc206673096" w:id="166"/>
      <w:r>
        <w:t>SDOE</w:t>
      </w:r>
      <w:r>
        <w:rPr>
          <w:u w:val="none"/>
        </w:rPr>
        <w:t xml:space="preserve">: </w:t>
      </w:r>
      <w:r>
        <w:rPr>
          <w:b w:val="0"/>
          <w:u w:val="none"/>
        </w:rPr>
        <w:t xml:space="preserve">See </w:t>
      </w:r>
      <w:r>
        <w:rPr>
          <w:b w:val="0"/>
          <w:i/>
          <w:u w:val="none"/>
        </w:rPr>
        <w:t>Storage Device Operating Energy</w:t>
      </w:r>
      <w:r>
        <w:rPr>
          <w:b w:val="0"/>
          <w:u w:val="none"/>
        </w:rPr>
        <w:t>.</w:t>
      </w:r>
      <w:bookmarkEnd w:id="166"/>
    </w:p>
    <w:p w:rsidRPr="000D001A" w:rsidR="002D54C4" w:rsidP="004B0BBF" w:rsidRDefault="008B55A2" w14:paraId="6FC8061E" w14:textId="77777777">
      <w:pPr>
        <w:pStyle w:val="Heading3"/>
        <w:rPr>
          <w:rFonts w:cs="Arial"/>
        </w:rPr>
      </w:pPr>
      <w:bookmarkStart w:name="_Toc206673097" w:id="167"/>
      <w:r>
        <w:rPr>
          <w:rFonts w:cs="Arial"/>
        </w:rPr>
        <w:t>Seller</w:t>
      </w:r>
      <w:r>
        <w:rPr>
          <w:rFonts w:cs="Arial"/>
          <w:u w:val="none"/>
        </w:rPr>
        <w:t xml:space="preserve">: </w:t>
      </w:r>
      <w:r>
        <w:rPr>
          <w:rFonts w:cs="Arial"/>
          <w:b w:val="0"/>
          <w:u w:val="none"/>
        </w:rPr>
        <w:t>The counterparty to GPC in this PPA, as specified in the preamble.</w:t>
      </w:r>
      <w:bookmarkEnd w:id="167"/>
      <w:r>
        <w:rPr>
          <w:rFonts w:cs="Arial"/>
        </w:rPr>
        <w:t xml:space="preserve">  </w:t>
      </w:r>
    </w:p>
    <w:p w:rsidRPr="000D001A" w:rsidR="002D7CC2" w:rsidP="002C7C53" w:rsidRDefault="008B55A2" w14:paraId="679F9E43" w14:textId="77777777">
      <w:pPr>
        <w:pStyle w:val="Heading3"/>
        <w:rPr>
          <w:rFonts w:cs="Arial"/>
        </w:rPr>
      </w:pPr>
      <w:bookmarkStart w:name="_Toc206673098" w:id="168"/>
      <w:r>
        <w:rPr>
          <w:rFonts w:cs="Arial"/>
        </w:rPr>
        <w:t>Seller Entity</w:t>
      </w:r>
      <w:r>
        <w:rPr>
          <w:rFonts w:cs="Arial"/>
          <w:u w:val="none"/>
        </w:rPr>
        <w:t>:</w:t>
      </w:r>
      <w:r>
        <w:rPr>
          <w:rFonts w:cs="Arial"/>
          <w:b w:val="0"/>
          <w:bCs w:val="0"/>
          <w:u w:val="none"/>
        </w:rPr>
        <w:t xml:space="preserve"> Each of Seller or any Affiliate, contractor, supplier, contractual party, or customer, or an officer, director, employee, representative, or agent of one of them.</w:t>
      </w:r>
      <w:bookmarkEnd w:id="168"/>
    </w:p>
    <w:p w:rsidRPr="000D001A" w:rsidR="002D54C4" w:rsidP="004B0BBF" w:rsidRDefault="008B55A2" w14:paraId="718769CC" w14:textId="276D1F11">
      <w:pPr>
        <w:pStyle w:val="Heading3"/>
        <w:rPr>
          <w:rFonts w:cs="Arial"/>
          <w:b w:val="0"/>
        </w:rPr>
      </w:pPr>
      <w:bookmarkStart w:name="_Toc206673099" w:id="169"/>
      <w:r>
        <w:rPr>
          <w:rFonts w:cs="Arial"/>
        </w:rPr>
        <w:t>Seller Guarantor</w:t>
      </w:r>
      <w:r>
        <w:rPr>
          <w:rFonts w:cs="Arial"/>
          <w:u w:val="none"/>
        </w:rPr>
        <w:t xml:space="preserve">: </w:t>
      </w:r>
      <w:r>
        <w:rPr>
          <w:rFonts w:cs="Arial"/>
          <w:b w:val="0"/>
          <w:bCs w:val="0"/>
          <w:u w:val="none"/>
        </w:rPr>
        <w:t xml:space="preserve">A Person who, at the time of execution and delivery of its </w:t>
      </w:r>
      <w:r w:rsidR="00181717">
        <w:rPr>
          <w:rFonts w:cs="Arial"/>
          <w:b w:val="0"/>
          <w:bCs w:val="0"/>
          <w:u w:val="none"/>
        </w:rPr>
        <w:t xml:space="preserve">Seller </w:t>
      </w:r>
      <w:r>
        <w:rPr>
          <w:rFonts w:cs="Arial"/>
          <w:b w:val="0"/>
          <w:bCs w:val="0"/>
          <w:u w:val="none"/>
        </w:rPr>
        <w:t>Guaranty: (i) is either: (a) an Affiliate of Seller; or (b) otherwise an entity acceptable to GPC; and (ii) is Creditworthy.</w:t>
      </w:r>
      <w:bookmarkEnd w:id="169"/>
    </w:p>
    <w:p w:rsidRPr="000D001A" w:rsidR="002D54C4" w:rsidP="004B0BBF" w:rsidRDefault="008B55A2" w14:paraId="72F2A1CE" w14:textId="77777777">
      <w:pPr>
        <w:pStyle w:val="Heading3"/>
        <w:rPr>
          <w:rFonts w:cs="Arial"/>
        </w:rPr>
      </w:pPr>
      <w:bookmarkStart w:name="_Toc206673100" w:id="170"/>
      <w:r>
        <w:rPr>
          <w:rFonts w:cs="Arial"/>
        </w:rPr>
        <w:t>Seller Guaranty</w:t>
      </w:r>
      <w:r>
        <w:rPr>
          <w:rFonts w:cs="Arial"/>
          <w:u w:val="none"/>
        </w:rPr>
        <w:t xml:space="preserve">: </w:t>
      </w:r>
      <w:r>
        <w:rPr>
          <w:rFonts w:cs="Arial"/>
          <w:b w:val="0"/>
          <w:u w:val="none"/>
        </w:rPr>
        <w:t>A guaranty provided by the Seller Guarantor that is substantially in the form of the guaranty attached as Exhibit L (</w:t>
      </w:r>
      <w:r>
        <w:rPr>
          <w:rFonts w:cs="Arial"/>
          <w:b w:val="0"/>
          <w:i/>
          <w:u w:val="none"/>
        </w:rPr>
        <w:t>Form of Guaranty</w:t>
      </w:r>
      <w:r>
        <w:rPr>
          <w:rFonts w:cs="Arial"/>
          <w:b w:val="0"/>
          <w:u w:val="none"/>
        </w:rPr>
        <w:t>).</w:t>
      </w:r>
      <w:bookmarkEnd w:id="170"/>
    </w:p>
    <w:p w:rsidRPr="00EB4FF3" w:rsidR="00B34C0A" w:rsidP="0007464E" w:rsidRDefault="008B55A2" w14:paraId="61364ED9" w14:textId="359F0B7D">
      <w:pPr>
        <w:pStyle w:val="Heading3"/>
        <w:rPr>
          <w:rFonts w:cs="Arial"/>
          <w:u w:val="none"/>
        </w:rPr>
      </w:pPr>
      <w:bookmarkStart w:name="_Toc206673101" w:id="171"/>
      <w:r>
        <w:rPr>
          <w:rFonts w:cs="Arial"/>
        </w:rPr>
        <w:t>Seller Response Notice</w:t>
      </w:r>
      <w:r>
        <w:rPr>
          <w:rFonts w:cs="Arial"/>
          <w:u w:val="none"/>
        </w:rPr>
        <w:t>:</w:t>
      </w:r>
      <w:r>
        <w:rPr>
          <w:rFonts w:cs="Arial"/>
          <w:b w:val="0"/>
          <w:u w:val="none"/>
        </w:rPr>
        <w:t xml:space="preserve"> As defined in Section 17.1.4 (</w:t>
      </w:r>
      <w:r>
        <w:rPr>
          <w:rFonts w:cs="Arial"/>
          <w:b w:val="0"/>
          <w:i/>
          <w:iCs/>
          <w:u w:val="none"/>
        </w:rPr>
        <w:t>Seller Response Notice</w:t>
      </w:r>
      <w:r w:rsidR="00EB1F9A">
        <w:rPr>
          <w:rFonts w:cs="Arial"/>
          <w:b w:val="0"/>
          <w:i/>
          <w:iCs/>
          <w:u w:val="none"/>
        </w:rPr>
        <w:t>; GPC Response</w:t>
      </w:r>
      <w:r>
        <w:rPr>
          <w:rFonts w:cs="Arial"/>
          <w:b w:val="0"/>
          <w:u w:val="none"/>
        </w:rPr>
        <w:t>).</w:t>
      </w:r>
      <w:bookmarkEnd w:id="171"/>
    </w:p>
    <w:p w:rsidRPr="00B34C0A" w:rsidR="00BF7D6E" w:rsidP="0007464E" w:rsidRDefault="008B55A2" w14:paraId="7B7BD423" w14:textId="17145532">
      <w:pPr>
        <w:pStyle w:val="Heading3"/>
        <w:rPr>
          <w:rFonts w:cs="Arial"/>
          <w:u w:val="none"/>
        </w:rPr>
      </w:pPr>
      <w:bookmarkStart w:name="_Toc206673102" w:id="172"/>
      <w:r>
        <w:rPr>
          <w:rFonts w:cs="Arial"/>
        </w:rPr>
        <w:t>Seller Response Deadline</w:t>
      </w:r>
      <w:r>
        <w:rPr>
          <w:rFonts w:cs="Arial"/>
          <w:u w:val="none"/>
        </w:rPr>
        <w:t xml:space="preserve">: </w:t>
      </w:r>
      <w:r>
        <w:rPr>
          <w:rFonts w:cs="Arial"/>
          <w:b w:val="0"/>
          <w:bCs w:val="0"/>
          <w:u w:val="none"/>
        </w:rPr>
        <w:t>As</w:t>
      </w:r>
      <w:r>
        <w:rPr>
          <w:rFonts w:cs="Arial"/>
          <w:b w:val="0"/>
          <w:u w:val="none"/>
        </w:rPr>
        <w:t xml:space="preserve"> defined in Section 17.1.4 (</w:t>
      </w:r>
      <w:r>
        <w:rPr>
          <w:rFonts w:cs="Arial"/>
          <w:b w:val="0"/>
          <w:i/>
          <w:iCs/>
          <w:u w:val="none"/>
        </w:rPr>
        <w:t>Seller Response Notice</w:t>
      </w:r>
      <w:r w:rsidR="00EB1F9A">
        <w:rPr>
          <w:rFonts w:cs="Arial"/>
          <w:b w:val="0"/>
          <w:i/>
          <w:iCs/>
          <w:u w:val="none"/>
        </w:rPr>
        <w:t>; GPC Response</w:t>
      </w:r>
      <w:r>
        <w:rPr>
          <w:rFonts w:cs="Arial"/>
          <w:b w:val="0"/>
          <w:u w:val="none"/>
        </w:rPr>
        <w:t>).</w:t>
      </w:r>
      <w:bookmarkEnd w:id="172"/>
    </w:p>
    <w:p w:rsidRPr="000D001A" w:rsidR="002D54C4" w:rsidP="004B0BBF" w:rsidRDefault="008B55A2" w14:paraId="588645D7" w14:textId="77777777">
      <w:pPr>
        <w:pStyle w:val="Heading3"/>
        <w:rPr>
          <w:rFonts w:cs="Arial"/>
        </w:rPr>
      </w:pPr>
      <w:bookmarkStart w:name="_Toc206673103" w:id="173"/>
      <w:r>
        <w:rPr>
          <w:rFonts w:cs="Arial"/>
        </w:rPr>
        <w:t>SERC</w:t>
      </w:r>
      <w:r>
        <w:rPr>
          <w:rFonts w:cs="Arial"/>
          <w:u w:val="none"/>
        </w:rPr>
        <w:t xml:space="preserve">: </w:t>
      </w:r>
      <w:r>
        <w:rPr>
          <w:rFonts w:cs="Arial"/>
          <w:b w:val="0"/>
          <w:u w:val="none"/>
        </w:rPr>
        <w:t>The Southeastern Electric Reliability Corporation, including any successor.</w:t>
      </w:r>
      <w:bookmarkEnd w:id="173"/>
    </w:p>
    <w:p w:rsidRPr="004B0BBF" w:rsidR="002D54C4" w:rsidP="004B0BBF" w:rsidRDefault="008B55A2" w14:paraId="32321E26" w14:textId="77777777">
      <w:pPr>
        <w:pStyle w:val="Heading3"/>
        <w:rPr>
          <w:b w:val="0"/>
          <w:u w:val="none"/>
        </w:rPr>
      </w:pPr>
      <w:bookmarkStart w:name="_Toc206673104" w:id="174"/>
      <w:r>
        <w:rPr>
          <w:rFonts w:cs="Arial"/>
        </w:rPr>
        <w:t>Site</w:t>
      </w:r>
      <w:r>
        <w:rPr>
          <w:rFonts w:cs="Arial"/>
          <w:u w:val="none"/>
        </w:rPr>
        <w:t xml:space="preserve">: </w:t>
      </w:r>
      <w:r>
        <w:rPr>
          <w:rFonts w:cs="Arial"/>
          <w:b w:val="0"/>
          <w:u w:val="none"/>
        </w:rPr>
        <w:t>The physical location (i.e., real property) where the Facility is or will be located, as described in Exhibit A (</w:t>
      </w:r>
      <w:r>
        <w:rPr>
          <w:rFonts w:cs="Arial"/>
          <w:b w:val="0"/>
          <w:i/>
          <w:u w:val="none"/>
        </w:rPr>
        <w:t>Facility Description and Additional Details</w:t>
      </w:r>
      <w:r>
        <w:rPr>
          <w:rFonts w:cs="Arial"/>
          <w:b w:val="0"/>
          <w:u w:val="none"/>
        </w:rPr>
        <w:t>).</w:t>
      </w:r>
      <w:bookmarkEnd w:id="174"/>
    </w:p>
    <w:p w:rsidRPr="00564BE1" w:rsidR="00733EB7" w:rsidP="004B0BBF" w:rsidRDefault="008B55A2" w14:paraId="47BB77DD" w14:textId="77777777">
      <w:pPr>
        <w:pStyle w:val="Heading3"/>
      </w:pPr>
      <w:bookmarkStart w:name="_Toc206673105" w:id="175"/>
      <w:r w:rsidRPr="00FE32A1">
        <w:t>Site Controller</w:t>
      </w:r>
      <w:r w:rsidRPr="004B0BBF">
        <w:rPr>
          <w:u w:val="none"/>
        </w:rPr>
        <w:t>:</w:t>
      </w:r>
      <w:r w:rsidRPr="004B0BBF">
        <w:rPr>
          <w:b w:val="0"/>
          <w:u w:val="none"/>
        </w:rPr>
        <w:t xml:space="preserve"> As defined in Section 10.13.1 (</w:t>
      </w:r>
      <w:r w:rsidRPr="004B0BBF">
        <w:rPr>
          <w:b w:val="0"/>
          <w:i/>
          <w:u w:val="none"/>
        </w:rPr>
        <w:t>Sourcing Restrictions</w:t>
      </w:r>
      <w:r w:rsidRPr="004B0BBF">
        <w:rPr>
          <w:b w:val="0"/>
          <w:u w:val="none"/>
        </w:rPr>
        <w:t>).</w:t>
      </w:r>
      <w:bookmarkEnd w:id="175"/>
    </w:p>
    <w:p w:rsidRPr="000D001A" w:rsidR="002D54C4" w:rsidP="004B0BBF" w:rsidRDefault="008B55A2" w14:paraId="7DF22DE0" w14:textId="77777777">
      <w:pPr>
        <w:pStyle w:val="Heading3"/>
        <w:rPr>
          <w:rFonts w:cs="Arial"/>
        </w:rPr>
      </w:pPr>
      <w:bookmarkStart w:name="_Toc206673106" w:id="176"/>
      <w:r>
        <w:rPr>
          <w:rFonts w:cs="Arial"/>
        </w:rPr>
        <w:t>Southern Balancing Authority Area (SBAA)</w:t>
      </w:r>
      <w:r>
        <w:rPr>
          <w:rFonts w:cs="Arial"/>
          <w:u w:val="none"/>
        </w:rPr>
        <w:t xml:space="preserve">: </w:t>
      </w:r>
      <w:r>
        <w:rPr>
          <w:rFonts w:cs="Arial"/>
          <w:b w:val="0"/>
          <w:u w:val="none"/>
        </w:rPr>
        <w:t>The NERC- and SERC- recognized balancing authority area that includes the Southern Company Transmission System.</w:t>
      </w:r>
      <w:bookmarkEnd w:id="176"/>
    </w:p>
    <w:p w:rsidRPr="000D001A" w:rsidR="002D54C4" w:rsidP="004B0BBF" w:rsidRDefault="008B55A2" w14:paraId="4ED6ED59" w14:textId="77777777">
      <w:pPr>
        <w:pStyle w:val="Heading3"/>
      </w:pPr>
      <w:bookmarkStart w:name="_Toc206673107" w:id="177"/>
      <w:r>
        <w:t>Southern Companies</w:t>
      </w:r>
      <w:r>
        <w:rPr>
          <w:u w:val="none"/>
        </w:rPr>
        <w:t xml:space="preserve">: </w:t>
      </w:r>
      <w:r>
        <w:rPr>
          <w:b w:val="0"/>
          <w:u w:val="none"/>
        </w:rPr>
        <w:t>Collectively, the regulated electric operating companies of The Southern Company (i.e., Alabama Power Company, GPC, and Mississippi Power Company).</w:t>
      </w:r>
      <w:bookmarkEnd w:id="177"/>
    </w:p>
    <w:p w:rsidR="00520F24" w:rsidP="004B0BBF" w:rsidRDefault="008B55A2" w14:paraId="265C5CA8" w14:textId="77777777">
      <w:pPr>
        <w:pStyle w:val="Heading3"/>
        <w:rPr>
          <w:rFonts w:cs="Arial"/>
        </w:rPr>
      </w:pPr>
      <w:bookmarkStart w:name="_Toc206673108" w:id="178"/>
      <w:r>
        <w:t>Southern Company</w:t>
      </w:r>
      <w:r>
        <w:rPr>
          <w:u w:val="none"/>
        </w:rPr>
        <w:t xml:space="preserve">: </w:t>
      </w:r>
      <w:r>
        <w:rPr>
          <w:b w:val="0"/>
          <w:u w:val="none"/>
        </w:rPr>
        <w:t>The Southern Company, a Delaware corporation, the parent of GPC.</w:t>
      </w:r>
      <w:bookmarkEnd w:id="178"/>
      <w:r>
        <w:rPr>
          <w:rFonts w:cs="Arial"/>
        </w:rPr>
        <w:t xml:space="preserve"> </w:t>
      </w:r>
    </w:p>
    <w:p w:rsidRPr="005C22A6" w:rsidR="005C22A6" w:rsidP="005C22A6" w:rsidRDefault="005C22A6" w14:paraId="20554ABE" w14:textId="69E82547">
      <w:pPr>
        <w:rPr>
          <w:rFonts w:ascii="Arial" w:hAnsi="Arial" w:cs="Arial"/>
          <w:sz w:val="20"/>
          <w:szCs w:val="20"/>
        </w:rPr>
      </w:pPr>
      <w:r w:rsidRPr="005C22A6">
        <w:rPr>
          <w:rFonts w:ascii="Arial" w:hAnsi="Arial" w:cs="Arial"/>
          <w:b/>
          <w:bCs/>
          <w:sz w:val="20"/>
          <w:szCs w:val="20"/>
          <w:u w:val="single"/>
        </w:rPr>
        <w:t>Southern Company Services (SCS):</w:t>
      </w:r>
      <w:r>
        <w:rPr>
          <w:rFonts w:ascii="Arial" w:hAnsi="Arial" w:cs="Arial"/>
          <w:sz w:val="20"/>
          <w:szCs w:val="20"/>
        </w:rPr>
        <w:t xml:space="preserve"> Southern Company Services, Inc., </w:t>
      </w:r>
      <w:r w:rsidR="0034080A">
        <w:rPr>
          <w:rFonts w:ascii="Arial" w:hAnsi="Arial" w:cs="Arial"/>
          <w:sz w:val="20"/>
          <w:szCs w:val="20"/>
        </w:rPr>
        <w:t>an Affiliate of GPC that performs services as agent for GPC.</w:t>
      </w:r>
    </w:p>
    <w:p w:rsidRPr="000D001A" w:rsidR="008865A6" w:rsidP="002C7C53" w:rsidRDefault="008B55A2" w14:paraId="405B4D08" w14:textId="77777777">
      <w:pPr>
        <w:pStyle w:val="Heading3"/>
        <w:rPr>
          <w:b w:val="0"/>
          <w:bCs w:val="0"/>
          <w:u w:val="none"/>
        </w:rPr>
      </w:pPr>
      <w:bookmarkStart w:name="_Toc206673109" w:id="179"/>
      <w:r>
        <w:t>Southern OATT</w:t>
      </w:r>
      <w:r>
        <w:rPr>
          <w:u w:val="none"/>
        </w:rPr>
        <w:t xml:space="preserve">: </w:t>
      </w:r>
      <w:r>
        <w:rPr>
          <w:b w:val="0"/>
          <w:bCs w:val="0"/>
          <w:u w:val="none"/>
        </w:rPr>
        <w:t>Southern Company’s Open Access Transmission Tariff.</w:t>
      </w:r>
      <w:bookmarkEnd w:id="179"/>
    </w:p>
    <w:p w:rsidRPr="000D001A" w:rsidR="00D3685B" w:rsidP="004B0BBF" w:rsidRDefault="008B55A2" w14:paraId="09A707FF" w14:textId="77777777">
      <w:pPr>
        <w:pStyle w:val="Heading3"/>
      </w:pPr>
      <w:bookmarkStart w:name="_Toc206673110" w:id="180"/>
      <w:r>
        <w:t>Southern Company Transmission System</w:t>
      </w:r>
      <w:r>
        <w:rPr>
          <w:b w:val="0"/>
          <w:bCs w:val="0"/>
          <w:u w:val="none"/>
        </w:rPr>
        <w:t>: The transmission system consisting of transmission facilities (&gt;40 kV) owned by the Southern Companies, as the system may be modified or expanded from time to time, as well as any successor transmission system. For the avoidance of doubt, the Southern Company Transmission System does not include the Georgia ITS facilities owned by the ITS Participants.</w:t>
      </w:r>
      <w:bookmarkEnd w:id="180"/>
    </w:p>
    <w:p w:rsidRPr="000D001A" w:rsidR="004744FA" w:rsidP="004B0BBF" w:rsidRDefault="008B55A2" w14:paraId="29F77B8F" w14:textId="6D2673C4">
      <w:pPr>
        <w:pStyle w:val="Heading3"/>
        <w:rPr>
          <w:rFonts w:cs="Arial"/>
          <w:b w:val="0"/>
        </w:rPr>
      </w:pPr>
      <w:bookmarkStart w:name="_Toc206673111" w:id="181"/>
      <w:r>
        <w:rPr>
          <w:rFonts w:cs="Arial"/>
        </w:rPr>
        <w:lastRenderedPageBreak/>
        <w:t>State of Charge (SOC)</w:t>
      </w:r>
      <w:r>
        <w:rPr>
          <w:rFonts w:cs="Arial"/>
          <w:u w:val="none"/>
        </w:rPr>
        <w:t xml:space="preserve">: </w:t>
      </w:r>
      <w:r>
        <w:rPr>
          <w:rFonts w:cs="Arial"/>
          <w:b w:val="0"/>
          <w:u w:val="none"/>
        </w:rPr>
        <w:t>The amount of stored energy in the</w:t>
      </w:r>
      <w:r>
        <w:rPr>
          <w:b w:val="0"/>
          <w:bCs w:val="0"/>
          <w:u w:val="none"/>
        </w:rPr>
        <w:t xml:space="preserve"> BESS</w:t>
      </w:r>
      <w:r>
        <w:rPr>
          <w:rFonts w:cs="Arial"/>
          <w:b w:val="0"/>
          <w:u w:val="none"/>
        </w:rPr>
        <w:t xml:space="preserve"> in real time, which may be expressed either as: (i) a percentage of the</w:t>
      </w:r>
      <w:r>
        <w:rPr>
          <w:rFonts w:cs="Arial"/>
          <w:u w:val="none"/>
        </w:rPr>
        <w:t xml:space="preserve"> </w:t>
      </w:r>
      <w:r>
        <w:rPr>
          <w:rFonts w:cs="Arial"/>
          <w:b w:val="0"/>
          <w:u w:val="none"/>
        </w:rPr>
        <w:t>SDOE (e.g., a 95% SOC); or (ii) a quantity of energy (e.g., 400 MWh SOC). SOC is considered usable and dispatchable energy at the POI, and the</w:t>
      </w:r>
      <w:r>
        <w:rPr>
          <w:b w:val="0"/>
          <w:bCs w:val="0"/>
          <w:u w:val="none"/>
        </w:rPr>
        <w:t xml:space="preserve"> BESS</w:t>
      </w:r>
      <w:r>
        <w:rPr>
          <w:rFonts w:cs="Arial"/>
          <w:b w:val="0"/>
          <w:u w:val="none"/>
        </w:rPr>
        <w:t xml:space="preserve"> must be able to operate at the: </w:t>
      </w:r>
      <w:r>
        <w:rPr>
          <w:b w:val="0"/>
          <w:u w:val="none"/>
        </w:rPr>
        <w:t>(a)</w:t>
      </w:r>
      <w:r>
        <w:rPr>
          <w:rFonts w:cs="Arial"/>
          <w:b w:val="0"/>
          <w:u w:val="none"/>
        </w:rPr>
        <w:t xml:space="preserve"> Maximum Rate of Charge from 0% to 100% </w:t>
      </w:r>
      <w:r>
        <w:rPr>
          <w:b w:val="0"/>
          <w:u w:val="none"/>
        </w:rPr>
        <w:t>of the SDOE</w:t>
      </w:r>
      <w:r>
        <w:rPr>
          <w:rFonts w:cs="Arial"/>
          <w:b w:val="0"/>
          <w:u w:val="none"/>
        </w:rPr>
        <w:t>; and</w:t>
      </w:r>
      <w:r>
        <w:rPr>
          <w:b w:val="0"/>
          <w:u w:val="none"/>
        </w:rPr>
        <w:t xml:space="preserve"> (b)</w:t>
      </w:r>
      <w:r>
        <w:rPr>
          <w:rFonts w:cs="Arial"/>
          <w:b w:val="0"/>
          <w:u w:val="none"/>
        </w:rPr>
        <w:t xml:space="preserve"> Storage Device Desig</w:t>
      </w:r>
      <w:r>
        <w:rPr>
          <w:b w:val="0"/>
          <w:bCs w:val="0"/>
          <w:u w:val="none"/>
        </w:rPr>
        <w:t>n</w:t>
      </w:r>
      <w:r>
        <w:rPr>
          <w:rFonts w:cs="Arial"/>
          <w:b w:val="0"/>
          <w:u w:val="none"/>
        </w:rPr>
        <w:t xml:space="preserve"> Capacity from 100% to 0% of the SDOE.</w:t>
      </w:r>
      <w:bookmarkEnd w:id="181"/>
    </w:p>
    <w:p w:rsidRPr="000D001A" w:rsidR="002D54C4" w:rsidP="004B0BBF" w:rsidRDefault="008B55A2" w14:paraId="164BF66B" w14:textId="61C0A499">
      <w:pPr>
        <w:pStyle w:val="Heading3"/>
      </w:pPr>
      <w:bookmarkStart w:name="_Toc206673112" w:id="182"/>
      <w:r>
        <w:rPr>
          <w:rFonts w:cs="Arial"/>
        </w:rPr>
        <w:t>Station Service</w:t>
      </w:r>
      <w:r>
        <w:rPr>
          <w:rFonts w:cs="Arial"/>
          <w:u w:val="none"/>
        </w:rPr>
        <w:t xml:space="preserve">: </w:t>
      </w:r>
      <w:r>
        <w:rPr>
          <w:b w:val="0"/>
          <w:color w:val="000000" w:themeColor="text1"/>
          <w:u w:val="none"/>
        </w:rPr>
        <w:t>E</w:t>
      </w:r>
      <w:bookmarkStart w:name="_Hlk37504832" w:id="183"/>
      <w:r>
        <w:rPr>
          <w:b w:val="0"/>
          <w:u w:val="none"/>
        </w:rPr>
        <w:t xml:space="preserve">nergy that is used to serve the electrical requirements of the Facility, </w:t>
      </w:r>
      <w:r w:rsidR="00F31A8E">
        <w:rPr>
          <w:b w:val="0"/>
          <w:u w:val="none"/>
        </w:rPr>
        <w:t>excluding any Charging Energy</w:t>
      </w:r>
      <w:r w:rsidR="00433659">
        <w:rPr>
          <w:b w:val="0"/>
          <w:u w:val="none"/>
        </w:rPr>
        <w:t xml:space="preserve"> not consumed as Auxiliary Operational Load</w:t>
      </w:r>
      <w:r w:rsidR="00F31A8E">
        <w:rPr>
          <w:b w:val="0"/>
          <w:u w:val="none"/>
        </w:rPr>
        <w:t xml:space="preserve"> </w:t>
      </w:r>
      <w:r w:rsidR="00544874">
        <w:rPr>
          <w:b w:val="0"/>
          <w:u w:val="none"/>
        </w:rPr>
        <w:t>and Discharging Energy</w:t>
      </w:r>
      <w:r>
        <w:rPr>
          <w:b w:val="0"/>
          <w:u w:val="none"/>
        </w:rPr>
        <w:t>. For a</w:t>
      </w:r>
      <w:r>
        <w:rPr>
          <w:b w:val="0"/>
          <w:bCs w:val="0"/>
          <w:u w:val="none"/>
        </w:rPr>
        <w:t xml:space="preserve"> BESS</w:t>
      </w:r>
      <w:r>
        <w:rPr>
          <w:b w:val="0"/>
          <w:u w:val="none"/>
        </w:rPr>
        <w:t>, Station Service includes all energy required to operate and maintain the</w:t>
      </w:r>
      <w:r>
        <w:rPr>
          <w:b w:val="0"/>
          <w:bCs w:val="0"/>
          <w:u w:val="none"/>
        </w:rPr>
        <w:t xml:space="preserve"> BESS</w:t>
      </w:r>
      <w:r>
        <w:rPr>
          <w:b w:val="0"/>
          <w:u w:val="none"/>
        </w:rPr>
        <w:t xml:space="preserve"> (e.g., Auxiliary Operational Load, power conversion stations).</w:t>
      </w:r>
      <w:bookmarkEnd w:id="182"/>
    </w:p>
    <w:p w:rsidRPr="000D001A" w:rsidR="002D54C4" w:rsidP="004B0BBF" w:rsidRDefault="008B55A2" w14:paraId="7B3915B3" w14:textId="34A52883">
      <w:pPr>
        <w:pStyle w:val="Heading3"/>
        <w:rPr>
          <w:rFonts w:cs="Arial"/>
          <w:b w:val="0"/>
          <w:w w:val="0"/>
        </w:rPr>
      </w:pPr>
      <w:bookmarkStart w:name="_Toc206673113" w:id="184"/>
      <w:bookmarkEnd w:id="183"/>
      <w:r>
        <w:rPr>
          <w:rFonts w:eastAsia="Times New Roman"/>
          <w:color w:val="000000" w:themeColor="text1"/>
        </w:rPr>
        <w:t>Storage Device Design Capacity (SDDC)</w:t>
      </w:r>
      <w:r>
        <w:rPr>
          <w:rFonts w:eastAsia="Times New Roman"/>
          <w:color w:val="000000" w:themeColor="text1"/>
          <w:u w:val="none"/>
        </w:rPr>
        <w:t xml:space="preserve">: </w:t>
      </w:r>
      <w:r>
        <w:rPr>
          <w:rFonts w:eastAsia="Times New Roman"/>
          <w:b w:val="0"/>
          <w:color w:val="000000" w:themeColor="text1"/>
          <w:u w:val="none"/>
        </w:rPr>
        <w:t>The guaranteed amount of</w:t>
      </w:r>
      <w:r w:rsidRPr="004B0BBF">
        <w:rPr>
          <w:b w:val="0"/>
          <w:u w:val="none"/>
        </w:rPr>
        <w:t xml:space="preserve"> </w:t>
      </w:r>
      <w:r>
        <w:rPr>
          <w:b w:val="0"/>
          <w:bCs w:val="0"/>
          <w:u w:val="none"/>
        </w:rPr>
        <w:t>BESS</w:t>
      </w:r>
      <w:r>
        <w:rPr>
          <w:rFonts w:eastAsia="Times New Roman"/>
          <w:b w:val="0"/>
          <w:color w:val="000000" w:themeColor="text1"/>
          <w:u w:val="none"/>
        </w:rPr>
        <w:t xml:space="preserve"> storage capacity (in MW) allocated to GPC under this PPA and</w:t>
      </w:r>
      <w:r>
        <w:rPr>
          <w:b w:val="0"/>
          <w:u w:val="none"/>
        </w:rPr>
        <w:t xml:space="preserve"> that represents the guaranteed continuous discharge capability of the</w:t>
      </w:r>
      <w:r>
        <w:rPr>
          <w:b w:val="0"/>
          <w:bCs w:val="0"/>
          <w:u w:val="none"/>
        </w:rPr>
        <w:t xml:space="preserve"> BESS</w:t>
      </w:r>
      <w:r>
        <w:rPr>
          <w:b w:val="0"/>
          <w:u w:val="none"/>
        </w:rPr>
        <w:t xml:space="preserve"> for the Storage Device Discharge Duration.</w:t>
      </w:r>
      <w:bookmarkEnd w:id="184"/>
      <w:r>
        <w:rPr>
          <w:b w:val="0"/>
          <w:u w:val="none"/>
        </w:rPr>
        <w:t xml:space="preserve"> </w:t>
      </w:r>
    </w:p>
    <w:p w:rsidRPr="000D001A" w:rsidR="002D54C4" w:rsidP="004B0BBF" w:rsidRDefault="008B55A2" w14:paraId="58026205" w14:textId="6747CFED">
      <w:pPr>
        <w:pStyle w:val="Heading3"/>
        <w:rPr>
          <w:rFonts w:cs="Arial"/>
          <w:b w:val="0"/>
          <w:w w:val="0"/>
        </w:rPr>
      </w:pPr>
      <w:bookmarkStart w:name="_Toc206673114" w:id="185"/>
      <w:r>
        <w:rPr>
          <w:rFonts w:cs="Arial"/>
          <w:w w:val="0"/>
        </w:rPr>
        <w:t>Storage Device Discharge Duration (SDDD)</w:t>
      </w:r>
      <w:r>
        <w:rPr>
          <w:rFonts w:cs="Arial"/>
          <w:w w:val="0"/>
          <w:u w:val="none"/>
        </w:rPr>
        <w:t xml:space="preserve">: </w:t>
      </w:r>
      <w:r>
        <w:rPr>
          <w:rFonts w:cs="Arial"/>
          <w:b w:val="0"/>
          <w:u w:val="none"/>
        </w:rPr>
        <w:t>The guaranteed number of Hours that the</w:t>
      </w:r>
      <w:r>
        <w:rPr>
          <w:b w:val="0"/>
          <w:bCs w:val="0"/>
          <w:u w:val="none"/>
        </w:rPr>
        <w:t xml:space="preserve"> BESS</w:t>
      </w:r>
      <w:r>
        <w:rPr>
          <w:rFonts w:cs="Arial"/>
          <w:b w:val="0"/>
          <w:u w:val="none"/>
        </w:rPr>
        <w:t xml:space="preserve"> must be capable of continuously discharging to the POI at the Storage Device Design Capacity</w:t>
      </w:r>
      <w:r>
        <w:rPr>
          <w:b w:val="0"/>
          <w:color w:val="000000" w:themeColor="text1"/>
          <w:u w:val="none"/>
        </w:rPr>
        <w:t>.</w:t>
      </w:r>
      <w:bookmarkEnd w:id="185"/>
      <w:r>
        <w:rPr>
          <w:rFonts w:cs="Arial"/>
          <w:w w:val="0"/>
          <w:u w:val="none"/>
        </w:rPr>
        <w:t xml:space="preserve"> </w:t>
      </w:r>
    </w:p>
    <w:p w:rsidRPr="004B0BBF" w:rsidR="00347DE9" w:rsidP="002C7C53" w:rsidRDefault="008B55A2" w14:paraId="6E774C87" w14:textId="744984CA">
      <w:pPr>
        <w:pStyle w:val="Heading3"/>
        <w:rPr>
          <w:b w:val="0"/>
          <w:w w:val="0"/>
          <w:u w:val="none"/>
        </w:rPr>
      </w:pPr>
      <w:bookmarkStart w:name="_Toc206673115" w:id="186"/>
      <w:r>
        <w:rPr>
          <w:rFonts w:cs="Arial"/>
          <w:w w:val="0"/>
        </w:rPr>
        <w:t>Storage Performance Metric Achieved</w:t>
      </w:r>
      <w:r>
        <w:rPr>
          <w:rFonts w:cs="Arial"/>
          <w:w w:val="0"/>
          <w:u w:val="none"/>
        </w:rPr>
        <w:t>:</w:t>
      </w:r>
      <w:r>
        <w:rPr>
          <w:rFonts w:cs="Arial"/>
          <w:b w:val="0"/>
          <w:bCs w:val="0"/>
          <w:w w:val="0"/>
          <w:u w:val="none"/>
        </w:rPr>
        <w:t xml:space="preserve"> As defined in </w:t>
      </w:r>
      <w:r w:rsidR="00132267">
        <w:rPr>
          <w:rFonts w:cs="Arial"/>
          <w:b w:val="0"/>
          <w:bCs w:val="0"/>
          <w:w w:val="0"/>
          <w:u w:val="none"/>
        </w:rPr>
        <w:t>Section 2.3 (</w:t>
      </w:r>
      <w:r w:rsidRPr="004B0BBF" w:rsidR="00132267">
        <w:rPr>
          <w:b w:val="0"/>
          <w:i/>
          <w:w w:val="0"/>
          <w:u w:val="none"/>
        </w:rPr>
        <w:t xml:space="preserve">Storage Performance </w:t>
      </w:r>
      <w:r w:rsidRPr="00132267" w:rsidR="00132267">
        <w:rPr>
          <w:rFonts w:cs="Arial"/>
          <w:b w:val="0"/>
          <w:bCs w:val="0"/>
          <w:i/>
          <w:iCs/>
          <w:w w:val="0"/>
          <w:u w:val="none"/>
        </w:rPr>
        <w:t>Metric Achieved</w:t>
      </w:r>
      <w:r w:rsidR="00132267">
        <w:rPr>
          <w:rFonts w:cs="Arial"/>
          <w:b w:val="0"/>
          <w:bCs w:val="0"/>
          <w:w w:val="0"/>
          <w:u w:val="none"/>
        </w:rPr>
        <w:t xml:space="preserve">) of </w:t>
      </w:r>
      <w:r>
        <w:rPr>
          <w:rFonts w:cs="Arial"/>
          <w:b w:val="0"/>
          <w:w w:val="0"/>
          <w:u w:val="none"/>
        </w:rPr>
        <w:t xml:space="preserve">Exhibit C </w:t>
      </w:r>
      <w:r w:rsidRPr="004B0BBF">
        <w:rPr>
          <w:b w:val="0"/>
          <w:w w:val="0"/>
          <w:u w:val="none"/>
        </w:rPr>
        <w:t>(</w:t>
      </w:r>
      <w:r>
        <w:rPr>
          <w:rFonts w:cs="Arial"/>
          <w:b w:val="0"/>
          <w:i/>
          <w:u w:val="none"/>
        </w:rPr>
        <w:t>Monthly Capacity Payments; Monthly Capacity Reductions; AGC Performance Metrics and Requirements</w:t>
      </w:r>
      <w:r w:rsidRPr="004B0BBF">
        <w:rPr>
          <w:b w:val="0"/>
          <w:w w:val="0"/>
          <w:u w:val="none"/>
        </w:rPr>
        <w:t>).</w:t>
      </w:r>
      <w:bookmarkEnd w:id="186"/>
    </w:p>
    <w:p w:rsidRPr="000D001A" w:rsidR="00C22271" w:rsidP="006E194C" w:rsidRDefault="008B55A2" w14:paraId="71BFDAC4" w14:textId="77777777">
      <w:pPr>
        <w:pStyle w:val="Heading3"/>
        <w:rPr>
          <w:u w:val="none"/>
        </w:rPr>
      </w:pPr>
      <w:bookmarkStart w:name="_Toc206673116" w:id="187"/>
      <w:r>
        <w:rPr>
          <w:w w:val="0"/>
        </w:rPr>
        <w:t>Storage Performance Reduction (SPR)</w:t>
      </w:r>
      <w:r>
        <w:rPr>
          <w:w w:val="0"/>
          <w:u w:val="none"/>
        </w:rPr>
        <w:t xml:space="preserve">: </w:t>
      </w:r>
      <w:r>
        <w:rPr>
          <w:b w:val="0"/>
          <w:bCs w:val="0"/>
          <w:w w:val="0"/>
          <w:u w:val="none"/>
        </w:rPr>
        <w:t xml:space="preserve">The applicable amount stated in </w:t>
      </w:r>
      <w:r>
        <w:rPr>
          <w:b w:val="0"/>
          <w:w w:val="0"/>
          <w:u w:val="none"/>
        </w:rPr>
        <w:t>Table C-3 (</w:t>
      </w:r>
      <w:r>
        <w:rPr>
          <w:b w:val="0"/>
          <w:i/>
          <w:iCs/>
          <w:w w:val="0"/>
          <w:u w:val="none"/>
        </w:rPr>
        <w:t>Storage Performance Reduction</w:t>
      </w:r>
      <w:r>
        <w:rPr>
          <w:b w:val="0"/>
          <w:w w:val="0"/>
          <w:u w:val="none"/>
        </w:rPr>
        <w:t xml:space="preserve">) of Exhibit C </w:t>
      </w:r>
      <w:r>
        <w:rPr>
          <w:b w:val="0"/>
          <w:u w:val="none"/>
        </w:rPr>
        <w:t>(</w:t>
      </w:r>
      <w:r>
        <w:rPr>
          <w:b w:val="0"/>
          <w:i/>
          <w:u w:val="none"/>
        </w:rPr>
        <w:t>Monthly Capacity Payments; Monthly Capacity Reductions; AGC Performance Metrics and Requirements</w:t>
      </w:r>
      <w:r>
        <w:rPr>
          <w:b w:val="0"/>
          <w:u w:val="none"/>
        </w:rPr>
        <w:t>).</w:t>
      </w:r>
      <w:bookmarkEnd w:id="187"/>
    </w:p>
    <w:p w:rsidRPr="000D001A" w:rsidR="002D54C4" w:rsidP="002C7C53" w:rsidRDefault="008B55A2" w14:paraId="683877A1" w14:textId="67F8830C">
      <w:pPr>
        <w:pStyle w:val="Heading3"/>
      </w:pPr>
      <w:bookmarkStart w:name="_Toc206673117" w:id="188"/>
      <w:r>
        <w:rPr>
          <w:rFonts w:cs="Arial"/>
          <w:w w:val="0"/>
        </w:rPr>
        <w:t>Storage Device Operating Energy (SDOE)</w:t>
      </w:r>
      <w:r>
        <w:rPr>
          <w:rFonts w:cs="Arial"/>
          <w:w w:val="0"/>
          <w:u w:val="none"/>
        </w:rPr>
        <w:t xml:space="preserve">: </w:t>
      </w:r>
      <w:bookmarkStart w:name="_Hlk159592662" w:id="189"/>
      <w:r>
        <w:rPr>
          <w:rFonts w:cs="Arial"/>
          <w:b w:val="0"/>
          <w:w w:val="0"/>
          <w:u w:val="none"/>
        </w:rPr>
        <w:t>The guaranteed number of MWh that the</w:t>
      </w:r>
      <w:r w:rsidRPr="004B0BBF">
        <w:rPr>
          <w:b w:val="0"/>
          <w:u w:val="none"/>
        </w:rPr>
        <w:t xml:space="preserve"> </w:t>
      </w:r>
      <w:r>
        <w:rPr>
          <w:b w:val="0"/>
          <w:bCs w:val="0"/>
          <w:u w:val="none"/>
        </w:rPr>
        <w:t>BESS</w:t>
      </w:r>
      <w:r>
        <w:rPr>
          <w:rFonts w:cs="Arial"/>
          <w:b w:val="0"/>
          <w:w w:val="0"/>
          <w:u w:val="none"/>
        </w:rPr>
        <w:t xml:space="preserve"> must be capable of discharging to the POI and is equal to the product of the Storage Device Design Capacity multiplied by Storage Device Discharge Duration.</w:t>
      </w:r>
      <w:bookmarkEnd w:id="188"/>
    </w:p>
    <w:p w:rsidR="006C3773" w:rsidP="002C7C53" w:rsidRDefault="008B55A2" w14:paraId="0E41379F" w14:textId="77777777">
      <w:pPr>
        <w:pStyle w:val="Heading3"/>
        <w:rPr>
          <w:rFonts w:cs="Arial"/>
          <w:b w:val="0"/>
          <w:w w:val="0"/>
          <w:u w:val="none"/>
        </w:rPr>
      </w:pPr>
      <w:bookmarkStart w:name="_Toc206673118" w:id="190"/>
      <w:bookmarkEnd w:id="189"/>
      <w:r>
        <w:rPr>
          <w:rFonts w:cs="Arial"/>
          <w:w w:val="0"/>
        </w:rPr>
        <w:t>System Emergency</w:t>
      </w:r>
      <w:r>
        <w:rPr>
          <w:rFonts w:cs="Arial"/>
          <w:w w:val="0"/>
          <w:u w:val="none"/>
        </w:rPr>
        <w:t xml:space="preserve">: </w:t>
      </w:r>
      <w:r>
        <w:rPr>
          <w:rFonts w:cs="Arial"/>
          <w:b w:val="0"/>
          <w:w w:val="0"/>
          <w:u w:val="none"/>
        </w:rPr>
        <w:t xml:space="preserve">When the Dispatch Center has determined </w:t>
      </w:r>
      <w:r>
        <w:rPr>
          <w:rFonts w:cs="Arial"/>
          <w:b w:val="0"/>
          <w:u w:val="none"/>
        </w:rPr>
        <w:t>in accordance with</w:t>
      </w:r>
      <w:r>
        <w:rPr>
          <w:rFonts w:cs="Arial"/>
          <w:b w:val="0"/>
          <w:w w:val="0"/>
          <w:u w:val="none"/>
        </w:rPr>
        <w:t xml:space="preserve"> its prevailing practices that conditions are expected to occur or have occurred that could jeopardize the ability to meet projected loads in the SBAA.</w:t>
      </w:r>
      <w:bookmarkEnd w:id="190"/>
    </w:p>
    <w:p w:rsidRPr="008D6F78" w:rsidR="008D6F78" w:rsidP="00BA40FA" w:rsidRDefault="008D6F78" w14:paraId="7072441B" w14:textId="0784041A">
      <w:pPr>
        <w:jc w:val="both"/>
      </w:pPr>
      <w:r>
        <w:rPr>
          <w:rFonts w:ascii="Arial" w:hAnsi="Arial" w:cs="Arial"/>
          <w:b/>
          <w:bCs/>
          <w:sz w:val="20"/>
          <w:szCs w:val="20"/>
          <w:u w:val="single"/>
        </w:rPr>
        <w:t xml:space="preserve">Tariff: </w:t>
      </w:r>
      <w:r w:rsidRPr="007B6DCB">
        <w:rPr>
          <w:rFonts w:ascii="Arial" w:hAnsi="Arial" w:cs="Arial"/>
          <w:sz w:val="20"/>
          <w:szCs w:val="20"/>
        </w:rPr>
        <w:t>Any import tariff, customs duty, trade measure, surcharge, or similar governmental charge imposed on the importation of equipment, components, materials, or supplies used for the construction, repair, operation, or maintenance of the Facility.</w:t>
      </w:r>
    </w:p>
    <w:p w:rsidRPr="000D001A" w:rsidR="002D54C4" w:rsidP="002C7C53" w:rsidRDefault="008B55A2" w14:paraId="4953F6C5" w14:textId="51D25CDC">
      <w:pPr>
        <w:pStyle w:val="Heading3"/>
        <w:rPr>
          <w:rFonts w:cs="Arial"/>
        </w:rPr>
      </w:pPr>
      <w:bookmarkStart w:name="_Toc206673119" w:id="191"/>
      <w:r>
        <w:rPr>
          <w:rFonts w:cs="Arial"/>
        </w:rPr>
        <w:t>Tax or Taxes</w:t>
      </w:r>
      <w:r>
        <w:rPr>
          <w:rFonts w:cs="Arial"/>
          <w:u w:val="none"/>
        </w:rPr>
        <w:t xml:space="preserve">: </w:t>
      </w:r>
      <w:r>
        <w:rPr>
          <w:rFonts w:cs="Arial"/>
          <w:b w:val="0"/>
          <w:bCs w:val="0"/>
          <w:u w:val="none"/>
        </w:rPr>
        <w:t>Any income, gross receipts, license, employment, excise, recording, stamp, customs, capital stock, franchise, profits, withholding, social security, unemployment, disability, property (real or personal), sales, use, transfer, value added, net worth, capital gains, payroll, alternative minimum or other tax, or any other charge, fee, levy, tariff, duty, liability, imposition or other assessment in the nature of a tax, imposed by any Governmental Authority, including any interest, penalties and additions to tax imposed with respect thereto, and any liability for any of the foregoing of any Person under any applicable law, including as a transferee or successor, by contract or otherwise.</w:t>
      </w:r>
      <w:bookmarkEnd w:id="191"/>
      <w:r>
        <w:rPr>
          <w:rFonts w:cs="Arial"/>
          <w:b w:val="0"/>
          <w:bCs w:val="0"/>
          <w:u w:val="none"/>
        </w:rPr>
        <w:t xml:space="preserve"> </w:t>
      </w:r>
    </w:p>
    <w:p w:rsidRPr="000D001A" w:rsidR="002D54C4" w:rsidP="002C7C53" w:rsidRDefault="008B55A2" w14:paraId="352EC5E0" w14:textId="77777777">
      <w:pPr>
        <w:pStyle w:val="Heading3"/>
        <w:rPr>
          <w:rFonts w:cs="Arial"/>
          <w:u w:val="none"/>
        </w:rPr>
      </w:pPr>
      <w:bookmarkStart w:name="_Toc206673120" w:id="192"/>
      <w:r>
        <w:rPr>
          <w:rFonts w:cs="Arial"/>
        </w:rPr>
        <w:t>Technical Limits</w:t>
      </w:r>
      <w:r>
        <w:rPr>
          <w:rFonts w:cs="Arial"/>
          <w:u w:val="none"/>
        </w:rPr>
        <w:t xml:space="preserve">: </w:t>
      </w:r>
      <w:r>
        <w:rPr>
          <w:rFonts w:cs="Arial"/>
          <w:b w:val="0"/>
          <w:u w:val="none"/>
        </w:rPr>
        <w:t>The operational limits and constraints described in Exhibit F (</w:t>
      </w:r>
      <w:r>
        <w:rPr>
          <w:rFonts w:cs="Arial"/>
          <w:b w:val="0"/>
          <w:i/>
          <w:u w:val="none"/>
        </w:rPr>
        <w:t>Facility Operating and Dispatching Requirements</w:t>
      </w:r>
      <w:r>
        <w:rPr>
          <w:rFonts w:cs="Arial"/>
          <w:b w:val="0"/>
          <w:u w:val="none"/>
        </w:rPr>
        <w:t>).</w:t>
      </w:r>
      <w:bookmarkEnd w:id="192"/>
    </w:p>
    <w:p w:rsidRPr="000D001A" w:rsidR="002D54C4" w:rsidP="002C7C53" w:rsidRDefault="008B55A2" w14:paraId="5E69E1D6" w14:textId="5B060762">
      <w:pPr>
        <w:pStyle w:val="Heading3"/>
        <w:rPr>
          <w:rFonts w:cs="Arial"/>
        </w:rPr>
      </w:pPr>
      <w:bookmarkStart w:name="_Toc206673121" w:id="193"/>
      <w:r>
        <w:rPr>
          <w:rFonts w:cs="Arial"/>
        </w:rPr>
        <w:t>Term</w:t>
      </w:r>
      <w:r>
        <w:rPr>
          <w:rFonts w:cs="Arial"/>
          <w:u w:val="none"/>
        </w:rPr>
        <w:t xml:space="preserve">: </w:t>
      </w:r>
      <w:r w:rsidR="006B1F75">
        <w:rPr>
          <w:rFonts w:cs="Arial"/>
          <w:b w:val="0"/>
          <w:u w:val="none"/>
        </w:rPr>
        <w:t>The term of this PPA, which becomes effective on the Effective Date and continues for the number of Annual Periods specified</w:t>
      </w:r>
      <w:r>
        <w:rPr>
          <w:rFonts w:cs="Arial"/>
          <w:b w:val="0"/>
          <w:u w:val="none"/>
        </w:rPr>
        <w:t xml:space="preserve"> in Table A-2 </w:t>
      </w:r>
      <w:r w:rsidR="00021543">
        <w:rPr>
          <w:rFonts w:cs="Arial"/>
          <w:b w:val="0"/>
          <w:u w:val="none"/>
        </w:rPr>
        <w:t>(</w:t>
      </w:r>
      <w:r w:rsidRPr="00021543" w:rsidR="00021543">
        <w:rPr>
          <w:rFonts w:cs="Arial"/>
          <w:b w:val="0"/>
          <w:i/>
          <w:iCs/>
          <w:u w:val="none"/>
        </w:rPr>
        <w:t>Term, RCOD</w:t>
      </w:r>
      <w:r w:rsidR="00021543">
        <w:rPr>
          <w:rFonts w:cs="Arial"/>
          <w:b w:val="0"/>
          <w:u w:val="none"/>
        </w:rPr>
        <w:t>)</w:t>
      </w:r>
      <w:r>
        <w:rPr>
          <w:rFonts w:cs="Arial"/>
          <w:b w:val="0"/>
          <w:u w:val="none"/>
        </w:rPr>
        <w:t xml:space="preserve"> of Exhibit A (</w:t>
      </w:r>
      <w:r>
        <w:rPr>
          <w:rFonts w:cs="Arial"/>
          <w:b w:val="0"/>
          <w:i/>
          <w:u w:val="none"/>
        </w:rPr>
        <w:t>Facility Description and Additional Details</w:t>
      </w:r>
      <w:r>
        <w:rPr>
          <w:rFonts w:cs="Arial"/>
          <w:b w:val="0"/>
          <w:u w:val="none"/>
        </w:rPr>
        <w:t>)</w:t>
      </w:r>
      <w:r w:rsidR="00385DC2">
        <w:rPr>
          <w:rFonts w:cs="Arial"/>
          <w:b w:val="0"/>
          <w:u w:val="none"/>
        </w:rPr>
        <w:t>, unless terminated earlier as provided in this PPA</w:t>
      </w:r>
      <w:r>
        <w:rPr>
          <w:rFonts w:cs="Arial"/>
          <w:b w:val="0"/>
          <w:u w:val="none"/>
        </w:rPr>
        <w:t>.</w:t>
      </w:r>
      <w:bookmarkEnd w:id="193"/>
    </w:p>
    <w:p w:rsidRPr="000D001A" w:rsidR="002D54C4" w:rsidP="002C7C53" w:rsidRDefault="008B55A2" w14:paraId="1F09C92D" w14:textId="2491E376">
      <w:pPr>
        <w:pStyle w:val="Heading3"/>
        <w:rPr>
          <w:rFonts w:cs="Arial"/>
          <w:b w:val="0"/>
          <w:u w:val="none"/>
        </w:rPr>
      </w:pPr>
      <w:bookmarkStart w:name="_Toc206673122" w:id="194"/>
      <w:r>
        <w:rPr>
          <w:rFonts w:cs="Arial"/>
        </w:rPr>
        <w:t>Termination Payment</w:t>
      </w:r>
      <w:r>
        <w:rPr>
          <w:rFonts w:cs="Arial"/>
          <w:u w:val="none"/>
        </w:rPr>
        <w:t xml:space="preserve">: </w:t>
      </w:r>
      <w:r>
        <w:rPr>
          <w:rFonts w:cs="Arial"/>
          <w:b w:val="0"/>
          <w:u w:val="none"/>
        </w:rPr>
        <w:t>As defined in Section 16.3.2 (</w:t>
      </w:r>
      <w:r w:rsidR="00E87A32">
        <w:rPr>
          <w:rFonts w:cs="Arial"/>
          <w:b w:val="0"/>
          <w:i/>
          <w:iCs/>
          <w:u w:val="none"/>
        </w:rPr>
        <w:t>Termination Payment</w:t>
      </w:r>
      <w:r>
        <w:rPr>
          <w:rFonts w:cs="Arial"/>
          <w:b w:val="0"/>
          <w:u w:val="none"/>
        </w:rPr>
        <w:t>).</w:t>
      </w:r>
      <w:bookmarkEnd w:id="194"/>
    </w:p>
    <w:p w:rsidRPr="000D001A" w:rsidR="007F6785" w:rsidP="002C7C53" w:rsidRDefault="008B55A2" w14:paraId="5577958B" w14:textId="23D3ED9E">
      <w:pPr>
        <w:pStyle w:val="Heading3"/>
        <w:rPr>
          <w:rFonts w:cs="Arial"/>
          <w:b w:val="0"/>
        </w:rPr>
      </w:pPr>
      <w:bookmarkStart w:name="_Toc206673123" w:id="195"/>
      <w:r>
        <w:rPr>
          <w:rFonts w:cs="Arial"/>
        </w:rPr>
        <w:t>Test Charge Energy</w:t>
      </w:r>
      <w:r>
        <w:rPr>
          <w:rFonts w:cs="Arial"/>
          <w:u w:val="none"/>
        </w:rPr>
        <w:t xml:space="preserve">: </w:t>
      </w:r>
      <w:r>
        <w:rPr>
          <w:rFonts w:cs="Arial"/>
          <w:b w:val="0"/>
          <w:u w:val="none"/>
        </w:rPr>
        <w:t xml:space="preserve">Any: (i) before COD, </w:t>
      </w:r>
      <w:r w:rsidR="00BC29A4">
        <w:rPr>
          <w:rFonts w:cs="Arial"/>
          <w:b w:val="0"/>
          <w:u w:val="none"/>
        </w:rPr>
        <w:t xml:space="preserve">Grid </w:t>
      </w:r>
      <w:r>
        <w:rPr>
          <w:rFonts w:cs="Arial"/>
          <w:b w:val="0"/>
          <w:u w:val="none"/>
        </w:rPr>
        <w:t>Charging Energy</w:t>
      </w:r>
      <w:r w:rsidR="00BC29A4">
        <w:rPr>
          <w:rFonts w:cs="Arial"/>
          <w:b w:val="0"/>
          <w:u w:val="none"/>
        </w:rPr>
        <w:t xml:space="preserve"> </w:t>
      </w:r>
      <w:r w:rsidDel="00F8505C" w:rsidR="00BC29A4">
        <w:rPr>
          <w:rFonts w:cs="Arial"/>
          <w:b w:val="0"/>
          <w:u w:val="none"/>
        </w:rPr>
        <w:t>or Renewable Resource Charging Energy</w:t>
      </w:r>
      <w:r w:rsidDel="00F8505C">
        <w:rPr>
          <w:rFonts w:cs="Arial"/>
          <w:b w:val="0"/>
          <w:u w:val="none"/>
        </w:rPr>
        <w:t xml:space="preserve"> </w:t>
      </w:r>
      <w:r>
        <w:rPr>
          <w:rFonts w:cs="Arial"/>
          <w:b w:val="0"/>
          <w:u w:val="none"/>
        </w:rPr>
        <w:t>used to charge the</w:t>
      </w:r>
      <w:r>
        <w:rPr>
          <w:b w:val="0"/>
          <w:bCs w:val="0"/>
          <w:u w:val="none"/>
        </w:rPr>
        <w:t xml:space="preserve"> BESS</w:t>
      </w:r>
      <w:r>
        <w:rPr>
          <w:rFonts w:cs="Arial"/>
          <w:b w:val="0"/>
          <w:u w:val="none"/>
        </w:rPr>
        <w:t xml:space="preserve">; or (ii) after COD, any </w:t>
      </w:r>
      <w:r w:rsidR="00BC29A4">
        <w:rPr>
          <w:rFonts w:cs="Arial"/>
          <w:b w:val="0"/>
          <w:u w:val="none"/>
        </w:rPr>
        <w:t xml:space="preserve">Grid </w:t>
      </w:r>
      <w:r>
        <w:rPr>
          <w:rFonts w:cs="Arial"/>
          <w:b w:val="0"/>
          <w:u w:val="none"/>
        </w:rPr>
        <w:t xml:space="preserve">Charging Energy </w:t>
      </w:r>
      <w:r w:rsidDel="00F8505C" w:rsidR="00BC29A4">
        <w:rPr>
          <w:rFonts w:cs="Arial"/>
          <w:b w:val="0"/>
          <w:u w:val="none"/>
        </w:rPr>
        <w:t xml:space="preserve">or Renewable Resource Charging Energy </w:t>
      </w:r>
      <w:r>
        <w:rPr>
          <w:rFonts w:cs="Arial"/>
          <w:b w:val="0"/>
          <w:u w:val="none"/>
        </w:rPr>
        <w:t>used to charge the</w:t>
      </w:r>
      <w:r>
        <w:rPr>
          <w:b w:val="0"/>
          <w:bCs w:val="0"/>
          <w:u w:val="none"/>
        </w:rPr>
        <w:t xml:space="preserve"> BESS</w:t>
      </w:r>
      <w:r>
        <w:rPr>
          <w:rFonts w:cs="Arial"/>
          <w:b w:val="0"/>
          <w:u w:val="none"/>
        </w:rPr>
        <w:t xml:space="preserve"> not at the direction of GPC or by an AGC Setpoint signal.</w:t>
      </w:r>
      <w:bookmarkEnd w:id="195"/>
    </w:p>
    <w:p w:rsidRPr="005618E3" w:rsidR="003F5366" w:rsidP="002C7C53" w:rsidRDefault="008B55A2" w14:paraId="67B0D94C" w14:textId="144E6E81">
      <w:pPr>
        <w:pStyle w:val="Heading3"/>
        <w:rPr>
          <w:rFonts w:cs="Arial"/>
          <w:b w:val="0"/>
        </w:rPr>
      </w:pPr>
      <w:bookmarkStart w:name="_Toc206673124" w:id="196"/>
      <w:r>
        <w:rPr>
          <w:rFonts w:cs="Arial"/>
        </w:rPr>
        <w:t>Test Charge Energy Price</w:t>
      </w:r>
      <w:r>
        <w:rPr>
          <w:rFonts w:cs="Arial"/>
          <w:u w:val="none"/>
        </w:rPr>
        <w:t xml:space="preserve">: </w:t>
      </w:r>
      <w:r>
        <w:rPr>
          <w:rFonts w:cs="Arial"/>
          <w:b w:val="0"/>
          <w:bCs w:val="0"/>
          <w:u w:val="none"/>
        </w:rPr>
        <w:t>Equals AIER.</w:t>
      </w:r>
      <w:bookmarkEnd w:id="196"/>
    </w:p>
    <w:p w:rsidRPr="005618E3" w:rsidR="00254567" w:rsidP="002C7C53" w:rsidRDefault="008B55A2" w14:paraId="068D36B8" w14:textId="4AA70535">
      <w:pPr>
        <w:pStyle w:val="Heading3"/>
        <w:rPr>
          <w:rFonts w:cs="Arial"/>
          <w:b w:val="0"/>
        </w:rPr>
      </w:pPr>
      <w:bookmarkStart w:name="_Toc206673125" w:id="197"/>
      <w:r>
        <w:rPr>
          <w:rFonts w:cs="Arial"/>
        </w:rPr>
        <w:lastRenderedPageBreak/>
        <w:t>Test Discharge Energy</w:t>
      </w:r>
      <w:r>
        <w:rPr>
          <w:rFonts w:cs="Arial"/>
          <w:u w:val="none"/>
        </w:rPr>
        <w:t xml:space="preserve">: </w:t>
      </w:r>
      <w:r>
        <w:rPr>
          <w:rFonts w:cs="Arial"/>
          <w:b w:val="0"/>
          <w:u w:val="none"/>
        </w:rPr>
        <w:t>Any energy delivered to the POI from the</w:t>
      </w:r>
      <w:r>
        <w:rPr>
          <w:b w:val="0"/>
          <w:bCs w:val="0"/>
          <w:u w:val="none"/>
        </w:rPr>
        <w:t xml:space="preserve"> BESS</w:t>
      </w:r>
      <w:r>
        <w:rPr>
          <w:rFonts w:cs="Arial"/>
          <w:b w:val="0"/>
          <w:u w:val="none"/>
        </w:rPr>
        <w:t xml:space="preserve"> before the earlier of RCOD or COD.</w:t>
      </w:r>
      <w:bookmarkEnd w:id="197"/>
    </w:p>
    <w:p w:rsidRPr="00CA1FF0" w:rsidR="002D54C4" w:rsidP="00FB6D9B" w:rsidRDefault="008B55A2" w14:paraId="21242340" w14:textId="14C195A3">
      <w:pPr>
        <w:pStyle w:val="Heading3"/>
        <w:rPr>
          <w:b w:val="0"/>
          <w:u w:val="none"/>
        </w:rPr>
      </w:pPr>
      <w:bookmarkStart w:name="_Toc206673126" w:id="198"/>
      <w:r>
        <w:rPr>
          <w:rFonts w:cs="Arial"/>
        </w:rPr>
        <w:t>Test Discharge Energy Price</w:t>
      </w:r>
      <w:r>
        <w:rPr>
          <w:rFonts w:cs="Arial"/>
          <w:u w:val="none"/>
        </w:rPr>
        <w:t xml:space="preserve">: </w:t>
      </w:r>
      <w:r w:rsidRPr="005A747F" w:rsidR="00A80B03">
        <w:rPr>
          <w:rFonts w:cs="Arial"/>
          <w:b w:val="0"/>
          <w:bCs w:val="0"/>
          <w:u w:val="none"/>
        </w:rPr>
        <w:t>Equals AIER.</w:t>
      </w:r>
      <w:bookmarkEnd w:id="198"/>
    </w:p>
    <w:p w:rsidRPr="004B0BBF" w:rsidR="00307CCB" w:rsidP="002C7C53" w:rsidRDefault="008B55A2" w14:paraId="02691210" w14:textId="7BBB2ACD">
      <w:pPr>
        <w:pStyle w:val="Heading3"/>
        <w:rPr>
          <w:b w:val="0"/>
          <w:u w:val="none"/>
        </w:rPr>
      </w:pPr>
      <w:bookmarkStart w:name="_Toc206673128" w:id="199"/>
      <w:r>
        <w:rPr>
          <w:rFonts w:cs="Arial"/>
        </w:rPr>
        <w:t>Tested Storage Capacity</w:t>
      </w:r>
      <w:r>
        <w:rPr>
          <w:rFonts w:cs="Arial"/>
          <w:u w:val="none"/>
        </w:rPr>
        <w:t xml:space="preserve">: </w:t>
      </w:r>
      <w:r>
        <w:rPr>
          <w:rFonts w:cs="Arial"/>
          <w:b w:val="0"/>
          <w:bCs w:val="0"/>
          <w:u w:val="none"/>
        </w:rPr>
        <w:t>The actual</w:t>
      </w:r>
      <w:r>
        <w:rPr>
          <w:b w:val="0"/>
          <w:bCs w:val="0"/>
          <w:u w:val="none"/>
        </w:rPr>
        <w:t xml:space="preserve"> BESS</w:t>
      </w:r>
      <w:r>
        <w:rPr>
          <w:rFonts w:cs="Arial"/>
          <w:b w:val="0"/>
          <w:bCs w:val="0"/>
          <w:u w:val="none"/>
        </w:rPr>
        <w:t xml:space="preserve"> capability (MW) demonstrated during a Performance Test.</w:t>
      </w:r>
      <w:bookmarkEnd w:id="199"/>
    </w:p>
    <w:p w:rsidRPr="00863B68" w:rsidR="00863B68" w:rsidP="0007464E" w:rsidRDefault="00863B68" w14:paraId="2DF31F1B" w14:textId="31A1A070">
      <w:pPr>
        <w:spacing w:before="120" w:after="120" w:line="240" w:lineRule="auto"/>
        <w:rPr>
          <w:rFonts w:ascii="Arial" w:hAnsi="Arial" w:cs="Arial"/>
          <w:sz w:val="20"/>
          <w:szCs w:val="20"/>
        </w:rPr>
      </w:pPr>
      <w:r w:rsidRPr="00863B68">
        <w:rPr>
          <w:rFonts w:ascii="Arial" w:hAnsi="Arial" w:cs="Arial"/>
          <w:b/>
          <w:bCs/>
          <w:sz w:val="20"/>
          <w:szCs w:val="20"/>
          <w:u w:val="single"/>
        </w:rPr>
        <w:t>Third Arbitrator</w:t>
      </w:r>
      <w:r w:rsidRPr="00AE3827">
        <w:rPr>
          <w:rFonts w:ascii="Arial" w:hAnsi="Arial" w:cs="Arial"/>
          <w:b/>
          <w:bCs/>
          <w:sz w:val="20"/>
          <w:szCs w:val="20"/>
        </w:rPr>
        <w:t>:</w:t>
      </w:r>
      <w:r>
        <w:rPr>
          <w:rFonts w:ascii="Arial" w:hAnsi="Arial" w:cs="Arial"/>
          <w:sz w:val="20"/>
          <w:szCs w:val="20"/>
        </w:rPr>
        <w:t xml:space="preserve"> </w:t>
      </w:r>
      <w:r w:rsidRPr="00863B68">
        <w:rPr>
          <w:rFonts w:ascii="Arial" w:hAnsi="Arial" w:cs="Arial"/>
          <w:sz w:val="20"/>
          <w:szCs w:val="20"/>
        </w:rPr>
        <w:t>As defined in Section 19.3.2</w:t>
      </w:r>
      <w:r w:rsidR="002D6252">
        <w:rPr>
          <w:rFonts w:ascii="Arial" w:hAnsi="Arial" w:cs="Arial"/>
          <w:sz w:val="20"/>
          <w:szCs w:val="20"/>
        </w:rPr>
        <w:t>(i)</w:t>
      </w:r>
      <w:r w:rsidRPr="00863B68">
        <w:rPr>
          <w:rFonts w:ascii="Arial" w:hAnsi="Arial" w:cs="Arial"/>
          <w:sz w:val="20"/>
          <w:szCs w:val="20"/>
        </w:rPr>
        <w:t xml:space="preserve"> (</w:t>
      </w:r>
      <w:r w:rsidRPr="00863B68">
        <w:rPr>
          <w:rFonts w:ascii="Arial" w:hAnsi="Arial" w:cs="Arial"/>
          <w:i/>
          <w:iCs/>
          <w:sz w:val="20"/>
          <w:szCs w:val="20"/>
        </w:rPr>
        <w:t xml:space="preserve">Initiation of Arbitration; Selection of </w:t>
      </w:r>
      <w:r w:rsidR="002D6252">
        <w:rPr>
          <w:rFonts w:ascii="Arial" w:hAnsi="Arial" w:cs="Arial"/>
          <w:i/>
          <w:iCs/>
          <w:sz w:val="20"/>
          <w:szCs w:val="20"/>
        </w:rPr>
        <w:t xml:space="preserve">Party-Appointed </w:t>
      </w:r>
      <w:r w:rsidRPr="00863B68">
        <w:rPr>
          <w:rFonts w:ascii="Arial" w:hAnsi="Arial" w:cs="Arial"/>
          <w:i/>
          <w:iCs/>
          <w:sz w:val="20"/>
          <w:szCs w:val="20"/>
        </w:rPr>
        <w:t>Arbitrators</w:t>
      </w:r>
      <w:r w:rsidRPr="00863B68">
        <w:rPr>
          <w:rFonts w:ascii="Arial" w:hAnsi="Arial" w:cs="Arial"/>
          <w:sz w:val="20"/>
          <w:szCs w:val="20"/>
        </w:rPr>
        <w:t>).</w:t>
      </w:r>
    </w:p>
    <w:p w:rsidRPr="000D001A" w:rsidR="002D54C4" w:rsidP="002C7C53" w:rsidRDefault="008B55A2" w14:paraId="13E6B20D" w14:textId="45555E1D">
      <w:pPr>
        <w:pStyle w:val="Heading3"/>
        <w:rPr>
          <w:rFonts w:cs="Arial"/>
        </w:rPr>
      </w:pPr>
      <w:bookmarkStart w:name="_Toc206673129" w:id="200"/>
      <w:r>
        <w:rPr>
          <w:rFonts w:cs="Arial"/>
        </w:rPr>
        <w:t>Threshold Amount</w:t>
      </w:r>
      <w:r>
        <w:rPr>
          <w:rFonts w:cs="Arial"/>
          <w:u w:val="none"/>
        </w:rPr>
        <w:t xml:space="preserve">: </w:t>
      </w:r>
      <w:r w:rsidRPr="004052A6" w:rsidR="00192B7B">
        <w:rPr>
          <w:rFonts w:cs="Arial"/>
          <w:b w:val="0"/>
          <w:bCs w:val="0"/>
          <w:u w:val="none"/>
        </w:rPr>
        <w:t>$8.00/kW of Contracted Capacity, expressed in dollars by multiplying $8.00 by the Contracted Capacity (kW)</w:t>
      </w:r>
      <w:r>
        <w:rPr>
          <w:rFonts w:cs="Arial"/>
          <w:b w:val="0"/>
          <w:u w:val="none"/>
        </w:rPr>
        <w:t>.</w:t>
      </w:r>
      <w:bookmarkEnd w:id="200"/>
    </w:p>
    <w:p w:rsidR="0034189C" w:rsidP="002C7C53" w:rsidRDefault="008B55A2" w14:paraId="14496615" w14:textId="77777777">
      <w:pPr>
        <w:pStyle w:val="Heading3"/>
        <w:rPr>
          <w:rFonts w:cs="Arial"/>
          <w:b w:val="0"/>
          <w:u w:val="none"/>
        </w:rPr>
      </w:pPr>
      <w:bookmarkStart w:name="_Toc206673130" w:id="201"/>
      <w:bookmarkStart w:name="_Hlk194061792" w:id="202"/>
      <w:r>
        <w:rPr>
          <w:rFonts w:cs="Arial"/>
        </w:rPr>
        <w:t>Triggering Failure</w:t>
      </w:r>
      <w:r>
        <w:rPr>
          <w:rFonts w:cs="Arial"/>
          <w:u w:val="none"/>
        </w:rPr>
        <w:t xml:space="preserve">: </w:t>
      </w:r>
      <w:r>
        <w:rPr>
          <w:rFonts w:cs="Arial"/>
          <w:b w:val="0"/>
          <w:bCs w:val="0"/>
          <w:u w:val="none"/>
        </w:rPr>
        <w:t>As defined in Section 10.9 (</w:t>
      </w:r>
      <w:r>
        <w:rPr>
          <w:rFonts w:cs="Arial"/>
          <w:b w:val="0"/>
          <w:bCs w:val="0"/>
          <w:i/>
          <w:iCs/>
          <w:u w:val="none"/>
        </w:rPr>
        <w:t>AGC Performance Requirements</w:t>
      </w:r>
      <w:r>
        <w:rPr>
          <w:rFonts w:cs="Arial"/>
          <w:b w:val="0"/>
          <w:bCs w:val="0"/>
          <w:u w:val="none"/>
        </w:rPr>
        <w:t>).</w:t>
      </w:r>
      <w:bookmarkEnd w:id="201"/>
    </w:p>
    <w:bookmarkEnd w:id="202"/>
    <w:p w:rsidRPr="00284A18" w:rsidR="00284A18" w:rsidP="0007464E" w:rsidRDefault="00284A18" w14:paraId="7ABA0434" w14:textId="6930AF90">
      <w:pPr>
        <w:spacing w:before="120" w:after="120" w:line="240" w:lineRule="auto"/>
        <w:rPr>
          <w:rFonts w:ascii="Arial" w:hAnsi="Arial" w:cs="Arial"/>
          <w:sz w:val="20"/>
          <w:szCs w:val="20"/>
        </w:rPr>
      </w:pPr>
      <w:r w:rsidRPr="00284A18">
        <w:rPr>
          <w:rFonts w:ascii="Arial" w:hAnsi="Arial" w:cs="Arial"/>
          <w:b/>
          <w:bCs/>
          <w:sz w:val="20"/>
          <w:szCs w:val="20"/>
          <w:u w:val="single"/>
        </w:rPr>
        <w:t>Ultimate Parent Entity</w:t>
      </w:r>
      <w:r w:rsidRPr="00DD3161">
        <w:rPr>
          <w:rFonts w:ascii="Arial" w:hAnsi="Arial" w:cs="Arial"/>
          <w:b/>
          <w:sz w:val="20"/>
          <w:szCs w:val="20"/>
        </w:rPr>
        <w:t>:</w:t>
      </w:r>
      <w:r w:rsidRPr="00284A18">
        <w:rPr>
          <w:rFonts w:ascii="Arial" w:hAnsi="Arial" w:cs="Arial"/>
          <w:sz w:val="20"/>
          <w:szCs w:val="20"/>
        </w:rPr>
        <w:t xml:space="preserve"> With respect to a Party, the Person who (i) directly or indirectly controls 50% or more of the outstanding capital stock or other equity interests in such Party; (ii) has ordinary voting power; and (iii) does not itself have an Ultimate Parent Entity.</w:t>
      </w:r>
    </w:p>
    <w:p w:rsidRPr="000D001A" w:rsidR="000763DC" w:rsidP="002C7C53" w:rsidRDefault="008B55A2" w14:paraId="5EDDF770" w14:textId="5DEBAD51">
      <w:pPr>
        <w:pStyle w:val="Heading3"/>
        <w:rPr>
          <w:rFonts w:cs="Arial"/>
        </w:rPr>
      </w:pPr>
      <w:bookmarkStart w:name="_Toc206673131" w:id="203"/>
      <w:r>
        <w:rPr>
          <w:rFonts w:cs="Arial"/>
        </w:rPr>
        <w:t>Unavailable</w:t>
      </w:r>
      <w:r>
        <w:rPr>
          <w:rFonts w:cs="Arial"/>
          <w:u w:val="none"/>
        </w:rPr>
        <w:t>:</w:t>
      </w:r>
      <w:r>
        <w:rPr>
          <w:u w:val="none"/>
        </w:rPr>
        <w:t xml:space="preserve"> </w:t>
      </w:r>
      <w:r>
        <w:rPr>
          <w:b w:val="0"/>
          <w:bCs w:val="0"/>
          <w:u w:val="none"/>
        </w:rPr>
        <w:t>T</w:t>
      </w:r>
      <w:r>
        <w:rPr>
          <w:rFonts w:cs="Arial"/>
          <w:b w:val="0"/>
          <w:bCs w:val="0"/>
          <w:u w:val="none"/>
        </w:rPr>
        <w:t xml:space="preserve">he extent to which, after the Delivery Commencement Date, the Facility is unable (in whole or in part) to </w:t>
      </w:r>
      <w:r w:rsidDel="00A67B5C">
        <w:rPr>
          <w:rFonts w:cs="Arial"/>
          <w:b w:val="0"/>
          <w:bCs w:val="0"/>
          <w:u w:val="none"/>
        </w:rPr>
        <w:t>store</w:t>
      </w:r>
      <w:r>
        <w:rPr>
          <w:rFonts w:cs="Arial"/>
          <w:b w:val="0"/>
          <w:bCs w:val="0"/>
          <w:u w:val="none"/>
        </w:rPr>
        <w:t xml:space="preserve"> or </w:t>
      </w:r>
      <w:r w:rsidDel="00A67B5C">
        <w:rPr>
          <w:rFonts w:cs="Arial"/>
          <w:b w:val="0"/>
          <w:bCs w:val="0"/>
          <w:u w:val="none"/>
        </w:rPr>
        <w:t>deliver</w:t>
      </w:r>
      <w:r>
        <w:rPr>
          <w:rFonts w:cs="Arial"/>
          <w:b w:val="0"/>
          <w:bCs w:val="0"/>
          <w:u w:val="none"/>
        </w:rPr>
        <w:t xml:space="preserve"> energy due to a Scheduled Outage, Maintenance Outage, Forced Outage, Forced Derate, or a Force Majeure Event.</w:t>
      </w:r>
      <w:bookmarkEnd w:id="203"/>
    </w:p>
    <w:p w:rsidRPr="000D001A" w:rsidR="002D54C4" w:rsidP="002C7C53" w:rsidRDefault="008B55A2" w14:paraId="046A6C4B" w14:textId="0DA6AF46">
      <w:pPr>
        <w:pStyle w:val="Heading3"/>
        <w:rPr>
          <w:rFonts w:cs="Arial"/>
        </w:rPr>
      </w:pPr>
      <w:bookmarkStart w:name="_Toc206673132" w:id="204"/>
      <w:r>
        <w:rPr>
          <w:rFonts w:cs="Arial"/>
        </w:rPr>
        <w:t>Unavailability Period</w:t>
      </w:r>
      <w:r>
        <w:rPr>
          <w:rFonts w:cs="Arial"/>
          <w:u w:val="none"/>
        </w:rPr>
        <w:t xml:space="preserve">: </w:t>
      </w:r>
      <w:r>
        <w:rPr>
          <w:rFonts w:cs="Arial"/>
          <w:b w:val="0"/>
          <w:u w:val="none"/>
        </w:rPr>
        <w:t>Any single, continuous period during which the</w:t>
      </w:r>
      <w:r>
        <w:rPr>
          <w:b w:val="0"/>
          <w:bCs w:val="0"/>
          <w:u w:val="none"/>
        </w:rPr>
        <w:t xml:space="preserve"> BESS</w:t>
      </w:r>
      <w:r>
        <w:rPr>
          <w:rFonts w:cs="Arial"/>
          <w:b w:val="0"/>
          <w:u w:val="none"/>
        </w:rPr>
        <w:t xml:space="preserve"> is Unavailable to respond to GPC’s AGC Setpoint signals or other dispatch instructions, in whole or in part.</w:t>
      </w:r>
      <w:bookmarkEnd w:id="204"/>
      <w:r>
        <w:rPr>
          <w:rFonts w:cs="Arial"/>
          <w:b w:val="0"/>
          <w:u w:val="none"/>
        </w:rPr>
        <w:t xml:space="preserve"> </w:t>
      </w:r>
    </w:p>
    <w:p w:rsidRPr="000D001A" w:rsidR="002D54C4" w:rsidP="002C7C53" w:rsidRDefault="008B55A2" w14:paraId="1B4D2355" w14:textId="77777777">
      <w:pPr>
        <w:pStyle w:val="Heading3"/>
        <w:tabs>
          <w:tab w:val="left" w:pos="900"/>
          <w:tab w:val="left" w:pos="1440"/>
        </w:tabs>
        <w:rPr>
          <w:rFonts w:cs="Arial"/>
          <w:u w:val="none"/>
        </w:rPr>
      </w:pPr>
      <w:bookmarkStart w:name="_Toc206673134" w:id="205"/>
      <w:r>
        <w:rPr>
          <w:rFonts w:cs="Arial"/>
        </w:rPr>
        <w:t>Variable Interest (VI)</w:t>
      </w:r>
      <w:r>
        <w:rPr>
          <w:rFonts w:cs="Arial"/>
          <w:u w:val="none"/>
        </w:rPr>
        <w:t xml:space="preserve">: </w:t>
      </w:r>
      <w:r>
        <w:rPr>
          <w:rFonts w:cs="Arial"/>
          <w:b w:val="0"/>
          <w:u w:val="none"/>
        </w:rPr>
        <w:t>Defined in ASC Topic 810 (</w:t>
      </w:r>
      <w:r>
        <w:rPr>
          <w:rFonts w:cs="Arial"/>
          <w:b w:val="0"/>
          <w:i/>
          <w:u w:val="none"/>
        </w:rPr>
        <w:t>Consolidation</w:t>
      </w:r>
      <w:r>
        <w:rPr>
          <w:rFonts w:cs="Arial"/>
          <w:b w:val="0"/>
          <w:u w:val="none"/>
        </w:rPr>
        <w:t>), as issued and modified from time to time by FASB.</w:t>
      </w:r>
      <w:bookmarkEnd w:id="205"/>
    </w:p>
    <w:p w:rsidR="002D54C4" w:rsidP="002C7C53" w:rsidRDefault="008B55A2" w14:paraId="79513F2E" w14:textId="77777777">
      <w:pPr>
        <w:pStyle w:val="Heading3"/>
        <w:tabs>
          <w:tab w:val="left" w:pos="900"/>
          <w:tab w:val="left" w:pos="1440"/>
        </w:tabs>
        <w:rPr>
          <w:rFonts w:cs="Arial"/>
          <w:b w:val="0"/>
          <w:u w:val="none"/>
        </w:rPr>
      </w:pPr>
      <w:bookmarkStart w:name="_Toc206673135" w:id="206"/>
      <w:r>
        <w:rPr>
          <w:rFonts w:cs="Arial"/>
        </w:rPr>
        <w:t>Variable Interest Entity (VIE)</w:t>
      </w:r>
      <w:r>
        <w:rPr>
          <w:rFonts w:cs="Arial"/>
          <w:u w:val="none"/>
        </w:rPr>
        <w:t xml:space="preserve">: </w:t>
      </w:r>
      <w:r>
        <w:rPr>
          <w:rFonts w:cs="Arial"/>
          <w:b w:val="0"/>
          <w:u w:val="none"/>
        </w:rPr>
        <w:t>Defined in ASC Topic 810 (</w:t>
      </w:r>
      <w:r>
        <w:rPr>
          <w:rFonts w:cs="Arial"/>
          <w:b w:val="0"/>
          <w:i/>
          <w:u w:val="none"/>
        </w:rPr>
        <w:t>Consolidation</w:t>
      </w:r>
      <w:r>
        <w:rPr>
          <w:rFonts w:cs="Arial"/>
          <w:b w:val="0"/>
          <w:u w:val="none"/>
        </w:rPr>
        <w:t>), as issued and modified from time to time by FASB.</w:t>
      </w:r>
      <w:bookmarkEnd w:id="206"/>
    </w:p>
    <w:p w:rsidR="0062081D" w:rsidRDefault="008B55A2" w14:paraId="3CF1CD9C" w14:textId="77777777">
      <w:pPr>
        <w:rPr>
          <w:rFonts w:cs="Arial"/>
        </w:rPr>
        <w:sectPr w:rsidR="0062081D" w:rsidSect="00226062">
          <w:headerReference w:type="even" r:id="rId15"/>
          <w:footerReference w:type="even" r:id="rId16"/>
          <w:headerReference w:type="first" r:id="rId17"/>
          <w:footerReference w:type="first" r:id="rId18"/>
          <w:footnotePr>
            <w:numRestart w:val="eachSect"/>
          </w:footnotePr>
          <w:pgSz w:w="12240" w:h="15840" w:code="1"/>
          <w:pgMar w:top="1440" w:right="1440" w:bottom="1440" w:left="1440" w:header="720" w:footer="720" w:gutter="0"/>
          <w:paperSrc w:first="15" w:other="15"/>
          <w:cols w:space="1440"/>
        </w:sectPr>
      </w:pPr>
      <w:r>
        <w:rPr>
          <w:rFonts w:cs="Arial"/>
        </w:rPr>
        <w:br w:type="page"/>
      </w:r>
    </w:p>
    <w:p w:rsidRPr="004D586A" w:rsidR="004D586A" w:rsidP="004D586A" w:rsidRDefault="004D586A" w14:paraId="2369A3EE" w14:textId="77777777"/>
    <w:p w:rsidR="004A3EEB" w:rsidP="002D54C4" w:rsidRDefault="008B55A2" w14:paraId="26C2952A" w14:textId="679FF411">
      <w:pPr>
        <w:pStyle w:val="zGTitle14"/>
        <w:rPr>
          <w:color w:val="000000" w:themeColor="text1"/>
          <w:szCs w:val="28"/>
        </w:rPr>
      </w:pPr>
      <w:r>
        <w:rPr>
          <w:color w:val="000000" w:themeColor="text1"/>
          <w:szCs w:val="28"/>
        </w:rPr>
        <w:t xml:space="preserve">Power Purchase Agreement for </w:t>
      </w:r>
    </w:p>
    <w:p w:rsidR="002D54C4" w:rsidP="002D54C4" w:rsidRDefault="008B55A2" w14:paraId="11E12C79" w14:textId="77777777">
      <w:pPr>
        <w:pStyle w:val="zGTitle14"/>
        <w:rPr>
          <w:color w:val="000000" w:themeColor="text1"/>
          <w:szCs w:val="28"/>
        </w:rPr>
      </w:pPr>
      <w:r>
        <w:rPr>
          <w:color w:val="000000" w:themeColor="text1"/>
          <w:szCs w:val="28"/>
        </w:rPr>
        <w:t xml:space="preserve">Firm Capacity, Energy Storage Services, and Ancillary Services </w:t>
      </w:r>
    </w:p>
    <w:p w:rsidR="002F71B6" w:rsidP="0026294B" w:rsidRDefault="008B55A2" w14:paraId="05AC66D7" w14:textId="7E631DF1">
      <w:pPr>
        <w:pStyle w:val="zGTitle14"/>
        <w:rPr>
          <w:color w:val="000000" w:themeColor="text1"/>
          <w:szCs w:val="28"/>
        </w:rPr>
      </w:pPr>
      <w:r>
        <w:rPr>
          <w:color w:val="000000" w:themeColor="text1"/>
          <w:szCs w:val="28"/>
        </w:rPr>
        <w:t>from a Battery Energy Storage System</w:t>
      </w:r>
    </w:p>
    <w:p w:rsidR="002F71B6" w:rsidP="0026294B" w:rsidRDefault="00166A0A" w14:paraId="0EFF7DC8" w14:textId="77777777">
      <w:pPr>
        <w:pStyle w:val="zGTitle14"/>
        <w:rPr>
          <w:color w:val="000000" w:themeColor="text1"/>
          <w:szCs w:val="28"/>
        </w:rPr>
      </w:pPr>
      <w:r>
        <w:rPr>
          <w:color w:val="000000" w:themeColor="text1"/>
          <w:szCs w:val="28"/>
        </w:rPr>
        <w:t xml:space="preserve"> [</w:t>
      </w:r>
      <w:r w:rsidRPr="00166A0A">
        <w:rPr>
          <w:color w:val="000000" w:themeColor="text1"/>
          <w:szCs w:val="28"/>
          <w:highlight w:val="yellow"/>
        </w:rPr>
        <w:t>Paired with a Renewable Resource</w:t>
      </w:r>
      <w:r>
        <w:rPr>
          <w:color w:val="000000" w:themeColor="text1"/>
          <w:szCs w:val="28"/>
        </w:rPr>
        <w:t>]</w:t>
      </w:r>
      <w:r w:rsidR="008B55A2">
        <w:rPr>
          <w:color w:val="000000" w:themeColor="text1"/>
          <w:szCs w:val="28"/>
        </w:rPr>
        <w:t xml:space="preserve"> </w:t>
      </w:r>
    </w:p>
    <w:p w:rsidR="002F71B6" w:rsidP="0026294B" w:rsidRDefault="002F71B6" w14:paraId="215925FE" w14:textId="5CC67025">
      <w:pPr>
        <w:pStyle w:val="zGTitle14"/>
        <w:rPr>
          <w:color w:val="000000" w:themeColor="text1"/>
          <w:szCs w:val="28"/>
        </w:rPr>
      </w:pPr>
      <w:r>
        <w:rPr>
          <w:color w:val="000000" w:themeColor="text1"/>
          <w:szCs w:val="28"/>
        </w:rPr>
        <w:t xml:space="preserve">for </w:t>
      </w:r>
      <w:r w:rsidRPr="00223269" w:rsidR="00E83782">
        <w:t>2026 All-Source Capacity Request for Proposals for Need Years</w:t>
      </w:r>
      <w:r w:rsidR="002C729F">
        <w:t xml:space="preserve"> 2032</w:t>
      </w:r>
      <w:r w:rsidR="000F49F2">
        <w:t>-</w:t>
      </w:r>
      <w:r w:rsidR="00B84D4A">
        <w:t xml:space="preserve"> </w:t>
      </w:r>
      <w:r w:rsidR="002C729F">
        <w:t>2033</w:t>
      </w:r>
      <w:r w:rsidR="00F315DC">
        <w:t xml:space="preserve"> </w:t>
      </w:r>
    </w:p>
    <w:p w:rsidRPr="004B0BBF" w:rsidR="002E0148" w:rsidP="0026294B" w:rsidRDefault="008B55A2" w14:paraId="0673EAFD" w14:textId="6C70E947">
      <w:pPr>
        <w:pStyle w:val="zGTitle14"/>
        <w:rPr>
          <w:color w:val="000000" w:themeColor="text1"/>
        </w:rPr>
      </w:pPr>
      <w:r w:rsidRPr="004B0BBF">
        <w:rPr>
          <w:color w:val="000000" w:themeColor="text1"/>
        </w:rPr>
        <w:t xml:space="preserve">at </w:t>
      </w:r>
      <w:r>
        <w:rPr>
          <w:color w:val="000000" w:themeColor="text1"/>
          <w:szCs w:val="28"/>
        </w:rPr>
        <w:t>#</w:t>
      </w:r>
      <w:r>
        <w:rPr>
          <w:color w:val="000000" w:themeColor="text1"/>
          <w:szCs w:val="28"/>
          <w:highlight w:val="yellow"/>
        </w:rPr>
        <w:t>FacilityName</w:t>
      </w:r>
      <w:r>
        <w:rPr>
          <w:color w:val="000000" w:themeColor="text1"/>
          <w:szCs w:val="28"/>
        </w:rPr>
        <w:t>#</w:t>
      </w:r>
    </w:p>
    <w:p w:rsidR="002D54C4" w:rsidP="002D54C4" w:rsidRDefault="008B55A2" w14:paraId="38FEFCBE" w14:textId="77777777">
      <w:pPr>
        <w:pStyle w:val="zGTitle14"/>
        <w:rPr>
          <w:color w:val="000000" w:themeColor="text1"/>
          <w:szCs w:val="28"/>
        </w:rPr>
      </w:pPr>
      <w:r>
        <w:rPr>
          <w:color w:val="000000" w:themeColor="text1"/>
          <w:szCs w:val="28"/>
        </w:rPr>
        <w:t>between Georgia Power Company</w:t>
      </w:r>
    </w:p>
    <w:p w:rsidR="002D54C4" w:rsidP="002D54C4" w:rsidRDefault="008B55A2" w14:paraId="2932DFEA" w14:textId="77777777">
      <w:pPr>
        <w:pStyle w:val="zGTitle14"/>
        <w:rPr>
          <w:color w:val="000000" w:themeColor="text1"/>
          <w:szCs w:val="28"/>
        </w:rPr>
      </w:pPr>
      <w:r>
        <w:rPr>
          <w:color w:val="000000" w:themeColor="text1"/>
          <w:szCs w:val="28"/>
        </w:rPr>
        <w:t xml:space="preserve">and </w:t>
      </w:r>
      <w:r>
        <w:rPr>
          <w:color w:val="000000" w:themeColor="text1"/>
          <w:szCs w:val="28"/>
          <w:highlight w:val="yellow"/>
        </w:rPr>
        <w:t>#SellerLegalName#</w:t>
      </w:r>
    </w:p>
    <w:p w:rsidR="002D54C4" w:rsidP="002D54C4" w:rsidRDefault="002D54C4" w14:paraId="1FC4D426" w14:textId="77777777">
      <w:pPr>
        <w:pStyle w:val="zGTitle14"/>
        <w:spacing w:after="0"/>
        <w:rPr>
          <w:color w:val="000000" w:themeColor="text1"/>
          <w:sz w:val="20"/>
        </w:rPr>
      </w:pPr>
    </w:p>
    <w:p w:rsidRPr="00F10071" w:rsidR="002D54C4" w:rsidP="002D54C4" w:rsidRDefault="008B55A2" w14:paraId="5D0B7BDC" w14:textId="24D76CAD">
      <w:pPr>
        <w:pStyle w:val="zGNormal6"/>
        <w:rPr>
          <w:rStyle w:val="eop"/>
          <w:shd w:val="clear" w:color="auto" w:fill="FFFFFF"/>
        </w:rPr>
      </w:pPr>
      <w:r>
        <w:rPr>
          <w:rStyle w:val="normaltextrun"/>
          <w:b/>
          <w:bCs/>
          <w:shd w:val="clear" w:color="auto" w:fill="FFFFFF"/>
        </w:rPr>
        <w:t>Georgia Power Company</w:t>
      </w:r>
      <w:r>
        <w:rPr>
          <w:rStyle w:val="normaltextrun"/>
          <w:shd w:val="clear" w:color="auto" w:fill="FFFFFF"/>
        </w:rPr>
        <w:t xml:space="preserve"> (“</w:t>
      </w:r>
      <w:r>
        <w:rPr>
          <w:rStyle w:val="normaltextrun"/>
          <w:b/>
          <w:bCs/>
          <w:shd w:val="clear" w:color="auto" w:fill="FFFFFF"/>
        </w:rPr>
        <w:t>GPC</w:t>
      </w:r>
      <w:r>
        <w:rPr>
          <w:rStyle w:val="normaltextrun"/>
          <w:shd w:val="clear" w:color="auto" w:fill="FFFFFF"/>
        </w:rPr>
        <w:t xml:space="preserve">”), a Georgia corporation, and </w:t>
      </w:r>
      <w:r>
        <w:rPr>
          <w:rStyle w:val="normaltextrun"/>
          <w:b/>
          <w:highlight w:val="yellow"/>
          <w:shd w:val="clear" w:color="auto" w:fill="FFFF00"/>
        </w:rPr>
        <w:t>#SellerLegalName#</w:t>
      </w:r>
      <w:r>
        <w:rPr>
          <w:rStyle w:val="normaltextrun"/>
          <w:b/>
        </w:rPr>
        <w:t xml:space="preserve"> </w:t>
      </w:r>
      <w:r>
        <w:rPr>
          <w:rStyle w:val="normaltextrun"/>
        </w:rPr>
        <w:t>(“</w:t>
      </w:r>
      <w:r>
        <w:rPr>
          <w:rStyle w:val="normaltextrun"/>
          <w:b/>
        </w:rPr>
        <w:t>Seller</w:t>
      </w:r>
      <w:r>
        <w:rPr>
          <w:rStyle w:val="normaltextrun"/>
        </w:rPr>
        <w:t>”)</w:t>
      </w:r>
      <w:r>
        <w:rPr>
          <w:rStyle w:val="normaltextrun"/>
          <w:shd w:val="clear" w:color="auto" w:fill="FFFFFF"/>
        </w:rPr>
        <w:t xml:space="preserve"> enter into this </w:t>
      </w:r>
      <w:r>
        <w:rPr>
          <w:rStyle w:val="normaltextrun"/>
          <w:b/>
          <w:shd w:val="clear" w:color="auto" w:fill="FFFFFF"/>
        </w:rPr>
        <w:t>Power Purchase Agreement for Firm Capacity</w:t>
      </w:r>
      <w:r>
        <w:rPr>
          <w:rStyle w:val="normaltextrun"/>
          <w:b/>
          <w:bCs/>
          <w:shd w:val="clear" w:color="auto" w:fill="FFFFFF"/>
        </w:rPr>
        <w:t xml:space="preserve">, Energy Storage Services, and Ancillary Services from a Battery Energy Storage System </w:t>
      </w:r>
      <w:r w:rsidR="005A13F2">
        <w:rPr>
          <w:rStyle w:val="normaltextrun"/>
          <w:b/>
          <w:bCs/>
          <w:shd w:val="clear" w:color="auto" w:fill="FFFFFF"/>
        </w:rPr>
        <w:t>[</w:t>
      </w:r>
      <w:r w:rsidRPr="009124EF" w:rsidR="005A13F2">
        <w:rPr>
          <w:rStyle w:val="normaltextrun"/>
          <w:b/>
          <w:bCs/>
          <w:highlight w:val="yellow"/>
          <w:shd w:val="clear" w:color="auto" w:fill="FFFFFF"/>
        </w:rPr>
        <w:t>Paired with a Renewable Resource</w:t>
      </w:r>
      <w:r w:rsidR="005A13F2">
        <w:rPr>
          <w:rStyle w:val="normaltextrun"/>
          <w:b/>
          <w:bCs/>
          <w:shd w:val="clear" w:color="auto" w:fill="FFFFFF"/>
        </w:rPr>
        <w:t xml:space="preserve">] for </w:t>
      </w:r>
      <w:r w:rsidRPr="00F315DC" w:rsidR="00F315DC">
        <w:rPr>
          <w:b/>
          <w:bCs/>
        </w:rPr>
        <w:t>20</w:t>
      </w:r>
      <w:r w:rsidR="001E6DD8">
        <w:rPr>
          <w:b/>
          <w:bCs/>
        </w:rPr>
        <w:t>26 All-Source Capacity Request for Proposals for Need Years 2032</w:t>
      </w:r>
      <w:r w:rsidR="000F49F2">
        <w:rPr>
          <w:b/>
          <w:bCs/>
        </w:rPr>
        <w:t>-</w:t>
      </w:r>
      <w:r w:rsidR="00FF4287">
        <w:rPr>
          <w:b/>
          <w:bCs/>
        </w:rPr>
        <w:t xml:space="preserve"> </w:t>
      </w:r>
      <w:r w:rsidR="001E6DD8">
        <w:rPr>
          <w:b/>
          <w:bCs/>
        </w:rPr>
        <w:t>2033</w:t>
      </w:r>
      <w:r w:rsidRPr="00F315DC" w:rsidR="00F315DC">
        <w:rPr>
          <w:b/>
          <w:bCs/>
        </w:rPr>
        <w:t xml:space="preserve"> </w:t>
      </w:r>
      <w:r>
        <w:rPr>
          <w:rStyle w:val="normaltextrun"/>
          <w:b/>
          <w:bCs/>
          <w:shd w:val="clear" w:color="auto" w:fill="FFFFFF"/>
        </w:rPr>
        <w:t>at #</w:t>
      </w:r>
      <w:r>
        <w:rPr>
          <w:rStyle w:val="normaltextrun"/>
          <w:b/>
          <w:bCs/>
          <w:highlight w:val="yellow"/>
          <w:shd w:val="clear" w:color="auto" w:fill="FFFFFF"/>
        </w:rPr>
        <w:t>FacilityName</w:t>
      </w:r>
      <w:r>
        <w:rPr>
          <w:rStyle w:val="normaltextrun"/>
          <w:b/>
          <w:bCs/>
          <w:shd w:val="clear" w:color="auto" w:fill="FFFFFF"/>
        </w:rPr>
        <w:t xml:space="preserve"># </w:t>
      </w:r>
      <w:r>
        <w:rPr>
          <w:rStyle w:val="normaltextrun"/>
          <w:shd w:val="clear" w:color="auto" w:fill="FFFFFF"/>
        </w:rPr>
        <w:t>as of the Effective Date. GPC and Seller acknowledge:</w:t>
      </w:r>
      <w:r>
        <w:rPr>
          <w:rStyle w:val="eop"/>
          <w:shd w:val="clear" w:color="auto" w:fill="FFFFFF"/>
        </w:rPr>
        <w:t> </w:t>
      </w:r>
    </w:p>
    <w:p w:rsidRPr="004B0BBF" w:rsidR="00164264" w:rsidP="00236AED" w:rsidRDefault="008B55A2" w14:paraId="1C9BA0C2" w14:textId="1B15B23D">
      <w:pPr>
        <w:pStyle w:val="zGNormal6"/>
        <w:numPr>
          <w:ilvl w:val="0"/>
          <w:numId w:val="7"/>
        </w:numPr>
        <w:rPr>
          <w:rStyle w:val="eop"/>
        </w:rPr>
      </w:pPr>
      <w:r>
        <w:rPr>
          <w:rStyle w:val="normaltextrun"/>
        </w:rPr>
        <w:t>Seller desires to sell, and GPC desires to purchase capacity, energy storage services, and Ancillary Services from the Facility consistent with the Commission’s Orders in Docket No</w:t>
      </w:r>
      <w:r w:rsidR="009E3498">
        <w:rPr>
          <w:rStyle w:val="normaltextrun"/>
        </w:rPr>
        <w:t>s</w:t>
      </w:r>
      <w:r>
        <w:rPr>
          <w:rStyle w:val="normaltextrun"/>
        </w:rPr>
        <w:t xml:space="preserve">. </w:t>
      </w:r>
      <w:r w:rsidR="000651F7">
        <w:rPr>
          <w:rStyle w:val="normaltextrun"/>
        </w:rPr>
        <w:t>56002</w:t>
      </w:r>
      <w:r w:rsidR="009E3498">
        <w:rPr>
          <w:rStyle w:val="normaltextrun"/>
        </w:rPr>
        <w:t xml:space="preserve"> and </w:t>
      </w:r>
      <w:r w:rsidR="00FD5D0E">
        <w:rPr>
          <w:rStyle w:val="normaltextrun"/>
        </w:rPr>
        <w:t>56368</w:t>
      </w:r>
      <w:r>
        <w:rPr>
          <w:rStyle w:val="normaltextrun"/>
        </w:rPr>
        <w:t>;</w:t>
      </w:r>
    </w:p>
    <w:p w:rsidRPr="000D001A" w:rsidR="00164264" w:rsidP="00236AED" w:rsidRDefault="008B55A2" w14:paraId="1972F34B" w14:textId="77777777">
      <w:pPr>
        <w:pStyle w:val="zGNormal6"/>
        <w:numPr>
          <w:ilvl w:val="0"/>
          <w:numId w:val="7"/>
        </w:numPr>
        <w:rPr>
          <w:rStyle w:val="eop"/>
          <w:rFonts w:asciiTheme="minorHAnsi" w:hAnsiTheme="minorHAnsi" w:eastAsiaTheme="minorHAnsi" w:cstheme="minorBidi"/>
          <w:kern w:val="0"/>
          <w:sz w:val="22"/>
          <w:szCs w:val="22"/>
        </w:rPr>
      </w:pPr>
      <w:r>
        <w:rPr>
          <w:rStyle w:val="eop"/>
        </w:rPr>
        <w:t xml:space="preserve">If specified in Exhibit A </w:t>
      </w:r>
      <w:r>
        <w:rPr>
          <w:rStyle w:val="eop"/>
          <w:i/>
          <w:iCs/>
        </w:rPr>
        <w:t>(Facility Description and Additional Details)</w:t>
      </w:r>
      <w:r>
        <w:rPr>
          <w:rStyle w:val="eop"/>
        </w:rPr>
        <w:t>, the Facility is paired with the Renewable Resource described in Exhibit A (</w:t>
      </w:r>
      <w:r>
        <w:rPr>
          <w:rStyle w:val="eop"/>
          <w:i/>
        </w:rPr>
        <w:t>Facility Description and Additional Details</w:t>
      </w:r>
      <w:r>
        <w:rPr>
          <w:rStyle w:val="eop"/>
        </w:rPr>
        <w:t>);</w:t>
      </w:r>
    </w:p>
    <w:p w:rsidRPr="000D001A" w:rsidR="00164264" w:rsidP="00236AED" w:rsidRDefault="008B55A2" w14:paraId="69EC3C4A" w14:textId="4A1FF178">
      <w:pPr>
        <w:pStyle w:val="zGNormal6"/>
        <w:numPr>
          <w:ilvl w:val="0"/>
          <w:numId w:val="7"/>
        </w:numPr>
      </w:pPr>
      <w:r>
        <w:rPr>
          <w:rStyle w:val="eop"/>
        </w:rPr>
        <w:t xml:space="preserve">If specified in Exhibit A </w:t>
      </w:r>
      <w:r>
        <w:rPr>
          <w:rStyle w:val="eop"/>
          <w:i/>
          <w:iCs/>
        </w:rPr>
        <w:t>(Facility Description and Additional Details)</w:t>
      </w:r>
      <w:r>
        <w:rPr>
          <w:rStyle w:val="eop"/>
        </w:rPr>
        <w:t xml:space="preserve">, GPC and Renewable Resource Seller </w:t>
      </w:r>
      <w:r w:rsidR="00A54B61">
        <w:rPr>
          <w:rStyle w:val="eop"/>
        </w:rPr>
        <w:t xml:space="preserve">executed </w:t>
      </w:r>
      <w:r>
        <w:rPr>
          <w:rStyle w:val="eop"/>
        </w:rPr>
        <w:t>the Renewable Resource PPA</w:t>
      </w:r>
      <w:r w:rsidR="00A54B61">
        <w:rPr>
          <w:rStyle w:val="eop"/>
        </w:rPr>
        <w:t xml:space="preserve"> Amendment</w:t>
      </w:r>
      <w:r>
        <w:rPr>
          <w:rStyle w:val="eop"/>
        </w:rPr>
        <w:t>; and</w:t>
      </w:r>
    </w:p>
    <w:p w:rsidRPr="000D001A" w:rsidR="002D54C4" w:rsidP="00236AED" w:rsidRDefault="008B55A2" w14:paraId="26D1DDFE" w14:textId="77777777">
      <w:pPr>
        <w:pStyle w:val="zGNormal6"/>
        <w:numPr>
          <w:ilvl w:val="0"/>
          <w:numId w:val="7"/>
        </w:numPr>
      </w:pPr>
      <w:r>
        <w:rPr>
          <w:rStyle w:val="normaltextrun"/>
        </w:rPr>
        <w:t xml:space="preserve">The Parties desire to set forth the terms and conditions upon which the sale and purchase of capacity, energy storage services, and Ancillary Services may be conducted between the Parties. </w:t>
      </w:r>
    </w:p>
    <w:p w:rsidRPr="000D001A" w:rsidR="0044739A" w:rsidP="002D54C4" w:rsidRDefault="008B55A2" w14:paraId="5C3E1D75" w14:textId="0621F74C">
      <w:pPr>
        <w:pStyle w:val="zGNormal6"/>
      </w:pPr>
      <w:r>
        <w:rPr>
          <w:rStyle w:val="normaltextrun"/>
        </w:rPr>
        <w:t>In consideration of the mutual promises described in this PPA, and other good and valuable consideration, the receipt, adequacy, and sufficiency of which each Party acknowledges, and intending to be legally bound, the Parties agree:</w:t>
      </w:r>
    </w:p>
    <w:p w:rsidRPr="000D001A" w:rsidR="00EA06C2" w:rsidP="004B0BBF" w:rsidRDefault="008B55A2" w14:paraId="55FCF695" w14:textId="77777777">
      <w:pPr>
        <w:pStyle w:val="zGTC01"/>
        <w:tabs>
          <w:tab w:val="clear" w:pos="3762"/>
        </w:tabs>
        <w:ind w:left="1080"/>
      </w:pPr>
      <w:bookmarkStart w:name="_Toc160011511" w:id="207"/>
      <w:bookmarkStart w:name="_Toc160749095" w:id="208"/>
      <w:bookmarkStart w:name="_Toc194937457" w:id="209"/>
      <w:bookmarkStart w:name="_Toc174624845" w:id="210"/>
      <w:bookmarkStart w:name="_Toc227451506" w:id="211"/>
      <w:r>
        <w:t>Term of Agreement</w:t>
      </w:r>
      <w:bookmarkEnd w:id="207"/>
      <w:bookmarkEnd w:id="208"/>
      <w:bookmarkEnd w:id="209"/>
      <w:bookmarkEnd w:id="210"/>
      <w:bookmarkEnd w:id="211"/>
    </w:p>
    <w:p w:rsidRPr="000D001A" w:rsidR="002D54C4" w:rsidP="002D54C4" w:rsidRDefault="008B55A2" w14:paraId="648C8D3D" w14:textId="77777777">
      <w:pPr>
        <w:pStyle w:val="zGTC02"/>
        <w:rPr>
          <w:vanish/>
          <w:specVanish/>
        </w:rPr>
      </w:pPr>
      <w:bookmarkStart w:name="_Toc160749096" w:id="212"/>
      <w:bookmarkStart w:name="_Toc194937458" w:id="213"/>
      <w:bookmarkStart w:name="_Toc174624846" w:id="214"/>
      <w:bookmarkStart w:name="_Toc227451507" w:id="215"/>
      <w:r>
        <w:t>Term.</w:t>
      </w:r>
      <w:bookmarkStart w:name="_Toc158593177" w:id="216"/>
      <w:bookmarkStart w:name="_Toc158597456" w:id="217"/>
      <w:bookmarkStart w:name="_Toc158720080" w:id="218"/>
      <w:bookmarkStart w:name="_Toc158722834" w:id="219"/>
      <w:bookmarkStart w:name="_Toc158929365" w:id="220"/>
      <w:bookmarkEnd w:id="212"/>
      <w:bookmarkEnd w:id="213"/>
      <w:bookmarkEnd w:id="214"/>
      <w:bookmarkEnd w:id="215"/>
      <w:bookmarkEnd w:id="216"/>
      <w:bookmarkEnd w:id="217"/>
      <w:bookmarkEnd w:id="218"/>
      <w:bookmarkEnd w:id="219"/>
      <w:bookmarkEnd w:id="220"/>
    </w:p>
    <w:p w:rsidRPr="000D001A" w:rsidR="002D54C4" w:rsidP="002D54C4" w:rsidRDefault="008B55A2" w14:paraId="7F135890" w14:textId="192453D4">
      <w:pPr>
        <w:pStyle w:val="zGNormal"/>
      </w:pPr>
      <w:r>
        <w:t xml:space="preserve"> Subject to applicable law and any earlier termination</w:t>
      </w:r>
      <w:r w:rsidR="00131D2D">
        <w:t xml:space="preserve"> as permitted in this PPA</w:t>
      </w:r>
      <w:r>
        <w:t xml:space="preserve">, this PPA becomes effective on the Effective Date and continues for the </w:t>
      </w:r>
      <w:r>
        <w:rPr>
          <w:bCs/>
        </w:rPr>
        <w:t>Term</w:t>
      </w:r>
      <w:r>
        <w:t>.</w:t>
      </w:r>
    </w:p>
    <w:p w:rsidRPr="000D001A" w:rsidR="002D54C4" w:rsidP="002D54C4" w:rsidRDefault="008B55A2" w14:paraId="243992BC" w14:textId="77777777">
      <w:pPr>
        <w:pStyle w:val="zGTC02"/>
        <w:rPr>
          <w:vanish/>
          <w:specVanish/>
        </w:rPr>
      </w:pPr>
      <w:bookmarkStart w:name="_Toc160749097" w:id="221"/>
      <w:bookmarkStart w:name="_Toc194937459" w:id="222"/>
      <w:bookmarkStart w:name="_Toc174624847" w:id="223"/>
      <w:bookmarkStart w:name="_Toc227451508" w:id="224"/>
      <w:r>
        <w:t>Survival.</w:t>
      </w:r>
      <w:bookmarkStart w:name="_Toc158593178" w:id="225"/>
      <w:bookmarkStart w:name="_Toc158597457" w:id="226"/>
      <w:bookmarkStart w:name="_Toc158720081" w:id="227"/>
      <w:bookmarkStart w:name="_Toc158722835" w:id="228"/>
      <w:bookmarkStart w:name="_Toc158929366" w:id="229"/>
      <w:bookmarkEnd w:id="221"/>
      <w:bookmarkEnd w:id="222"/>
      <w:bookmarkEnd w:id="223"/>
      <w:bookmarkEnd w:id="224"/>
      <w:bookmarkEnd w:id="225"/>
      <w:bookmarkEnd w:id="226"/>
      <w:bookmarkEnd w:id="227"/>
      <w:bookmarkEnd w:id="228"/>
      <w:bookmarkEnd w:id="229"/>
    </w:p>
    <w:p w:rsidRPr="000D001A" w:rsidR="002D54C4" w:rsidP="002D54C4" w:rsidRDefault="008B55A2" w14:paraId="4FBF0B0A" w14:textId="77777777">
      <w:pPr>
        <w:pStyle w:val="zGNormal"/>
      </w:pPr>
      <w:r>
        <w:t xml:space="preserve"> PPA provisions that </w:t>
      </w:r>
      <w:r>
        <w:rPr>
          <w:rFonts w:eastAsia="Times New Roman"/>
        </w:rPr>
        <w:t xml:space="preserve">by their nature or context should apply beyond PPA expiration, suspension, cancelation, completion, or termination, </w:t>
      </w:r>
      <w:r>
        <w:t>or after transfer, assignment, novation, merger, or other entity change,</w:t>
      </w:r>
      <w:r>
        <w:rPr>
          <w:rFonts w:eastAsia="Times New Roman"/>
        </w:rPr>
        <w:t xml:space="preserve"> will survive per applicable law or PPA terms, including all provisions of this PPA that must survive to give effect to the rights and obligations of the Parties. Expiration</w:t>
      </w:r>
      <w:r>
        <w:t xml:space="preserve"> or termination of this PPA will</w:t>
      </w:r>
      <w:r>
        <w:rPr>
          <w:rFonts w:eastAsia="Times New Roman"/>
        </w:rPr>
        <w:t xml:space="preserve"> not relieve either Party of its liabilities or obligations that accrue before or at termination, and those liabilities and obligations will survive PPA termination</w:t>
      </w:r>
      <w:r>
        <w:t>.</w:t>
      </w:r>
    </w:p>
    <w:p w:rsidRPr="000D001A" w:rsidR="002D54C4" w:rsidP="002D54C4" w:rsidRDefault="008B55A2" w14:paraId="6F17692E" w14:textId="77777777">
      <w:pPr>
        <w:pStyle w:val="zGTC02"/>
        <w:rPr>
          <w:vanish/>
          <w:specVanish/>
        </w:rPr>
      </w:pPr>
      <w:bookmarkStart w:name="_Toc160749098" w:id="230"/>
      <w:bookmarkStart w:name="_Toc194937460" w:id="231"/>
      <w:bookmarkStart w:name="_Toc174624848" w:id="232"/>
      <w:bookmarkStart w:name="_Toc227451509" w:id="233"/>
      <w:r>
        <w:t>Conditions Subsequent.</w:t>
      </w:r>
      <w:bookmarkStart w:name="_Toc158593179" w:id="234"/>
      <w:bookmarkStart w:name="_Toc158597458" w:id="235"/>
      <w:bookmarkStart w:name="_Toc158720082" w:id="236"/>
      <w:bookmarkStart w:name="_Toc158722836" w:id="237"/>
      <w:bookmarkStart w:name="_Toc158929367" w:id="238"/>
      <w:bookmarkEnd w:id="230"/>
      <w:bookmarkEnd w:id="231"/>
      <w:bookmarkEnd w:id="232"/>
      <w:bookmarkEnd w:id="233"/>
      <w:bookmarkEnd w:id="234"/>
      <w:bookmarkEnd w:id="235"/>
      <w:bookmarkEnd w:id="236"/>
      <w:bookmarkEnd w:id="237"/>
      <w:bookmarkEnd w:id="238"/>
    </w:p>
    <w:p w:rsidRPr="000D001A" w:rsidR="002D54C4" w:rsidP="002D54C4" w:rsidRDefault="008B55A2" w14:paraId="702AEEC9" w14:textId="41193B4D">
      <w:pPr>
        <w:pStyle w:val="zGNormal"/>
        <w:rPr>
          <w:b/>
          <w:caps/>
        </w:rPr>
      </w:pPr>
      <w:r>
        <w:t xml:space="preserve"> </w:t>
      </w:r>
      <w:r w:rsidR="00C628BD">
        <w:t>T</w:t>
      </w:r>
      <w:r>
        <w:t xml:space="preserve">his PPA </w:t>
      </w:r>
      <w:r w:rsidR="00C628BD">
        <w:t>is</w:t>
      </w:r>
      <w:r>
        <w:t xml:space="preserve"> subject to </w:t>
      </w:r>
      <w:r w:rsidR="00600E7E">
        <w:t>termination for failure</w:t>
      </w:r>
      <w:r>
        <w:t xml:space="preserve"> of </w:t>
      </w:r>
      <w:r w:rsidR="00600E7E">
        <w:t>any</w:t>
      </w:r>
      <w:r>
        <w:t xml:space="preserve"> of the following conditions:</w:t>
      </w:r>
    </w:p>
    <w:p w:rsidRPr="000D001A" w:rsidR="002D54C4" w:rsidP="00C22140" w:rsidRDefault="008B55A2" w14:paraId="3A179692" w14:textId="77777777">
      <w:pPr>
        <w:pStyle w:val="zGTC03"/>
        <w:rPr>
          <w:vanish/>
          <w:specVanish/>
        </w:rPr>
      </w:pPr>
      <w:r>
        <w:lastRenderedPageBreak/>
        <w:t>FERC Delay or Rejection.</w:t>
      </w:r>
    </w:p>
    <w:p w:rsidRPr="005618E3" w:rsidR="002D54C4" w:rsidP="002D54C4" w:rsidRDefault="008B55A2" w14:paraId="35F83B20" w14:textId="21B0ABA2">
      <w:pPr>
        <w:pStyle w:val="zGNormal6"/>
      </w:pPr>
      <w:r>
        <w:rPr>
          <w:b/>
        </w:rPr>
        <w:t xml:space="preserve"> </w:t>
      </w:r>
      <w:r>
        <w:t xml:space="preserve">If FERC acceptance of this PPA is required by applicable law, and if: (a) FERC issues a valid order rejecting this PPA; or (b) FERC fails to take action or takes action that, in either case, has the effect of delaying the date when FERC will issue an order accepting this PPA to a date beyond 285 Days after the Commission Certificate, then in the case of (a) or (b) the Parties will meet no later than 10 Business Days </w:t>
      </w:r>
      <w:r w:rsidR="0052355A">
        <w:t xml:space="preserve">after </w:t>
      </w:r>
      <w:r>
        <w:t xml:space="preserve">the date of the order or the date that is 285 Days after the Commission Certificate, as applicable, to negotiate amendments to this PPA, an extension of time for FERC to accept this PPA beyond 285 Days from the granting of a Commission Certificate, or other appropriate measure, so that this PPA, as amended or taking into account the appropriate measure, is legal and fully enforceable without materially increasing the risks for either Party or adversely affecting the value of the economic bargain to either Party contemplated by this PPA in its original form. </w:t>
      </w:r>
    </w:p>
    <w:p w:rsidRPr="005618E3" w:rsidR="00BD3DB8" w:rsidP="00CB1C3E" w:rsidRDefault="008B55A2" w14:paraId="0F011D89" w14:textId="217FD47C">
      <w:pPr>
        <w:pStyle w:val="zGTC04"/>
      </w:pPr>
      <w:r>
        <w:t xml:space="preserve">If the Parties are unable to negotiate any acceptable amendment, or other appropriate measure, then either Party may terminate this PPA upon notice to the other Party, so long as such notice is delivered to the non-terminating Party no later than 30 Days after 285 Days from the granting of a Commission Certificate. In no event will this termination right be available to the Parties, and a Party will be deemed to have waived its termination right, absent receipt of notice by the non-terminating Party before the expiration of the 30-Day period. </w:t>
      </w:r>
      <w:r w:rsidR="00B6064A">
        <w:rPr>
          <w:rFonts w:cs="Arial"/>
        </w:rPr>
        <w:t>Upon termination in accordance with this Section 1.3.1, neither Party will have any liability to the other Party under this PPA, and GPC will return to Seller the Eligible Collateral then held by GPC.</w:t>
      </w:r>
    </w:p>
    <w:p w:rsidRPr="005618E3" w:rsidR="00CB1C3E" w:rsidP="00C22140" w:rsidRDefault="008B55A2" w14:paraId="38D6BB41" w14:textId="77777777">
      <w:pPr>
        <w:pStyle w:val="zGTC03"/>
        <w:rPr>
          <w:vanish/>
          <w:specVanish/>
        </w:rPr>
      </w:pPr>
      <w:r>
        <w:t>FERC Acceptance with Modification.</w:t>
      </w:r>
    </w:p>
    <w:p w:rsidRPr="005618E3" w:rsidR="002D54C4" w:rsidP="00CB1C3E" w:rsidRDefault="008B55A2" w14:paraId="20DA8614" w14:textId="77E66A9C">
      <w:pPr>
        <w:pStyle w:val="zGNormal6"/>
      </w:pPr>
      <w:r>
        <w:t xml:space="preserve"> Despite the preceding provisions, if, before 285 Days after the granting of a Commission Certificate, FERC issues a valid order accepting this PPA subject to material modification or condition(s), including acceptance subject to refund following an administrative proceeding, then the adversely affected Party or Parties (as applicable) will have the right to terminate this PPA if the material modification or condition(s) are not acceptable. By no later than 15 Days after the issuance date of a FERC order, Seller must provide GPC with a copy of the FERC order along with notice of whether the FERC order is subject to material modification or condition(s) that adversely affect Seller and, if so, whether the material modification or condition(s) are acceptable to Seller. If Seller fails to provide the notice before the</w:t>
      </w:r>
      <w:r>
        <w:rPr>
          <w:vertAlign w:val="superscript"/>
        </w:rPr>
        <w:t xml:space="preserve"> </w:t>
      </w:r>
      <w:r>
        <w:t>15</w:t>
      </w:r>
      <w:r w:rsidRPr="004B0BBF">
        <w:rPr>
          <w:vertAlign w:val="superscript"/>
        </w:rPr>
        <w:t xml:space="preserve">th </w:t>
      </w:r>
      <w:r>
        <w:t xml:space="preserve">Day, then Seller will be deemed to have accepted any FERC order accepting this PPA subject to material modification or condition(s). </w:t>
      </w:r>
    </w:p>
    <w:p w:rsidRPr="005618E3" w:rsidR="002D54C4" w:rsidP="00236AED" w:rsidRDefault="008B55A2" w14:paraId="7A568275" w14:textId="5D94D6F6">
      <w:pPr>
        <w:pStyle w:val="zGTC04"/>
        <w:numPr>
          <w:ilvl w:val="3"/>
          <w:numId w:val="15"/>
        </w:numPr>
        <w:tabs>
          <w:tab w:val="num" w:pos="360"/>
        </w:tabs>
      </w:pPr>
      <w:r>
        <w:t>By no later than 15 Days after the receipt date of a copy of the FERC order from Seller, GPC will provide Seller with notice of whether the FERC order is subject to material modification or condition(s) that adversely affect GPC and, if so, whether such material modification or condition(s) are acceptable to GPC. If GPC does not provide the notice before the 15</w:t>
      </w:r>
      <w:r w:rsidRPr="004B0BBF">
        <w:rPr>
          <w:vertAlign w:val="superscript"/>
        </w:rPr>
        <w:t>th</w:t>
      </w:r>
      <w:r>
        <w:t xml:space="preserve"> Day, then GPC will be deemed to have accepted the FERC order accepting this PPA subject to material modification or condition(s). </w:t>
      </w:r>
    </w:p>
    <w:p w:rsidRPr="000D001A" w:rsidR="002D54C4" w:rsidP="00236AED" w:rsidRDefault="008B55A2" w14:paraId="63D7B07F" w14:textId="6D8ED9BC">
      <w:pPr>
        <w:pStyle w:val="zGTC04"/>
        <w:numPr>
          <w:ilvl w:val="3"/>
          <w:numId w:val="15"/>
        </w:numPr>
        <w:tabs>
          <w:tab w:val="num" w:pos="360"/>
        </w:tabs>
      </w:pPr>
      <w:r>
        <w:t>If either Party provides notice that such material modification or condition(s) are not acceptable, then the Parties will meet no later than 10 Business Days following the date of the notice to negotiate an amendment to this PPA, or other appropriate measure, so that this PPA</w:t>
      </w:r>
      <w:bookmarkStart w:name="_Hlk166663177" w:id="239"/>
      <w:r>
        <w:t xml:space="preserve">, as amended or taking into account any other appropriate measure, </w:t>
      </w:r>
      <w:bookmarkEnd w:id="239"/>
      <w:r>
        <w:t>is legal and fully enforceable without materially increasing the risks for either Party or adversely affecting the value of the economic bargain to either Party contemplated by this PPA in its original form. If the Parties are unable to negotiate any acceptable amendment, or other appropriate measure, then the Party who delivers the notice will have the right to terminate this PPA upon notice to the other Party so long as the notice is delivered no later than 30 Days after the 285 Days from the granting of a Commission Certificate. Upon termination in accordance with this Section 1.3.2, neither Party will have any liability to the other Party under this PPA, and GPC will return to Seller the Eligible Collateral then held by GPC.</w:t>
      </w:r>
    </w:p>
    <w:p w:rsidRPr="000D001A" w:rsidR="002D54C4" w:rsidP="00C22140" w:rsidRDefault="008B55A2" w14:paraId="649AEADA" w14:textId="04A3B15D">
      <w:pPr>
        <w:pStyle w:val="zGTC03"/>
      </w:pPr>
      <w:r>
        <w:t xml:space="preserve">Commission Certificate Target Date Conditions. </w:t>
      </w:r>
    </w:p>
    <w:p w:rsidRPr="000D001A" w:rsidR="002D54C4" w:rsidP="00236AED" w:rsidRDefault="008B55A2" w14:paraId="26308A8F" w14:textId="738AF041">
      <w:pPr>
        <w:pStyle w:val="zGTC04"/>
        <w:numPr>
          <w:ilvl w:val="3"/>
          <w:numId w:val="16"/>
        </w:numPr>
      </w:pPr>
      <w:r>
        <w:rPr>
          <w:b/>
          <w:bCs/>
        </w:rPr>
        <w:t xml:space="preserve">Initial Termination Rights for Commission Certificate Target Conditions. </w:t>
      </w:r>
      <w:r>
        <w:t xml:space="preserve">If: (a) after the Commission Certificate Target Date the Commission has not approved this PPA </w:t>
      </w:r>
      <w:r w:rsidR="007054EE">
        <w:t>or</w:t>
      </w:r>
      <w:r w:rsidR="00E61E73">
        <w:t xml:space="preserve">, if applicable, </w:t>
      </w:r>
      <w:r w:rsidR="007054EE">
        <w:t xml:space="preserve">the Renewable Resource PPA </w:t>
      </w:r>
      <w:r w:rsidR="00F47AC2">
        <w:t>A</w:t>
      </w:r>
      <w:r w:rsidR="007054EE">
        <w:t>mendment</w:t>
      </w:r>
      <w:r w:rsidR="00E61E73">
        <w:t xml:space="preserve"> </w:t>
      </w:r>
      <w:r>
        <w:t xml:space="preserve">through a Commission </w:t>
      </w:r>
      <w:r>
        <w:lastRenderedPageBreak/>
        <w:t>Certificate, or (b) the Commission has issued a Commission Certificate that is subject to material qualification or condition(s) that adversely affect GPC</w:t>
      </w:r>
      <w:r w:rsidR="0017286F">
        <w:t xml:space="preserve"> or Seller</w:t>
      </w:r>
      <w:r>
        <w:t>, then</w:t>
      </w:r>
      <w:r w:rsidR="0017286F">
        <w:t xml:space="preserve"> (x) in the case of clause (a), either Party</w:t>
      </w:r>
      <w:r>
        <w:t xml:space="preserve"> may terminate this PPA upon notice to </w:t>
      </w:r>
      <w:r w:rsidR="004349C3">
        <w:t>the other Party</w:t>
      </w:r>
      <w:r>
        <w:t xml:space="preserve">, so long as the notice is delivered to </w:t>
      </w:r>
      <w:r w:rsidR="004349C3">
        <w:t>the other Party</w:t>
      </w:r>
      <w:r>
        <w:t xml:space="preserve"> by no later than 30 Days after the Commission Certificate Target Date, or (</w:t>
      </w:r>
      <w:r w:rsidR="003425FB">
        <w:t>y</w:t>
      </w:r>
      <w:r>
        <w:t>)</w:t>
      </w:r>
      <w:r w:rsidR="003425FB">
        <w:t xml:space="preserve"> in the case of clause (b), the Party or Parties (as applicable) that is or are adversely affected by </w:t>
      </w:r>
      <w:r w:rsidR="007578A6">
        <w:t>the</w:t>
      </w:r>
      <w:r w:rsidR="003425FB">
        <w:t xml:space="preserve"> </w:t>
      </w:r>
      <w:r w:rsidR="004D6907">
        <w:t xml:space="preserve">Commission Certificate may terminate this PPA upon notice to the other Party, so long as </w:t>
      </w:r>
      <w:r w:rsidR="00D3018A">
        <w:t xml:space="preserve">the notice is delivered by no later than 30 Days after the date the Commission issued the Commission Certificate that is subject to material qualification or condition </w:t>
      </w:r>
      <w:r w:rsidR="003609C6">
        <w:t>that adversely affect</w:t>
      </w:r>
      <w:r w:rsidR="00431272">
        <w:t>s</w:t>
      </w:r>
      <w:r w:rsidR="003609C6">
        <w:t xml:space="preserve"> such Party or Parties (as applicable).</w:t>
      </w:r>
      <w:r>
        <w:t xml:space="preserve"> If Commission certification is delayed for reasons not attributable to Seller and GPC does not elect to terminate this PPA, Seller will be entitled to an RCOD extension.</w:t>
      </w:r>
    </w:p>
    <w:p w:rsidRPr="000D001A" w:rsidR="002D54C4" w:rsidP="00236AED" w:rsidRDefault="008B55A2" w14:paraId="2F404FDD" w14:textId="240CAB05">
      <w:pPr>
        <w:pStyle w:val="zGTC04"/>
        <w:numPr>
          <w:ilvl w:val="3"/>
          <w:numId w:val="15"/>
        </w:numPr>
        <w:tabs>
          <w:tab w:val="num" w:pos="360"/>
        </w:tabs>
      </w:pPr>
      <w:r>
        <w:rPr>
          <w:b/>
          <w:bCs/>
        </w:rPr>
        <w:t xml:space="preserve">Motion to Reconsider or Appeal; Extended PPA Termination Rights for Commission Certificate Target Conditions. </w:t>
      </w:r>
      <w:r>
        <w:t>If, within 30 Days after the issuance of the Commission Certificate</w:t>
      </w:r>
      <w:r w:rsidR="005B2EA6">
        <w:t xml:space="preserve"> or an order denying a Commission Certificate</w:t>
      </w:r>
      <w:r>
        <w:t xml:space="preserve">, </w:t>
      </w:r>
      <w:r w:rsidR="00C903C6">
        <w:t>any Person</w:t>
      </w:r>
      <w:r>
        <w:t xml:space="preserve"> files a motion to reconsider with the Commission or an appeal with Fulton County Superior Court regarding the issuance or denial of the Commission Certificate, </w:t>
      </w:r>
      <w:r w:rsidR="00F86048">
        <w:t>then either Party</w:t>
      </w:r>
      <w:r>
        <w:t xml:space="preserve"> may terminate this PPA upon notice to </w:t>
      </w:r>
      <w:r w:rsidR="00FA7363">
        <w:t>the other Party</w:t>
      </w:r>
      <w:r>
        <w:t xml:space="preserve">, so long as the notice is delivered to </w:t>
      </w:r>
      <w:r w:rsidR="00FA7363">
        <w:t>the other Party</w:t>
      </w:r>
      <w:r>
        <w:t xml:space="preserve"> no later than 80 Days after the Commission Certificate Target Date</w:t>
      </w:r>
      <w:r w:rsidR="00FA7363">
        <w:t>;</w:t>
      </w:r>
      <w:r w:rsidR="003F30EA">
        <w:t xml:space="preserve"> however, Seller will not have a termination right under this Section 1.3.3(ii) (</w:t>
      </w:r>
      <w:r w:rsidRPr="00A61C3A" w:rsidR="003F30EA">
        <w:rPr>
          <w:i/>
          <w:iCs/>
        </w:rPr>
        <w:t>Motion to Reconsider or Appeal; Extended PPA Termination Rights for Commission Certificate Target Conditions</w:t>
      </w:r>
      <w:r w:rsidR="003F30EA">
        <w:t>) so long as the Commission Certificate remains in effect with respect to this PPA or this PPA otherwise remains certified</w:t>
      </w:r>
      <w:r>
        <w:t xml:space="preserve">. </w:t>
      </w:r>
    </w:p>
    <w:p w:rsidRPr="000D001A" w:rsidR="002D54C4" w:rsidP="00236AED" w:rsidRDefault="008B55A2" w14:paraId="5144A8CD" w14:textId="0B8A30FD">
      <w:pPr>
        <w:pStyle w:val="zGTC04"/>
        <w:numPr>
          <w:ilvl w:val="3"/>
          <w:numId w:val="15"/>
        </w:numPr>
        <w:tabs>
          <w:tab w:val="num" w:pos="360"/>
        </w:tabs>
      </w:pPr>
      <w:r>
        <w:rPr>
          <w:b/>
          <w:bCs/>
        </w:rPr>
        <w:t xml:space="preserve">Waiver of PPA Termination Right. </w:t>
      </w:r>
      <w:r>
        <w:t xml:space="preserve">If, within the applicable notice period, </w:t>
      </w:r>
      <w:r w:rsidR="00C555AB">
        <w:t>a Party</w:t>
      </w:r>
      <w:r>
        <w:t xml:space="preserve"> does not exercise </w:t>
      </w:r>
      <w:r w:rsidR="00C555AB">
        <w:t>its</w:t>
      </w:r>
      <w:r>
        <w:t xml:space="preserve"> termination right in accordance with this Section 1.3.3, then </w:t>
      </w:r>
      <w:r w:rsidR="00C555AB">
        <w:t>the Party</w:t>
      </w:r>
      <w:r>
        <w:t xml:space="preserve"> will be deemed to have waived the termination right.</w:t>
      </w:r>
    </w:p>
    <w:p w:rsidRPr="000D001A" w:rsidR="002D54C4" w:rsidP="00236AED" w:rsidRDefault="008B55A2" w14:paraId="520CA04E" w14:textId="63C80BA1">
      <w:pPr>
        <w:pStyle w:val="zGTC04"/>
        <w:numPr>
          <w:ilvl w:val="3"/>
          <w:numId w:val="15"/>
        </w:numPr>
        <w:tabs>
          <w:tab w:val="num" w:pos="360"/>
        </w:tabs>
      </w:pPr>
      <w:r>
        <w:rPr>
          <w:b/>
          <w:bCs/>
        </w:rPr>
        <w:t xml:space="preserve">Obligations following PPA Termination. </w:t>
      </w:r>
      <w:r>
        <w:t xml:space="preserve">Upon PPA termination in accordance with this Section 1.3.3: (a) neither Party will have any further liability to the other Party under this PPA; and (b) GPC will promptly return to Seller any unused portion of Performance Security, if applicable. </w:t>
      </w:r>
    </w:p>
    <w:p w:rsidRPr="000D001A" w:rsidR="002D54C4" w:rsidP="00C22140" w:rsidRDefault="008B55A2" w14:paraId="496EB663" w14:textId="77777777">
      <w:pPr>
        <w:pStyle w:val="zGTC03"/>
        <w:rPr>
          <w:vanish/>
          <w:specVanish/>
        </w:rPr>
      </w:pPr>
      <w:r>
        <w:t>Revocation, Qualifications, or Conditions.</w:t>
      </w:r>
    </w:p>
    <w:p w:rsidRPr="000D001A" w:rsidR="002D54C4" w:rsidP="002D54C4" w:rsidRDefault="008B55A2" w14:paraId="3757DCF1" w14:textId="1509A999">
      <w:pPr>
        <w:pStyle w:val="zGNormal"/>
      </w:pPr>
      <w:r>
        <w:t xml:space="preserve"> Despite Section 1.3.3 (</w:t>
      </w:r>
      <w:r>
        <w:rPr>
          <w:i/>
        </w:rPr>
        <w:t>Commission Certificate Target Date Conditions</w:t>
      </w:r>
      <w:r>
        <w:t>), if, at any time during the Term the Commission issues an amendment to the Commission Certificate regarding this PPA (“</w:t>
      </w:r>
      <w:r>
        <w:rPr>
          <w:b/>
        </w:rPr>
        <w:t>Amended Commission Certificate</w:t>
      </w:r>
      <w:r>
        <w:t xml:space="preserve">”) that </w:t>
      </w:r>
      <w:r w:rsidR="00711D00">
        <w:t>revokes the Commission Certificate or</w:t>
      </w:r>
      <w:r>
        <w:t xml:space="preserve"> imposes a material qualification or condition that adversely affects </w:t>
      </w:r>
      <w:r w:rsidR="00CE57F8">
        <w:t>either Party</w:t>
      </w:r>
      <w:r>
        <w:t xml:space="preserve"> and that is not acceptable to </w:t>
      </w:r>
      <w:r w:rsidR="005953F9">
        <w:t>the affected</w:t>
      </w:r>
      <w:r w:rsidR="00CE57F8">
        <w:t xml:space="preserve"> Party</w:t>
      </w:r>
      <w:r>
        <w:t xml:space="preserve">, </w:t>
      </w:r>
      <w:r w:rsidR="00476AB1">
        <w:t>the affected</w:t>
      </w:r>
      <w:r w:rsidR="00D42317">
        <w:t xml:space="preserve"> Party</w:t>
      </w:r>
      <w:r>
        <w:t xml:space="preserve"> will have the right to terminate this PPA, unless GPC and Seller agree to amend this PPA in accordance with Section 1.3.6 (</w:t>
      </w:r>
      <w:r>
        <w:rPr>
          <w:i/>
        </w:rPr>
        <w:t>PPA Amendment</w:t>
      </w:r>
      <w:r>
        <w:t xml:space="preserve">). Within 15 Days after the issuance of the Amended Commission Certificate, </w:t>
      </w:r>
      <w:r w:rsidR="003C43EE">
        <w:t>each</w:t>
      </w:r>
      <w:r w:rsidR="008D1260">
        <w:t xml:space="preserve"> Party must</w:t>
      </w:r>
      <w:r>
        <w:t xml:space="preserve"> provide </w:t>
      </w:r>
      <w:r w:rsidR="008D1260">
        <w:t xml:space="preserve">the other Party </w:t>
      </w:r>
      <w:r>
        <w:t xml:space="preserve">with notice of whether the Amended Commission Certificate is subject to material qualification or condition and, if so, whether the material qualification or condition is acceptable. If </w:t>
      </w:r>
      <w:r w:rsidR="00B33571">
        <w:t>a Party</w:t>
      </w:r>
      <w:r w:rsidR="008D1260">
        <w:t xml:space="preserve"> </w:t>
      </w:r>
      <w:r>
        <w:t xml:space="preserve">does not provide notice within the 15-Day period, the Amended Commission Certificate will be deemed to be acceptable to </w:t>
      </w:r>
      <w:r w:rsidR="00B33571">
        <w:t>that</w:t>
      </w:r>
      <w:r w:rsidR="008D1260">
        <w:t xml:space="preserve"> Party</w:t>
      </w:r>
      <w:r>
        <w:t xml:space="preserve">. Upon a termination in accordance with this Section 1.3.4: (i) neither Party will have any further liability to the other Party under this PPA; and (ii) GPC will promptly return to Seller any unused portion of Performance Security, if applicable. </w:t>
      </w:r>
    </w:p>
    <w:p w:rsidRPr="000D001A" w:rsidR="002D54C4" w:rsidP="00C22140" w:rsidRDefault="008B55A2" w14:paraId="40C3CF62" w14:textId="77777777">
      <w:pPr>
        <w:pStyle w:val="zGTC03"/>
        <w:rPr>
          <w:vanish/>
          <w:specVanish/>
        </w:rPr>
      </w:pPr>
      <w:r>
        <w:t>Change in Economic Circumstances or Market Conditions.</w:t>
      </w:r>
    </w:p>
    <w:p w:rsidRPr="000D001A" w:rsidR="002D54C4" w:rsidP="002D54C4" w:rsidRDefault="008B55A2" w14:paraId="32F7C788" w14:textId="77777777">
      <w:pPr>
        <w:pStyle w:val="zGNormal"/>
      </w:pPr>
      <w:r>
        <w:t xml:space="preserve"> Despite any other provision in this PPA, and so long as it is not required by Commission Rule 515-3-4.08, neither Party will seek to have the Commission revoke the Commission Certificate of its own initiative for reasons solely related to changed economic circumstances or market conditions affecting this PPA.</w:t>
      </w:r>
    </w:p>
    <w:p w:rsidRPr="000D001A" w:rsidR="002D54C4" w:rsidP="00C22140" w:rsidRDefault="008B55A2" w14:paraId="66AE7995" w14:textId="77777777">
      <w:pPr>
        <w:pStyle w:val="zGTC03"/>
        <w:rPr>
          <w:vanish/>
          <w:specVanish/>
        </w:rPr>
      </w:pPr>
      <w:r>
        <w:t>PPA Amendment.</w:t>
      </w:r>
    </w:p>
    <w:p w:rsidR="002D54C4" w:rsidP="002D54C4" w:rsidRDefault="008B55A2" w14:paraId="4E7B266A" w14:textId="6EA08F28">
      <w:pPr>
        <w:pStyle w:val="zGNormal"/>
      </w:pPr>
      <w:r>
        <w:t xml:space="preserve"> If the Commission issues an Order approving this PPA with any modification or condition, or issues an Amended Commission Certificate, as applicable, this PPA will not be amended to include the modification or condition unless the Parties execute a written amendment agreeing to the modification or condition. If GPC requests, within 30 Days after issuance of the Order, that Seller execute a written amendment agreeing to the modification or condition, and </w:t>
      </w:r>
      <w:r>
        <w:lastRenderedPageBreak/>
        <w:t>Seller does not execute the written amendment by no later than 30 Days after the date of GPC’s request, GPC may terminate this PPA. Upon termination of this PPA in accordance with this Section 1.3.6: (i) GPC will promptly return to Seller any unused portion of the Performance Security, if applicable; and (ii) neither Party will have any further obligation to the other Party under this PPA.</w:t>
      </w:r>
    </w:p>
    <w:p w:rsidRPr="007E745C" w:rsidR="007E745C" w:rsidP="007E745C" w:rsidRDefault="009A4261" w14:paraId="38403EDC" w14:textId="542BA297">
      <w:pPr>
        <w:pStyle w:val="zGTC03"/>
        <w:spacing w:after="120"/>
      </w:pPr>
      <w:r>
        <w:t xml:space="preserve">Payment of Winner’s Fee. </w:t>
      </w:r>
      <w:r w:rsidRPr="007E745C" w:rsidR="007E745C">
        <w:rPr>
          <w:b w:val="0"/>
          <w:bCs/>
        </w:rPr>
        <w:t xml:space="preserve">After the Commission approves this PPA through a Commission Certificate, GPC will calculate the winner’s fee owed by Seller per the terms of GPC’s 2026 All-Source Capacity Request for Proposals for Need Years 2032 - 2033 and notify Seller of the amount. Seller must pay the winner’s fee to GPC: (i) within 10 Days after receipt of GPC’s notice; and (ii) following the instructions in the notice. Seller’s failure to timely pay the winner’s fee as required by this Section 1.3.7 </w:t>
      </w:r>
      <w:r w:rsidR="00F535EA">
        <w:rPr>
          <w:b w:val="0"/>
          <w:bCs/>
        </w:rPr>
        <w:t>(</w:t>
      </w:r>
      <w:r w:rsidRPr="00F535EA" w:rsidR="00F535EA">
        <w:rPr>
          <w:b w:val="0"/>
          <w:bCs/>
          <w:i/>
          <w:iCs/>
        </w:rPr>
        <w:t>Payment of Winner’s Fee</w:t>
      </w:r>
      <w:r w:rsidR="00F535EA">
        <w:rPr>
          <w:b w:val="0"/>
          <w:bCs/>
        </w:rPr>
        <w:t xml:space="preserve">) </w:t>
      </w:r>
      <w:r w:rsidRPr="007E745C" w:rsidR="007E745C">
        <w:rPr>
          <w:b w:val="0"/>
          <w:bCs/>
        </w:rPr>
        <w:t>will be a Seller Event of Default.</w:t>
      </w:r>
    </w:p>
    <w:p w:rsidRPr="000D001A" w:rsidR="002D54C4" w:rsidP="007E745C" w:rsidRDefault="008B55A2" w14:paraId="657D8FD1" w14:textId="77777777">
      <w:pPr>
        <w:pStyle w:val="zGTC01"/>
        <w:tabs>
          <w:tab w:val="clear" w:pos="3762"/>
        </w:tabs>
        <w:spacing w:before="120"/>
        <w:ind w:left="1080"/>
      </w:pPr>
      <w:bookmarkStart w:name="_Toc160749099" w:id="240"/>
      <w:bookmarkStart w:name="_Toc194937461" w:id="241"/>
      <w:bookmarkStart w:name="_Toc174624849" w:id="242"/>
      <w:bookmarkStart w:name="_Toc227451510" w:id="243"/>
      <w:r>
        <w:t>Representations, Warranties, and Covenants</w:t>
      </w:r>
      <w:bookmarkEnd w:id="240"/>
      <w:bookmarkEnd w:id="241"/>
      <w:bookmarkEnd w:id="242"/>
      <w:bookmarkEnd w:id="243"/>
    </w:p>
    <w:p w:rsidRPr="000D001A" w:rsidR="002D54C4" w:rsidP="002D54C4" w:rsidRDefault="008B55A2" w14:paraId="1D032091" w14:textId="77777777">
      <w:pPr>
        <w:pStyle w:val="zGTC02"/>
        <w:rPr>
          <w:vanish/>
          <w:specVanish/>
        </w:rPr>
      </w:pPr>
      <w:bookmarkStart w:name="_Toc160749100" w:id="244"/>
      <w:bookmarkStart w:name="_Toc194937462" w:id="245"/>
      <w:bookmarkStart w:name="_Toc174624850" w:id="246"/>
      <w:bookmarkStart w:name="_Toc227451511" w:id="247"/>
      <w:r>
        <w:t>Seller Representations, Warranties, and Covenants.</w:t>
      </w:r>
      <w:bookmarkStart w:name="_Toc158593181" w:id="248"/>
      <w:bookmarkStart w:name="_Toc158597460" w:id="249"/>
      <w:bookmarkStart w:name="_Toc158720084" w:id="250"/>
      <w:bookmarkStart w:name="_Toc158722838" w:id="251"/>
      <w:bookmarkStart w:name="_Toc158929369" w:id="252"/>
      <w:bookmarkEnd w:id="244"/>
      <w:bookmarkEnd w:id="245"/>
      <w:bookmarkEnd w:id="246"/>
      <w:bookmarkEnd w:id="247"/>
      <w:bookmarkEnd w:id="248"/>
      <w:bookmarkEnd w:id="249"/>
      <w:bookmarkEnd w:id="250"/>
      <w:bookmarkEnd w:id="251"/>
      <w:bookmarkEnd w:id="252"/>
    </w:p>
    <w:p w:rsidRPr="000D001A" w:rsidR="002D54C4" w:rsidP="002D54C4" w:rsidRDefault="008B55A2" w14:paraId="1C0513C6" w14:textId="43C68BE2">
      <w:pPr>
        <w:pStyle w:val="zGNormal"/>
      </w:pPr>
      <w:r>
        <w:t xml:space="preserve"> </w:t>
      </w:r>
      <w:r w:rsidRPr="002D2A8F" w:rsidR="00F80E1D">
        <w:t>Seller makes to GPC the following additional representations</w:t>
      </w:r>
      <w:r w:rsidR="008D49E4">
        <w:t>,</w:t>
      </w:r>
      <w:r w:rsidR="00F80E1D">
        <w:t xml:space="preserve"> warranties</w:t>
      </w:r>
      <w:r w:rsidR="008D49E4">
        <w:t>, and covenants</w:t>
      </w:r>
      <w:r w:rsidR="00F80E1D">
        <w:t xml:space="preserve"> </w:t>
      </w:r>
      <w:r w:rsidRPr="002D2A8F" w:rsidR="00F80E1D">
        <w:t>as the basis for the benefits and obligations contained in this PPA:</w:t>
      </w:r>
    </w:p>
    <w:p w:rsidRPr="000D001A" w:rsidR="002D54C4" w:rsidP="00C22140" w:rsidRDefault="008B55A2" w14:paraId="09D45625" w14:textId="77777777">
      <w:pPr>
        <w:pStyle w:val="zGTC03"/>
        <w:rPr>
          <w:vanish/>
          <w:specVanish/>
        </w:rPr>
      </w:pPr>
      <w:r>
        <w:t>Organization; Facility Ownership; Legal Power and Authority.</w:t>
      </w:r>
    </w:p>
    <w:p w:rsidRPr="005618E3" w:rsidR="002D54C4" w:rsidP="002D54C4" w:rsidRDefault="008B55A2" w14:paraId="31F97A4C" w14:textId="191DA9CB">
      <w:pPr>
        <w:pStyle w:val="zGNormal"/>
      </w:pPr>
      <w:r>
        <w:t xml:space="preserve"> Seller is duly organized and validly existing in accordance with the Seller information provided in Exhibit A (</w:t>
      </w:r>
      <w:r>
        <w:rPr>
          <w:i/>
        </w:rPr>
        <w:t>Facility Description and Additional Details</w:t>
      </w:r>
      <w:r>
        <w:t>), in good standing</w:t>
      </w:r>
      <w:r w:rsidR="00B84485">
        <w:t xml:space="preserve"> under the laws of the state of Georgia</w:t>
      </w:r>
      <w:r>
        <w:t>, qualified to do business in the state of Georgia, the sole owner and operator of the Facility, and has the legal power and authority to: (i) own its properties; (ii) carry on its business as now being conducted; (iii) enter into this PPA; (iv) to otherwise carry out the transactions contemplated by this PPA; and (v) perform and fulfill all covenants and obligations on Seller’s part to be performed under this PPA.</w:t>
      </w:r>
    </w:p>
    <w:p w:rsidRPr="005618E3" w:rsidR="002D54C4" w:rsidP="00C22140" w:rsidRDefault="008B55A2" w14:paraId="4AD57992" w14:textId="77777777">
      <w:pPr>
        <w:pStyle w:val="zGTC03"/>
        <w:rPr>
          <w:vanish/>
          <w:specVanish/>
        </w:rPr>
      </w:pPr>
      <w:r>
        <w:t>Authorization.</w:t>
      </w:r>
    </w:p>
    <w:p w:rsidRPr="005618E3" w:rsidR="002D54C4" w:rsidP="002D54C4" w:rsidRDefault="008B55A2" w14:paraId="7AA5A636" w14:textId="77777777">
      <w:pPr>
        <w:pStyle w:val="zGNormal"/>
      </w:pPr>
      <w:r>
        <w:rPr>
          <w:b/>
          <w:bCs/>
        </w:rPr>
        <w:t xml:space="preserve"> </w:t>
      </w:r>
      <w:r>
        <w:t>The execution, delivery, and performance by Seller of this PPA have been duly authorized by all necessary action and do not and will not require any consent or approval of any Person other than those already properly obtained.</w:t>
      </w:r>
    </w:p>
    <w:p w:rsidRPr="005618E3" w:rsidR="002D54C4" w:rsidP="00C22140" w:rsidRDefault="008B55A2" w14:paraId="3FE64D18" w14:textId="77777777">
      <w:pPr>
        <w:pStyle w:val="zGTC03"/>
        <w:rPr>
          <w:vanish/>
          <w:specVanish/>
        </w:rPr>
      </w:pPr>
      <w:r>
        <w:t>No Conflict or Breach.</w:t>
      </w:r>
    </w:p>
    <w:p w:rsidRPr="005618E3" w:rsidR="002D54C4" w:rsidP="002D54C4" w:rsidRDefault="008B55A2" w14:paraId="012865B8" w14:textId="77777777">
      <w:pPr>
        <w:pStyle w:val="zGNormal"/>
      </w:pPr>
      <w:r>
        <w:t xml:space="preserve"> The execution and delivery of this PPA, the consummation of the transactions contemplated by this PPA, and the fulfillment of and compliance with this PPA, do not and will not conflict with or constitute a breach of or a default under, any of the terms, conditions, or provisions of any applicable law, charter, bylaw, operating agreement or other formation or organizational document of Seller, or any deed of trust, mortgage, loan agreement, other evidence of Indebtedness, or any other agreement or instrument to which Seller is a party or by which Seller or any of its property is bound.</w:t>
      </w:r>
    </w:p>
    <w:p w:rsidRPr="005618E3" w:rsidR="002D54C4" w:rsidP="00C22140" w:rsidRDefault="008B55A2" w14:paraId="05D2E8B6" w14:textId="77777777">
      <w:pPr>
        <w:pStyle w:val="zGTC03"/>
        <w:rPr>
          <w:vanish/>
          <w:specVanish/>
        </w:rPr>
      </w:pPr>
      <w:r>
        <w:t>Legal, Valid, and Binding Obligations.</w:t>
      </w:r>
    </w:p>
    <w:p w:rsidRPr="005618E3" w:rsidR="002D54C4" w:rsidP="002D54C4" w:rsidRDefault="008B55A2" w14:paraId="07364FAF" w14:textId="77777777">
      <w:pPr>
        <w:pStyle w:val="zGNormal"/>
      </w:pPr>
      <w:r>
        <w:t xml:space="preserve"> This PPA contains the legal, valid, and binding obligations of Seller that are enforceable in accordance with their terms, except as the enforceability may be limited by bankruptcy, insolvency, reorganization, or similar laws relating to or affecting the enforcement of creditors’ rights generally or by general equitable principles, regardless of whether the enforceability is considered in a proceeding in equity or at law.</w:t>
      </w:r>
    </w:p>
    <w:p w:rsidRPr="005618E3" w:rsidR="002D54C4" w:rsidP="00C22140" w:rsidRDefault="008B55A2" w14:paraId="499BA913" w14:textId="77777777">
      <w:pPr>
        <w:pStyle w:val="zGTC03"/>
        <w:rPr>
          <w:vanish/>
          <w:specVanish/>
        </w:rPr>
      </w:pPr>
      <w:r>
        <w:t>No Proceedings Impacting Legality, Validity, or Enforceability of this PPA.</w:t>
      </w:r>
    </w:p>
    <w:p w:rsidRPr="005618E3" w:rsidR="002D54C4" w:rsidP="002D54C4" w:rsidRDefault="008B55A2" w14:paraId="73B216D2" w14:textId="77777777">
      <w:pPr>
        <w:pStyle w:val="zGNormal"/>
      </w:pPr>
      <w:r>
        <w:t xml:space="preserve"> As of the Effective Date, there is no pending, or to the knowledge of Seller, threatened action or proceeding affecting Seller before any Governmental Authority that purports to affect the legality, validity, or enforceability of this PPA or that could reasonably be expected to have a material adverse effect on Seller.</w:t>
      </w:r>
    </w:p>
    <w:p w:rsidRPr="005618E3" w:rsidR="002D54C4" w:rsidP="00C22140" w:rsidRDefault="008B55A2" w14:paraId="12226F4D" w14:textId="77777777">
      <w:pPr>
        <w:pStyle w:val="zGTC03"/>
        <w:rPr>
          <w:vanish/>
          <w:specVanish/>
        </w:rPr>
      </w:pPr>
      <w:r>
        <w:t>No Bankruptcy Proceeding.</w:t>
      </w:r>
    </w:p>
    <w:p w:rsidRPr="005618E3" w:rsidR="002D54C4" w:rsidP="002D54C4" w:rsidRDefault="008B55A2" w14:paraId="4E149DEF" w14:textId="15BBACA2">
      <w:pPr>
        <w:pStyle w:val="zGNormal"/>
      </w:pPr>
      <w:r>
        <w:t xml:space="preserve"> There </w:t>
      </w:r>
      <w:r w:rsidR="00222741">
        <w:t>is</w:t>
      </w:r>
      <w:r>
        <w:t xml:space="preserve"> no bankruptcy proceeding pending or being contemplated by Seller or, to Seller’s knowledge, threatened against Seller.</w:t>
      </w:r>
    </w:p>
    <w:p w:rsidRPr="005618E3" w:rsidR="002D54C4" w:rsidP="00C22140" w:rsidRDefault="008B55A2" w14:paraId="07FBC62D" w14:textId="77777777">
      <w:pPr>
        <w:pStyle w:val="zGTC03"/>
        <w:rPr>
          <w:vanish/>
          <w:specVanish/>
        </w:rPr>
      </w:pPr>
      <w:r>
        <w:t>No Federal Debarment.</w:t>
      </w:r>
    </w:p>
    <w:p w:rsidRPr="005618E3" w:rsidR="002D54C4" w:rsidP="002D54C4" w:rsidRDefault="008B55A2" w14:paraId="60EE527C" w14:textId="77777777">
      <w:pPr>
        <w:pStyle w:val="zGNormal"/>
      </w:pPr>
      <w:r>
        <w:t xml:space="preserve"> Seller is not debarred, suspended, or proposed for debarment as a contractor or subcontractor to any department, agency, or other division of the United States Government.</w:t>
      </w:r>
    </w:p>
    <w:p w:rsidRPr="005618E3" w:rsidR="002D54C4" w:rsidP="00C22140" w:rsidRDefault="008B55A2" w14:paraId="31DF4A58" w14:textId="32F12A5B">
      <w:pPr>
        <w:pStyle w:val="zGTC03"/>
        <w:rPr>
          <w:vanish/>
          <w:specVanish/>
        </w:rPr>
      </w:pPr>
      <w:r>
        <w:t>VIE Certification.</w:t>
      </w:r>
    </w:p>
    <w:p w:rsidRPr="004425E3" w:rsidR="004425E3" w:rsidP="00891B15" w:rsidRDefault="004425E3" w14:paraId="0F473FF2" w14:textId="596FCA76">
      <w:pPr>
        <w:pStyle w:val="zGTC03"/>
        <w:numPr>
          <w:ilvl w:val="0"/>
          <w:numId w:val="0"/>
        </w:numPr>
        <w:spacing w:after="120" w:line="360" w:lineRule="exact"/>
        <w:ind w:left="630"/>
        <w:rPr>
          <w:kern w:val="2"/>
          <w14:ligatures w14:val="standardContextual"/>
        </w:rPr>
      </w:pPr>
    </w:p>
    <w:p w:rsidRPr="004425E3" w:rsidR="004425E3" w:rsidP="000907B6" w:rsidRDefault="004425E3" w14:paraId="293B81C7" w14:textId="49EBDBF5">
      <w:pPr>
        <w:pStyle w:val="zGTC04"/>
        <w:numPr>
          <w:ilvl w:val="3"/>
          <w:numId w:val="28"/>
        </w:numPr>
        <w:spacing w:after="120"/>
        <w:rPr>
          <w:kern w:val="2"/>
          <w14:ligatures w14:val="standardContextual"/>
        </w:rPr>
      </w:pPr>
      <w:r w:rsidRPr="004425E3">
        <w:rPr>
          <w:kern w:val="2"/>
          <w14:ligatures w14:val="standardContextual"/>
        </w:rPr>
        <w:t xml:space="preserve">As of the Effective Date, Seller has determined that Seller does </w:t>
      </w:r>
      <w:r w:rsidRPr="00735FFB">
        <w:rPr>
          <w:kern w:val="2"/>
          <w14:ligatures w14:val="standardContextual"/>
        </w:rPr>
        <w:t xml:space="preserve">not </w:t>
      </w:r>
      <w:r w:rsidRPr="004425E3">
        <w:rPr>
          <w:kern w:val="2"/>
          <w14:ligatures w14:val="standardContextual"/>
        </w:rPr>
        <w:t>constitute a VIE for which GPC is the Primary Beneficiary and therefore that GPC is not</w:t>
      </w:r>
      <w:r w:rsidRPr="00735FFB">
        <w:rPr>
          <w:kern w:val="2"/>
          <w14:ligatures w14:val="standardContextual"/>
        </w:rPr>
        <w:t xml:space="preserve"> required </w:t>
      </w:r>
      <w:r w:rsidRPr="004B0BBF">
        <w:rPr>
          <w:kern w:val="2"/>
          <w14:ligatures w14:val="standardContextual"/>
        </w:rPr>
        <w:t xml:space="preserve">to </w:t>
      </w:r>
      <w:r w:rsidRPr="004B0BBF">
        <w:rPr>
          <w:kern w:val="2"/>
          <w14:ligatures w14:val="standardContextual"/>
        </w:rPr>
        <w:lastRenderedPageBreak/>
        <w:t xml:space="preserve">consolidate Seller or any of </w:t>
      </w:r>
      <w:r w:rsidRPr="004425E3">
        <w:rPr>
          <w:kern w:val="2"/>
          <w14:ligatures w14:val="standardContextual"/>
        </w:rPr>
        <w:t>its</w:t>
      </w:r>
      <w:r w:rsidRPr="004B0BBF">
        <w:rPr>
          <w:kern w:val="2"/>
          <w14:ligatures w14:val="standardContextual"/>
        </w:rPr>
        <w:t xml:space="preserve"> Affiliates in GPC’s financial statements</w:t>
      </w:r>
      <w:r w:rsidRPr="004425E3">
        <w:rPr>
          <w:kern w:val="2"/>
          <w14:ligatures w14:val="standardContextual"/>
        </w:rPr>
        <w:t xml:space="preserve"> under ASC Topic 810 (Consolidation) and related applicable accounting standards (“</w:t>
      </w:r>
      <w:r w:rsidRPr="004425E3">
        <w:rPr>
          <w:b/>
          <w:kern w:val="2"/>
          <w14:ligatures w14:val="standardContextual"/>
        </w:rPr>
        <w:t>GPC Consolidation</w:t>
      </w:r>
      <w:r w:rsidRPr="004425E3">
        <w:rPr>
          <w:kern w:val="2"/>
          <w14:ligatures w14:val="standardContextual"/>
        </w:rPr>
        <w:t>”) as in effect on the Effective Date (“</w:t>
      </w:r>
      <w:r w:rsidRPr="004425E3">
        <w:rPr>
          <w:b/>
          <w:bCs/>
          <w:kern w:val="2"/>
          <w14:ligatures w14:val="standardContextual"/>
        </w:rPr>
        <w:t>Effective Date Accounting Standards</w:t>
      </w:r>
      <w:r w:rsidRPr="004425E3">
        <w:rPr>
          <w:kern w:val="2"/>
          <w14:ligatures w14:val="standardContextual"/>
        </w:rPr>
        <w:t>”).</w:t>
      </w:r>
    </w:p>
    <w:p w:rsidRPr="00523D37" w:rsidR="004425E3" w:rsidP="000D6364" w:rsidRDefault="000D6364" w14:paraId="6AEE7353" w14:textId="06A2A2A4">
      <w:pPr>
        <w:pStyle w:val="zGTC04"/>
        <w:spacing w:after="120"/>
        <w:rPr>
          <w:kern w:val="2"/>
          <w14:ligatures w14:val="standardContextual"/>
        </w:rPr>
      </w:pPr>
      <w:r w:rsidRPr="000D6364">
        <w:rPr>
          <w:kern w:val="2"/>
          <w14:ligatures w14:val="standardContextual"/>
        </w:rPr>
        <w:t>Seller must not take any action that would reasonably cause, and must take any commercially reasonable action necessary to avoid</w:t>
      </w:r>
      <w:r>
        <w:rPr>
          <w:kern w:val="2"/>
          <w14:ligatures w14:val="standardContextual"/>
        </w:rPr>
        <w:t xml:space="preserve">, </w:t>
      </w:r>
      <w:r w:rsidRPr="003F390C" w:rsidR="004425E3">
        <w:rPr>
          <w:kern w:val="2"/>
          <w14:ligatures w14:val="standardContextual"/>
        </w:rPr>
        <w:t>GPC Consolidation.</w:t>
      </w:r>
    </w:p>
    <w:p w:rsidR="004425E3" w:rsidP="000D6364" w:rsidRDefault="004425E3" w14:paraId="58CB34A8" w14:textId="663F6E97">
      <w:pPr>
        <w:pStyle w:val="zGTC04"/>
        <w:spacing w:after="120"/>
        <w:rPr>
          <w:kern w:val="2"/>
          <w14:ligatures w14:val="standardContextual"/>
        </w:rPr>
      </w:pPr>
      <w:r w:rsidRPr="004B0BBF">
        <w:rPr>
          <w:kern w:val="2"/>
          <w14:ligatures w14:val="standardContextual"/>
        </w:rPr>
        <w:t xml:space="preserve">Seller must promptly notify GPC </w:t>
      </w:r>
      <w:r w:rsidRPr="00523D37">
        <w:rPr>
          <w:kern w:val="2"/>
          <w14:ligatures w14:val="standardContextual"/>
        </w:rPr>
        <w:t>of</w:t>
      </w:r>
      <w:r w:rsidRPr="004B0BBF">
        <w:rPr>
          <w:kern w:val="2"/>
          <w14:ligatures w14:val="standardContextual"/>
        </w:rPr>
        <w:t xml:space="preserve"> any determination made by Seller or Seller’s independent auditor that</w:t>
      </w:r>
      <w:r w:rsidRPr="00523D37">
        <w:rPr>
          <w:kern w:val="2"/>
          <w14:ligatures w14:val="standardContextual"/>
        </w:rPr>
        <w:t>: (a) Seller’s VIE status has changed; or (b)</w:t>
      </w:r>
      <w:r w:rsidRPr="004B0BBF">
        <w:rPr>
          <w:kern w:val="2"/>
          <w14:ligatures w14:val="standardContextual"/>
        </w:rPr>
        <w:t xml:space="preserve"> Seller constitutes a VIE for which GPC is the Primary Beneficiary, </w:t>
      </w:r>
      <w:r w:rsidR="002E47E9">
        <w:rPr>
          <w:kern w:val="2"/>
          <w14:ligatures w14:val="standardContextual"/>
        </w:rPr>
        <w:t>considering this PPA</w:t>
      </w:r>
      <w:r w:rsidRPr="004B0BBF">
        <w:rPr>
          <w:kern w:val="2"/>
          <w14:ligatures w14:val="standardContextual"/>
        </w:rPr>
        <w:t xml:space="preserve"> individually or together with any other power purchase </w:t>
      </w:r>
      <w:r w:rsidRPr="00523D37">
        <w:rPr>
          <w:kern w:val="2"/>
          <w14:ligatures w14:val="standardContextual"/>
        </w:rPr>
        <w:t>agreement</w:t>
      </w:r>
      <w:r w:rsidRPr="004B0BBF">
        <w:rPr>
          <w:kern w:val="2"/>
          <w14:ligatures w14:val="standardContextual"/>
        </w:rPr>
        <w:t xml:space="preserve"> between Seller and GPC. </w:t>
      </w:r>
    </w:p>
    <w:p w:rsidRPr="00523D37" w:rsidR="004425E3" w:rsidP="002B436C" w:rsidRDefault="004425E3" w14:paraId="06AFF477" w14:textId="6EBECE0F">
      <w:pPr>
        <w:pStyle w:val="zGTC04"/>
        <w:spacing w:after="120"/>
        <w:rPr>
          <w:kern w:val="2"/>
          <w14:ligatures w14:val="standardContextual"/>
        </w:rPr>
      </w:pPr>
      <w:r w:rsidRPr="00B27068">
        <w:rPr>
          <w:kern w:val="2"/>
          <w14:ligatures w14:val="standardContextual"/>
        </w:rPr>
        <w:t>If during the Term (x) existing accounting standards are modified or new standards are adopted and implemented by FASB that supersede the Effective Date Accounting Standards (“</w:t>
      </w:r>
      <w:r w:rsidRPr="00CE3C23">
        <w:rPr>
          <w:b/>
          <w:bCs/>
          <w:kern w:val="2"/>
          <w14:ligatures w14:val="standardContextual"/>
        </w:rPr>
        <w:t>Change in Accounting Standards</w:t>
      </w:r>
      <w:r w:rsidRPr="00B27068">
        <w:rPr>
          <w:kern w:val="2"/>
          <w14:ligatures w14:val="standardContextual"/>
        </w:rPr>
        <w:t xml:space="preserve">”) </w:t>
      </w:r>
      <w:r w:rsidR="00806E37">
        <w:rPr>
          <w:kern w:val="2"/>
          <w14:ligatures w14:val="standardContextual"/>
        </w:rPr>
        <w:t>and</w:t>
      </w:r>
      <w:r w:rsidRPr="00B27068">
        <w:rPr>
          <w:kern w:val="2"/>
          <w14:ligatures w14:val="standardContextual"/>
        </w:rPr>
        <w:t xml:space="preserve"> GPC or its independent auditor determines in good faith that GPC Consolidation is required, Seller and GPC must, as soon as practicable, cooperate in good faith to implement contractual or operational modifications to avoid such determination. If</w:t>
      </w:r>
      <w:r>
        <w:rPr>
          <w:kern w:val="2"/>
          <w14:ligatures w14:val="standardContextual"/>
        </w:rPr>
        <w:t>,</w:t>
      </w:r>
      <w:r w:rsidRPr="00B27068">
        <w:rPr>
          <w:kern w:val="2"/>
          <w14:ligatures w14:val="standardContextual"/>
        </w:rPr>
        <w:t xml:space="preserve"> despite the </w:t>
      </w:r>
      <w:r>
        <w:rPr>
          <w:kern w:val="2"/>
          <w14:ligatures w14:val="standardContextual"/>
        </w:rPr>
        <w:t>Parties’ best efforts,</w:t>
      </w:r>
      <w:r w:rsidRPr="00B27068">
        <w:rPr>
          <w:kern w:val="2"/>
          <w14:ligatures w14:val="standardContextual"/>
        </w:rPr>
        <w:t xml:space="preserve"> the Parties are unable to avoid the GPC Consolidation </w:t>
      </w:r>
      <w:r w:rsidR="008C68F3">
        <w:rPr>
          <w:kern w:val="2"/>
          <w14:ligatures w14:val="standardContextual"/>
        </w:rPr>
        <w:t>d</w:t>
      </w:r>
      <w:r w:rsidRPr="00B27068">
        <w:rPr>
          <w:kern w:val="2"/>
          <w14:ligatures w14:val="standardContextual"/>
        </w:rPr>
        <w:t xml:space="preserve">etermination before the fifth Business Day </w:t>
      </w:r>
      <w:r w:rsidR="002C26A4">
        <w:rPr>
          <w:kern w:val="2"/>
          <w14:ligatures w14:val="standardContextual"/>
        </w:rPr>
        <w:t>before</w:t>
      </w:r>
      <w:r w:rsidRPr="00B27068">
        <w:rPr>
          <w:kern w:val="2"/>
          <w14:ligatures w14:val="standardContextual"/>
        </w:rPr>
        <w:t xml:space="preserve"> the end of the first reporting period during which such GPC Consolidation is required</w:t>
      </w:r>
      <w:r>
        <w:rPr>
          <w:kern w:val="2"/>
          <w14:ligatures w14:val="standardContextual"/>
        </w:rPr>
        <w:t>,</w:t>
      </w:r>
      <w:r w:rsidRPr="00B27068">
        <w:rPr>
          <w:kern w:val="2"/>
          <w14:ligatures w14:val="standardContextual"/>
        </w:rPr>
        <w:t xml:space="preserve"> GPC may terminate this PPA upon notice to Seller under this Section 2.1.8 and the Parties will have no further liability or obligation except for any liability or obligation arising before the termination.</w:t>
      </w:r>
    </w:p>
    <w:p w:rsidRPr="00A24173" w:rsidR="004425E3" w:rsidP="001264D5" w:rsidRDefault="004425E3" w14:paraId="27422E22" w14:textId="28F4064B">
      <w:pPr>
        <w:pStyle w:val="zGTC04"/>
        <w:spacing w:after="120"/>
        <w:rPr>
          <w:kern w:val="2"/>
          <w14:ligatures w14:val="standardContextual"/>
        </w:rPr>
      </w:pPr>
      <w:r w:rsidRPr="004B0BBF">
        <w:rPr>
          <w:kern w:val="2"/>
          <w14:ligatures w14:val="standardContextual"/>
        </w:rPr>
        <w:t xml:space="preserve">Seller must provide to GPC a VIE certification </w:t>
      </w:r>
      <w:r w:rsidRPr="00A24173">
        <w:rPr>
          <w:kern w:val="2"/>
          <w14:ligatures w14:val="standardContextual"/>
        </w:rPr>
        <w:t xml:space="preserve">substantially </w:t>
      </w:r>
      <w:r w:rsidRPr="004B0BBF">
        <w:rPr>
          <w:kern w:val="2"/>
          <w14:ligatures w14:val="standardContextual"/>
        </w:rPr>
        <w:t xml:space="preserve">in the form of Exhibit </w:t>
      </w:r>
      <w:r w:rsidRPr="004B0BBF" w:rsidR="007A3021">
        <w:rPr>
          <w:kern w:val="2"/>
          <w14:ligatures w14:val="standardContextual"/>
        </w:rPr>
        <w:t>M</w:t>
      </w:r>
      <w:r w:rsidRPr="004B0BBF">
        <w:rPr>
          <w:kern w:val="2"/>
          <w14:ligatures w14:val="standardContextual"/>
        </w:rPr>
        <w:t xml:space="preserve"> (</w:t>
      </w:r>
      <w:r w:rsidRPr="004B0BBF">
        <w:rPr>
          <w:i/>
          <w:kern w:val="2"/>
          <w14:ligatures w14:val="standardContextual"/>
        </w:rPr>
        <w:t>VIE Certification</w:t>
      </w:r>
      <w:r w:rsidRPr="004B0BBF">
        <w:rPr>
          <w:kern w:val="2"/>
          <w14:ligatures w14:val="standardContextual"/>
        </w:rPr>
        <w:t>) signed by the chief financial officer of Seller: (</w:t>
      </w:r>
      <w:r w:rsidRPr="00A24173">
        <w:rPr>
          <w:kern w:val="2"/>
          <w14:ligatures w14:val="standardContextual"/>
        </w:rPr>
        <w:t>a</w:t>
      </w:r>
      <w:r w:rsidRPr="004B0BBF">
        <w:rPr>
          <w:kern w:val="2"/>
          <w14:ligatures w14:val="standardContextual"/>
        </w:rPr>
        <w:t>) at the time of execution of this PPA</w:t>
      </w:r>
      <w:r w:rsidRPr="00A24173">
        <w:rPr>
          <w:kern w:val="2"/>
          <w14:ligatures w14:val="standardContextual"/>
        </w:rPr>
        <w:t>; (b</w:t>
      </w:r>
      <w:r w:rsidRPr="004B0BBF">
        <w:rPr>
          <w:kern w:val="2"/>
          <w14:ligatures w14:val="standardContextual"/>
        </w:rPr>
        <w:t xml:space="preserve">) before each </w:t>
      </w:r>
      <w:r w:rsidRPr="00A24173">
        <w:rPr>
          <w:kern w:val="2"/>
          <w14:ligatures w14:val="standardContextual"/>
        </w:rPr>
        <w:t>Delivery Commencement Date</w:t>
      </w:r>
      <w:r w:rsidRPr="004B0BBF">
        <w:rPr>
          <w:kern w:val="2"/>
          <w14:ligatures w14:val="standardContextual"/>
        </w:rPr>
        <w:t xml:space="preserve"> anniversary during the Term</w:t>
      </w:r>
      <w:r w:rsidRPr="00A24173">
        <w:rPr>
          <w:kern w:val="2"/>
          <w14:ligatures w14:val="standardContextual"/>
        </w:rPr>
        <w:t>; (c</w:t>
      </w:r>
      <w:r w:rsidRPr="004B0BBF">
        <w:rPr>
          <w:kern w:val="2"/>
          <w14:ligatures w14:val="standardContextual"/>
        </w:rPr>
        <w:t>) at any time this PPA is amended by the Parties</w:t>
      </w:r>
      <w:r w:rsidR="00A232D9">
        <w:rPr>
          <w:kern w:val="2"/>
          <w14:ligatures w14:val="standardContextual"/>
        </w:rPr>
        <w:t>; and (d) with any Change of Control Transaction</w:t>
      </w:r>
      <w:r w:rsidRPr="00A24173">
        <w:rPr>
          <w:kern w:val="2"/>
          <w14:ligatures w14:val="standardContextual"/>
        </w:rPr>
        <w:t xml:space="preserve">. </w:t>
      </w:r>
    </w:p>
    <w:p w:rsidRPr="004B0BBF" w:rsidR="00D83044" w:rsidP="004B0BBF" w:rsidRDefault="004425E3" w14:paraId="2256C451" w14:textId="5B62B095">
      <w:pPr>
        <w:pStyle w:val="zGTC04"/>
        <w:spacing w:after="120"/>
        <w:rPr>
          <w:kern w:val="2"/>
          <w14:ligatures w14:val="standardContextual"/>
        </w:rPr>
      </w:pPr>
      <w:r w:rsidRPr="00A24173">
        <w:rPr>
          <w:kern w:val="2"/>
          <w14:ligatures w14:val="standardContextual"/>
        </w:rPr>
        <w:t>If existing accounting standards are modified</w:t>
      </w:r>
      <w:r w:rsidRPr="00735FFB">
        <w:rPr>
          <w:kern w:val="2"/>
          <w14:ligatures w14:val="standardContextual"/>
        </w:rPr>
        <w:t xml:space="preserve"> or </w:t>
      </w:r>
      <w:r w:rsidRPr="00A24173">
        <w:rPr>
          <w:kern w:val="2"/>
          <w14:ligatures w14:val="standardContextual"/>
        </w:rPr>
        <w:t>new standards are adopted that supersede the Effective Date</w:t>
      </w:r>
      <w:r w:rsidR="007A6DE4">
        <w:rPr>
          <w:kern w:val="2"/>
          <w14:ligatures w14:val="standardContextual"/>
        </w:rPr>
        <w:t xml:space="preserve"> Accounting Standards</w:t>
      </w:r>
      <w:r w:rsidRPr="00A24173">
        <w:rPr>
          <w:kern w:val="2"/>
          <w14:ligatures w14:val="standardContextual"/>
        </w:rPr>
        <w:t>, Seller must</w:t>
      </w:r>
      <w:r w:rsidRPr="004B0BBF">
        <w:rPr>
          <w:kern w:val="2"/>
          <w14:ligatures w14:val="standardContextual"/>
        </w:rPr>
        <w:t xml:space="preserve"> provide GPC </w:t>
      </w:r>
      <w:r w:rsidRPr="00A24173">
        <w:rPr>
          <w:kern w:val="2"/>
          <w14:ligatures w14:val="standardContextual"/>
        </w:rPr>
        <w:t xml:space="preserve">with </w:t>
      </w:r>
      <w:r w:rsidRPr="004B0BBF">
        <w:rPr>
          <w:kern w:val="2"/>
          <w14:ligatures w14:val="standardContextual"/>
        </w:rPr>
        <w:t xml:space="preserve">a </w:t>
      </w:r>
      <w:r w:rsidRPr="00A24173">
        <w:rPr>
          <w:kern w:val="2"/>
          <w14:ligatures w14:val="standardContextual"/>
        </w:rPr>
        <w:t>then current</w:t>
      </w:r>
      <w:r w:rsidRPr="004B0BBF">
        <w:rPr>
          <w:kern w:val="2"/>
          <w14:ligatures w14:val="standardContextual"/>
        </w:rPr>
        <w:t xml:space="preserve"> certification in the form of Exhibit </w:t>
      </w:r>
      <w:r w:rsidR="00863963">
        <w:rPr>
          <w:kern w:val="2"/>
          <w14:ligatures w14:val="standardContextual"/>
        </w:rPr>
        <w:t>M</w:t>
      </w:r>
      <w:r w:rsidRPr="00A24173">
        <w:rPr>
          <w:kern w:val="2"/>
          <w14:ligatures w14:val="standardContextual"/>
        </w:rPr>
        <w:t xml:space="preserve">, modified accordingly to account for and comply with any modification to existing accounting standards or adoption of new accounting standards. </w:t>
      </w:r>
    </w:p>
    <w:p w:rsidRPr="000D001A" w:rsidR="002D54C4" w:rsidP="00661675" w:rsidRDefault="008B55A2" w14:paraId="098B2EA2" w14:textId="77777777">
      <w:pPr>
        <w:pStyle w:val="zGTC03"/>
        <w:rPr>
          <w:vanish/>
          <w:specVanish/>
        </w:rPr>
      </w:pPr>
      <w:r>
        <w:t xml:space="preserve">Facility Modifications </w:t>
      </w:r>
      <w:bookmarkStart w:name="_Hlk158375077" w:id="253"/>
      <w:r>
        <w:t>Resulting in Material Adverse Effect</w:t>
      </w:r>
      <w:bookmarkEnd w:id="253"/>
      <w:r>
        <w:t>.</w:t>
      </w:r>
    </w:p>
    <w:p w:rsidRPr="000D001A" w:rsidR="002D54C4" w:rsidP="002D54C4" w:rsidRDefault="008B55A2" w14:paraId="3B88AF47" w14:textId="77777777">
      <w:pPr>
        <w:pStyle w:val="zGNormal"/>
      </w:pPr>
      <w:r>
        <w:t xml:space="preserve"> No modification to, or expansion of, the Facility that would have a material adverse effect on GPC’s rights or obligations under this PPA will occur without GPC’s prior written consent, which consent will not be unreasonably withheld, conditioned, or delayed.</w:t>
      </w:r>
    </w:p>
    <w:p w:rsidRPr="000D001A" w:rsidR="002D54C4" w:rsidP="00C22140" w:rsidRDefault="008B55A2" w14:paraId="05B91A00" w14:textId="77777777">
      <w:pPr>
        <w:pStyle w:val="zGTC03"/>
        <w:rPr>
          <w:vanish/>
          <w:specVanish/>
        </w:rPr>
      </w:pPr>
      <w:r>
        <w:t>Sale, Lease, Transfer, or Other Disposal of Business or Assets Resulting in Material Adverse Effect.</w:t>
      </w:r>
    </w:p>
    <w:p w:rsidRPr="000D001A" w:rsidR="002D54C4" w:rsidP="0086731F" w:rsidRDefault="008B55A2" w14:paraId="2927385C" w14:textId="34A23401">
      <w:pPr>
        <w:pStyle w:val="zGNormal"/>
      </w:pPr>
      <w:r>
        <w:t xml:space="preserve"> Seller must not sell, lease, transfer, or otherwise dispose of all or substantially all of its business or assets, whether now owned or later acquired, to the extent that the sale, lease, transfer, or other disposition would have a material adverse effect on GPC’s rights or obligations under this PPA or, if applicable, the Renewable Resource PPA without GPC’s prior written consent, </w:t>
      </w:r>
      <w:r>
        <w:rPr>
          <w:rStyle w:val="DeltaViewInsertion"/>
          <w:color w:val="auto"/>
          <w:u w:val="none"/>
        </w:rPr>
        <w:t>which consent will not be unreasonably withheld, conditioned, or delayed</w:t>
      </w:r>
      <w:r w:rsidRPr="006478A7" w:rsidR="00D96623">
        <w:rPr>
          <w:rStyle w:val="DeltaViewInsertion"/>
          <w:color w:val="auto"/>
          <w:u w:val="none"/>
        </w:rPr>
        <w:t>, subject to Seller’s compliance with all requirements in Part 18 (</w:t>
      </w:r>
      <w:r w:rsidRPr="006478A7" w:rsidR="00D96623">
        <w:rPr>
          <w:rStyle w:val="DeltaViewInsertion"/>
          <w:i/>
          <w:iCs/>
          <w:color w:val="auto"/>
          <w:u w:val="none"/>
        </w:rPr>
        <w:t>Assignment, Transfers, and Changes of Control</w:t>
      </w:r>
      <w:r w:rsidRPr="006478A7" w:rsidR="00D96623">
        <w:rPr>
          <w:rStyle w:val="DeltaViewInsertion"/>
          <w:color w:val="auto"/>
          <w:u w:val="none"/>
        </w:rPr>
        <w:t>)</w:t>
      </w:r>
      <w:r w:rsidRPr="006478A7" w:rsidR="00D96623">
        <w:t>.</w:t>
      </w:r>
    </w:p>
    <w:p w:rsidRPr="000D001A" w:rsidR="002D54C4" w:rsidP="00C22140" w:rsidRDefault="008B55A2" w14:paraId="60A9EA66" w14:textId="77777777">
      <w:pPr>
        <w:pStyle w:val="zGTC03"/>
        <w:rPr>
          <w:rStyle w:val="DeltaViewInsertion"/>
          <w:vanish/>
          <w:color w:val="auto"/>
          <w:u w:val="none"/>
          <w:specVanish/>
        </w:rPr>
      </w:pPr>
      <w:r>
        <w:rPr>
          <w:rStyle w:val="DeltaViewInsertion"/>
          <w:color w:val="auto"/>
          <w:u w:val="none"/>
        </w:rPr>
        <w:t>Legal Right to Possess and Operate Facility and Deliver Capacity, Energy Storage Services, and Ancillary Services.</w:t>
      </w:r>
    </w:p>
    <w:p w:rsidRPr="000D001A" w:rsidR="002D54C4" w:rsidP="00330D75" w:rsidRDefault="008B55A2" w14:paraId="7192481B" w14:textId="576B75FE">
      <w:pPr>
        <w:pStyle w:val="zGNormal"/>
        <w:rPr>
          <w:rStyle w:val="DeltaViewInsertion"/>
          <w:color w:val="auto"/>
          <w:u w:val="none"/>
        </w:rPr>
      </w:pPr>
      <w:r>
        <w:rPr>
          <w:rStyle w:val="DeltaViewInsertion"/>
          <w:b/>
          <w:bCs/>
          <w:color w:val="auto"/>
          <w:u w:val="none"/>
        </w:rPr>
        <w:t xml:space="preserve"> </w:t>
      </w:r>
      <w:r>
        <w:rPr>
          <w:rStyle w:val="DeltaViewInsertion"/>
          <w:color w:val="auto"/>
          <w:u w:val="none"/>
        </w:rPr>
        <w:t>Except as may be allowed under Sections 2.1.10 (</w:t>
      </w:r>
      <w:r>
        <w:rPr>
          <w:rStyle w:val="DeltaViewInsertion"/>
          <w:i/>
          <w:color w:val="auto"/>
          <w:u w:val="none"/>
        </w:rPr>
        <w:t>Sa</w:t>
      </w:r>
      <w:r>
        <w:rPr>
          <w:i/>
        </w:rPr>
        <w:t>le, Lease, Transfer, or Other Disposal of Business or Assets Resulting in Material Adverse Effect</w:t>
      </w:r>
      <w:r>
        <w:rPr>
          <w:rStyle w:val="DeltaViewInsertion"/>
          <w:color w:val="auto"/>
          <w:u w:val="none"/>
        </w:rPr>
        <w:t xml:space="preserve">), </w:t>
      </w:r>
      <w:r>
        <w:rPr>
          <w:rStyle w:val="DeltaViewInsertion"/>
          <w:color w:val="auto"/>
          <w:w w:val="0"/>
          <w:u w:val="none"/>
        </w:rPr>
        <w:t>18.2 (</w:t>
      </w:r>
      <w:r w:rsidR="00E04200">
        <w:rPr>
          <w:rStyle w:val="DeltaViewInsertion"/>
          <w:i/>
          <w:color w:val="auto"/>
          <w:w w:val="0"/>
          <w:u w:val="none"/>
        </w:rPr>
        <w:t>Financing Assignment; Estoppels</w:t>
      </w:r>
      <w:r>
        <w:rPr>
          <w:rStyle w:val="DeltaViewInsertion"/>
          <w:color w:val="auto"/>
          <w:w w:val="0"/>
          <w:u w:val="none"/>
        </w:rPr>
        <w:t>)</w:t>
      </w:r>
      <w:r>
        <w:rPr>
          <w:rStyle w:val="DeltaViewInsertion"/>
          <w:color w:val="auto"/>
          <w:u w:val="none"/>
        </w:rPr>
        <w:t xml:space="preserve">, or any other provision of this PPA, Seller must maintain the legal right to and will possess and operate the Facility and deliver the capacity, energy storage services, </w:t>
      </w:r>
      <w:r>
        <w:t xml:space="preserve">and Ancillary Services </w:t>
      </w:r>
      <w:r>
        <w:rPr>
          <w:rStyle w:val="DeltaViewInsertion"/>
          <w:color w:val="auto"/>
          <w:u w:val="none"/>
        </w:rPr>
        <w:t xml:space="preserve">of the Facility to </w:t>
      </w:r>
      <w:r>
        <w:t>GPC</w:t>
      </w:r>
      <w:r>
        <w:rPr>
          <w:rStyle w:val="DeltaViewInsertion"/>
          <w:color w:val="auto"/>
          <w:u w:val="none"/>
        </w:rPr>
        <w:t xml:space="preserve"> in accordance </w:t>
      </w:r>
      <w:r w:rsidR="00284250">
        <w:rPr>
          <w:rStyle w:val="DeltaViewInsertion"/>
          <w:color w:val="auto"/>
          <w:u w:val="none"/>
        </w:rPr>
        <w:t>with</w:t>
      </w:r>
      <w:r>
        <w:rPr>
          <w:rStyle w:val="DeltaViewInsertion"/>
          <w:color w:val="auto"/>
          <w:u w:val="none"/>
        </w:rPr>
        <w:t xml:space="preserve"> this PPA</w:t>
      </w:r>
      <w:r w:rsidR="00620AFF">
        <w:rPr>
          <w:rStyle w:val="DeltaViewInsertion"/>
          <w:color w:val="auto"/>
          <w:u w:val="none"/>
        </w:rPr>
        <w:t>, including maintaining the right for GPC to direct Charging Energy and Discharging Energy</w:t>
      </w:r>
      <w:r>
        <w:rPr>
          <w:rStyle w:val="DeltaViewInsertion"/>
          <w:color w:val="auto"/>
          <w:u w:val="none"/>
        </w:rPr>
        <w:t xml:space="preserve">. </w:t>
      </w:r>
    </w:p>
    <w:p w:rsidRPr="000D001A" w:rsidR="002D54C4" w:rsidP="00C22140" w:rsidRDefault="008B55A2" w14:paraId="13E53A15" w14:textId="77777777">
      <w:pPr>
        <w:pStyle w:val="zGTC03"/>
        <w:rPr>
          <w:vanish/>
          <w:specVanish/>
        </w:rPr>
      </w:pPr>
      <w:r>
        <w:t>GPC’s Exclusive Right to Environmental Attributes.</w:t>
      </w:r>
    </w:p>
    <w:p w:rsidRPr="005618E3" w:rsidR="002D54C4" w:rsidP="002D54C4" w:rsidRDefault="008B55A2" w14:paraId="5BF1FE49" w14:textId="4DB1CC26">
      <w:pPr>
        <w:pStyle w:val="zGNormal"/>
      </w:pPr>
      <w:r>
        <w:t xml:space="preserve"> </w:t>
      </w:r>
      <w:r>
        <w:rPr>
          <w:rStyle w:val="DeltaViewInsertion"/>
          <w:color w:val="auto"/>
          <w:u w:val="none"/>
        </w:rPr>
        <w:t xml:space="preserve">GPC will have exclusive rights to </w:t>
      </w:r>
      <w:r w:rsidR="003D5442">
        <w:rPr>
          <w:rStyle w:val="DeltaViewInsertion"/>
          <w:color w:val="auto"/>
          <w:u w:val="none"/>
        </w:rPr>
        <w:t>all</w:t>
      </w:r>
      <w:r>
        <w:rPr>
          <w:rStyle w:val="DeltaViewInsertion"/>
          <w:color w:val="auto"/>
          <w:u w:val="none"/>
        </w:rPr>
        <w:t xml:space="preserve"> Environmental Attribute</w:t>
      </w:r>
      <w:r w:rsidR="003D5442">
        <w:rPr>
          <w:rStyle w:val="DeltaViewInsertion"/>
          <w:color w:val="auto"/>
          <w:u w:val="none"/>
        </w:rPr>
        <w:t>s</w:t>
      </w:r>
      <w:r>
        <w:rPr>
          <w:rStyle w:val="DeltaViewInsertion"/>
          <w:color w:val="auto"/>
          <w:u w:val="none"/>
        </w:rPr>
        <w:t xml:space="preserve"> associated with the Facility, which include the exclusive right to: (i) report </w:t>
      </w:r>
      <w:r>
        <w:rPr>
          <w:rStyle w:val="DeltaViewInsertion"/>
          <w:color w:val="auto"/>
          <w:u w:val="none"/>
        </w:rPr>
        <w:lastRenderedPageBreak/>
        <w:t>to any Governmental Authority, or other Person for compliance with any applicable law or other purpose, that it owns the Environmental Attributes; and (ii) claim the Environmental Attributes to customers or potential customers for purposes of marketing and advertising. However, Seller and Seller’s Affiliates may issue marketing materials and other statements regarding their respective operations and business activities so long as the issuance of the materials and statements does not: (a) reduce the economic value to GPC of the Environmental Attributes; (b) reduce GPC’s claims to the Environmental Attributes; or (c) result in the double counting of the Environmental Attributes.</w:t>
      </w:r>
      <w:r>
        <w:t xml:space="preserve"> </w:t>
      </w:r>
    </w:p>
    <w:p w:rsidRPr="005618E3" w:rsidR="002D54C4" w:rsidP="00C22140" w:rsidRDefault="008B55A2" w14:paraId="6DB51B5F" w14:textId="77777777">
      <w:pPr>
        <w:pStyle w:val="zGTC03"/>
        <w:rPr>
          <w:vanish/>
          <w:specVanish/>
        </w:rPr>
      </w:pPr>
      <w:r>
        <w:t>Information Regarding Environmental Attributes.</w:t>
      </w:r>
    </w:p>
    <w:p w:rsidR="002D54C4" w:rsidP="002D54C4" w:rsidRDefault="008B55A2" w14:paraId="57E7F815" w14:textId="22DA52B3">
      <w:pPr>
        <w:pStyle w:val="zGNormal"/>
      </w:pPr>
      <w:r>
        <w:t xml:space="preserve"> To the extent applicable during the Term, Seller must maintain and provide to GPC (or, if directed by GPC, other applicable Persons) the information as necessary to substantiate, account for, or track the quantity of Environmental Attributes</w:t>
      </w:r>
      <w:r w:rsidR="007E757E">
        <w:t>, if any,</w:t>
      </w:r>
      <w:r>
        <w:t xml:space="preserve"> delivered to GPC under this PPA, including all information necessary for GPC to comply with the requirements of any Governmental Authority or other certifying or standard-setting body relating to the Environmental Attributes. Seller must provide GPC with attestations regarding the accuracy of the information as reasonably requested by GPC. Upon GPC’s request, Seller, at Seller’s expense, must cooperate with GPC to obtain compliance with any required documentation or reporting obligation under any federal or state renewable energy plan to certify the Facility or the Environmental Attributes. Additionally, upon GPC’s request, Seller, at Seller’s expense, must use reasonable efforts to obtain verification from a certification authority mutually agreed upon by the Parties that the Environmental Attributes sold to GPC in accordance with this PPA comply with the standards set by the certification authority. Seller is responsible for the costs associated with registering, qualifying, or recording any Environmental Attributes with any applicable Governmental Authority or other certifying or standard-setting body at GPC’s request</w:t>
      </w:r>
      <w:r w:rsidR="00AA529F">
        <w:t>.</w:t>
      </w:r>
      <w:r w:rsidR="00F56443">
        <w:t xml:space="preserve"> </w:t>
      </w:r>
      <w:r w:rsidR="002577A1">
        <w:t xml:space="preserve"> </w:t>
      </w:r>
      <w:r>
        <w:t>GPC will have the right to disclose the information publicly or to any third party, without Seller’s prior consent, as reasonably required in connection with the operation of GPC’s business, including disclosures: (i) to any Person that purchases the Environmental Attributes from GPC; (ii) to any Governmental Authority; (iii) to any auditor or any Person that certifies or sets standards with respect to Environmental Attributes; or (iv) as necessary for GPC to defend, verify, or substantiate its ownership of the Environmental Attributes.</w:t>
      </w:r>
    </w:p>
    <w:p w:rsidRPr="005618E3" w:rsidR="008526A3" w:rsidP="00C23FEE" w:rsidRDefault="00393623" w14:paraId="0C3DDA9F" w14:textId="4531723C">
      <w:pPr>
        <w:pStyle w:val="zGTC04"/>
        <w:ind w:hanging="450"/>
      </w:pPr>
      <w:r>
        <w:t>If</w:t>
      </w:r>
      <w:r w:rsidRPr="002D0D1E" w:rsidR="002D0D1E">
        <w:t xml:space="preserve"> during the Term a Governmental Authority or certification body establishes an Environmental Attribute applicable to the BESS and the cost for Seller to</w:t>
      </w:r>
      <w:r w:rsidR="007644F7">
        <w:t xml:space="preserve"> </w:t>
      </w:r>
      <w:r w:rsidR="00AA0CC1">
        <w:t>track</w:t>
      </w:r>
      <w:r w:rsidR="007644F7">
        <w:t>,</w:t>
      </w:r>
      <w:r w:rsidRPr="002D0D1E" w:rsidR="002D0D1E">
        <w:t xml:space="preserve"> attest to, register, or verify that Environmental Attribute materially exceeds costs typically incurred </w:t>
      </w:r>
      <w:r w:rsidR="001934CF">
        <w:t>to perform those same</w:t>
      </w:r>
      <w:r w:rsidR="00702AC7">
        <w:t xml:space="preserve"> activities for</w:t>
      </w:r>
      <w:r w:rsidRPr="002D0D1E" w:rsidR="002D0D1E">
        <w:t xml:space="preserve"> RECs, the Parties will negotiate in good faith a mutually agreeable cost-sharing arrangement for </w:t>
      </w:r>
      <w:r w:rsidR="00613224">
        <w:t>BESS-specific</w:t>
      </w:r>
      <w:r w:rsidR="00A05C77">
        <w:t xml:space="preserve"> </w:t>
      </w:r>
      <w:r w:rsidR="00AA0CC1">
        <w:t>tracking</w:t>
      </w:r>
      <w:r w:rsidR="007644F7">
        <w:t xml:space="preserve">, </w:t>
      </w:r>
      <w:r w:rsidR="00A05C77">
        <w:t>attestation,</w:t>
      </w:r>
      <w:r w:rsidR="00F3777D">
        <w:t xml:space="preserve"> registration, or verification costs</w:t>
      </w:r>
      <w:r w:rsidRPr="002D0D1E" w:rsidR="002D0D1E">
        <w:t>.</w:t>
      </w:r>
    </w:p>
    <w:p w:rsidRPr="005618E3" w:rsidR="002D54C4" w:rsidP="00C22140" w:rsidRDefault="008B55A2" w14:paraId="79251F1C" w14:textId="77777777">
      <w:pPr>
        <w:pStyle w:val="zGTC03"/>
        <w:rPr>
          <w:rStyle w:val="DeltaViewInsertion"/>
          <w:vanish/>
          <w:color w:val="auto"/>
          <w:szCs w:val="20"/>
          <w:u w:val="none"/>
          <w:specVanish/>
        </w:rPr>
      </w:pPr>
      <w:r>
        <w:rPr>
          <w:rStyle w:val="DeltaViewInsertion"/>
          <w:color w:val="auto"/>
          <w:u w:val="none"/>
        </w:rPr>
        <w:t>Environmental</w:t>
      </w:r>
      <w:r>
        <w:rPr>
          <w:rStyle w:val="DeltaViewInsertion"/>
          <w:color w:val="auto"/>
          <w:w w:val="0"/>
          <w:szCs w:val="20"/>
          <w:u w:val="none"/>
        </w:rPr>
        <w:t xml:space="preserve"> Compliance Certification.</w:t>
      </w:r>
    </w:p>
    <w:p w:rsidRPr="000D001A" w:rsidR="002D54C4" w:rsidP="002D54C4" w:rsidRDefault="008B55A2" w14:paraId="20275B14" w14:textId="2C7C56CD">
      <w:pPr>
        <w:pStyle w:val="zGNormal"/>
      </w:pPr>
      <w:r>
        <w:t xml:space="preserve"> On each anniversary of the Commercial Operation Date through the end of the Term, Seller </w:t>
      </w:r>
      <w:r w:rsidR="00CF6AFC">
        <w:t>must</w:t>
      </w:r>
      <w:r w:rsidDel="00C257C1">
        <w:t xml:space="preserve"> </w:t>
      </w:r>
      <w:r>
        <w:t xml:space="preserve">provide to GPC an Environmental Compliance certificate in the form of Exhibit </w:t>
      </w:r>
      <w:r w:rsidR="007534BF">
        <w:t>O</w:t>
      </w:r>
      <w:r>
        <w:t xml:space="preserve"> (</w:t>
      </w:r>
      <w:r>
        <w:rPr>
          <w:i/>
        </w:rPr>
        <w:t>Environmental Compliance Certification</w:t>
      </w:r>
      <w:r>
        <w:t>) signed by a duly authorized officer of Seller.</w:t>
      </w:r>
    </w:p>
    <w:p w:rsidRPr="000D001A" w:rsidR="00502E29" w:rsidP="00C22140" w:rsidRDefault="008B55A2" w14:paraId="20DDC2F1" w14:textId="77777777">
      <w:pPr>
        <w:pStyle w:val="zGTC03"/>
        <w:rPr>
          <w:vanish/>
          <w:specVanish/>
        </w:rPr>
      </w:pPr>
      <w:r>
        <w:t xml:space="preserve">Extreme Weather Technical Requirements. </w:t>
      </w:r>
    </w:p>
    <w:p w:rsidRPr="000D001A" w:rsidR="00176636" w:rsidP="00502E29" w:rsidRDefault="008B55A2" w14:paraId="768C65A0" w14:textId="6C2DEF4B">
      <w:pPr>
        <w:pStyle w:val="zGNormal"/>
      </w:pPr>
      <w:r>
        <w:t xml:space="preserve"> Throughout the Term, the Facility will comply with NERC EOP-12-1 (</w:t>
      </w:r>
      <w:r>
        <w:rPr>
          <w:i/>
        </w:rPr>
        <w:t>Extreme Cold Weather Preparedness and Operations</w:t>
      </w:r>
      <w:r>
        <w:t>)</w:t>
      </w:r>
      <w:r w:rsidR="00635D22">
        <w:t xml:space="preserve"> </w:t>
      </w:r>
      <w:r w:rsidRPr="00B3392F" w:rsidR="00635D22">
        <w:t>or successor reliability standard, to the extent applicable, as further described in Section 7.1.1</w:t>
      </w:r>
      <w:r w:rsidRPr="00B3392F" w:rsidR="00836CA1">
        <w:t xml:space="preserve"> (</w:t>
      </w:r>
      <w:r w:rsidRPr="00B3392F" w:rsidR="00836CA1">
        <w:rPr>
          <w:i/>
          <w:iCs/>
        </w:rPr>
        <w:t>Facility Design</w:t>
      </w:r>
      <w:r w:rsidRPr="00B3392F" w:rsidR="00836CA1">
        <w:t>)</w:t>
      </w:r>
      <w:r>
        <w:t>.</w:t>
      </w:r>
    </w:p>
    <w:p w:rsidRPr="000D001A" w:rsidR="00E83922" w:rsidP="00C731BB" w:rsidRDefault="008B55A2" w14:paraId="03238F4F" w14:textId="7451D19F">
      <w:pPr>
        <w:pStyle w:val="zGTC03"/>
      </w:pPr>
      <w:r>
        <w:t xml:space="preserve">Legal Right to Use Renewable Resource Interconnection Facilities and POI. </w:t>
      </w:r>
      <w:r w:rsidRPr="00D5176F">
        <w:rPr>
          <w:b w:val="0"/>
        </w:rPr>
        <w:t>If the Facility is paired with a Renewable Resource, as may be described in Exhibit A (</w:t>
      </w:r>
      <w:r w:rsidRPr="00D5176F">
        <w:rPr>
          <w:b w:val="0"/>
          <w:i/>
        </w:rPr>
        <w:t>Facility Description and Additional Details</w:t>
      </w:r>
      <w:r w:rsidRPr="00D5176F">
        <w:rPr>
          <w:b w:val="0"/>
        </w:rPr>
        <w:t xml:space="preserve">), Seller has, and will maintain throughout the Term, the legal right and entitlement to share the POI with the Renewable Resource and to use all Renewable Resource interconnection facilities, infrastructure, and control systems necessary to deliver BESS output to the POI.  </w:t>
      </w:r>
    </w:p>
    <w:p w:rsidRPr="000D001A" w:rsidR="00736ED5" w:rsidP="00736ED5" w:rsidRDefault="008B55A2" w14:paraId="063D77A2" w14:textId="77777777">
      <w:pPr>
        <w:pStyle w:val="zGTC02"/>
        <w:rPr>
          <w:rFonts w:ascii="Arial" w:hAnsi="Arial" w:cs="Arial"/>
          <w:vanish/>
          <w:specVanish/>
        </w:rPr>
      </w:pPr>
      <w:bookmarkStart w:name="_Toc160749101" w:id="254"/>
      <w:bookmarkStart w:name="_Toc194937463" w:id="255"/>
      <w:bookmarkStart w:name="_Toc174624851" w:id="256"/>
      <w:bookmarkStart w:name="_Toc227451512" w:id="257"/>
      <w:r>
        <w:rPr>
          <w:rFonts w:ascii="Arial" w:hAnsi="Arial" w:cs="Arial"/>
        </w:rPr>
        <w:t>GPC Representations</w:t>
      </w:r>
      <w:r>
        <w:rPr>
          <w:rFonts w:ascii="Arial" w:hAnsi="Arial" w:cs="Arial"/>
          <w:szCs w:val="20"/>
        </w:rPr>
        <w:t>, Warranties, and Covenants</w:t>
      </w:r>
      <w:r>
        <w:rPr>
          <w:rFonts w:ascii="Arial" w:hAnsi="Arial" w:cs="Arial"/>
        </w:rPr>
        <w:t>.</w:t>
      </w:r>
      <w:bookmarkStart w:name="_Toc158593182" w:id="258"/>
      <w:bookmarkStart w:name="_Toc158597461" w:id="259"/>
      <w:bookmarkStart w:name="_Toc158720085" w:id="260"/>
      <w:bookmarkStart w:name="_Toc158722839" w:id="261"/>
      <w:bookmarkStart w:name="_Toc158929370" w:id="262"/>
      <w:bookmarkEnd w:id="254"/>
      <w:bookmarkEnd w:id="255"/>
      <w:bookmarkEnd w:id="256"/>
      <w:bookmarkEnd w:id="257"/>
      <w:bookmarkEnd w:id="258"/>
      <w:bookmarkEnd w:id="259"/>
      <w:bookmarkEnd w:id="260"/>
      <w:bookmarkEnd w:id="261"/>
      <w:bookmarkEnd w:id="262"/>
    </w:p>
    <w:p w:rsidRPr="005618E3" w:rsidR="00736ED5" w:rsidP="00736ED5" w:rsidRDefault="008B55A2" w14:paraId="7F234297" w14:textId="391ABF87">
      <w:pPr>
        <w:pStyle w:val="zGNormal"/>
      </w:pPr>
      <w:r>
        <w:t xml:space="preserve"> GPC makes the following representations, warranties, </w:t>
      </w:r>
      <w:r w:rsidR="00E6189F">
        <w:t>and</w:t>
      </w:r>
      <w:r>
        <w:t xml:space="preserve"> covenants to Seller as </w:t>
      </w:r>
      <w:r w:rsidR="00187DF3">
        <w:t xml:space="preserve">of the Effective Date </w:t>
      </w:r>
      <w:r>
        <w:t>as the basis for the benefits and obligations contained in this PPA:</w:t>
      </w:r>
    </w:p>
    <w:p w:rsidRPr="005618E3" w:rsidR="00736ED5" w:rsidP="00C22140" w:rsidRDefault="008B55A2" w14:paraId="06BE894B" w14:textId="77777777">
      <w:pPr>
        <w:pStyle w:val="zGTC03"/>
        <w:rPr>
          <w:vanish/>
          <w:specVanish/>
        </w:rPr>
      </w:pPr>
      <w:r>
        <w:lastRenderedPageBreak/>
        <w:t>Organization; Facility Ownership; Legal Power and Authority.</w:t>
      </w:r>
    </w:p>
    <w:p w:rsidRPr="005618E3" w:rsidR="00736ED5" w:rsidP="00736ED5" w:rsidRDefault="008B55A2" w14:paraId="56A5C2E8" w14:textId="77777777">
      <w:pPr>
        <w:pStyle w:val="zGNormal"/>
      </w:pPr>
      <w:r>
        <w:rPr>
          <w:b/>
        </w:rPr>
        <w:t xml:space="preserve"> </w:t>
      </w:r>
      <w:r>
        <w:t>GPC is a corporation, duly organized, validly existing, and in good standing under the laws of the state of Georgia, that is qualified to do business in the state of Georgia and has the legal power and authority to own its properties, to carry on its business as now being conducted and to enter into this PPA and carry out the transactions contemplated by this PPA, and perform and fulfill all covenants and obligations on its part to be performed under this PPA.</w:t>
      </w:r>
    </w:p>
    <w:p w:rsidRPr="005618E3" w:rsidR="00736ED5" w:rsidP="00C22140" w:rsidRDefault="008B55A2" w14:paraId="3033351E" w14:textId="77777777">
      <w:pPr>
        <w:pStyle w:val="zGTC03"/>
        <w:rPr>
          <w:vanish/>
          <w:specVanish/>
        </w:rPr>
      </w:pPr>
      <w:r>
        <w:t>Authorization.</w:t>
      </w:r>
    </w:p>
    <w:p w:rsidRPr="00502E29" w:rsidR="00736ED5" w:rsidP="00502E29" w:rsidRDefault="008B55A2" w14:paraId="37899CE3" w14:textId="77777777">
      <w:pPr>
        <w:pStyle w:val="zGNormal"/>
      </w:pPr>
      <w:r>
        <w:t xml:space="preserve"> The execution, delivery, and performance by GPC of this PPA have been duly authorized by all necessary corporate action and does not and will not require any consent or approval of GPC’s board of directors or shareholders other than that already obtained.</w:t>
      </w:r>
    </w:p>
    <w:p w:rsidRPr="005618E3" w:rsidR="00736ED5" w:rsidP="00C22140" w:rsidRDefault="008B55A2" w14:paraId="355473E7" w14:textId="77777777">
      <w:pPr>
        <w:pStyle w:val="zGTC03"/>
        <w:rPr>
          <w:vanish/>
          <w:specVanish/>
        </w:rPr>
      </w:pPr>
      <w:r>
        <w:t>No Conflict or Breach.</w:t>
      </w:r>
    </w:p>
    <w:p w:rsidRPr="000D001A" w:rsidR="00736ED5" w:rsidP="00736ED5" w:rsidRDefault="008B55A2" w14:paraId="03EF2AAE" w14:textId="52327BB4">
      <w:pPr>
        <w:pStyle w:val="zGNormal"/>
      </w:pPr>
      <w:r>
        <w:rPr>
          <w:b/>
        </w:rPr>
        <w:t xml:space="preserve"> </w:t>
      </w:r>
      <w:r>
        <w:t>Subject to Section 1.3 (</w:t>
      </w:r>
      <w:r>
        <w:rPr>
          <w:i/>
        </w:rPr>
        <w:t>Conditions Subsequent</w:t>
      </w:r>
      <w:r>
        <w:t xml:space="preserve">), the execution and delivery of this PPA, the consummation of the transactions contemplated by this PPA, and the fulfillment of and compliance with this PPA do not and will not conflict with any of the terms, conditions, or provisions of any applicable laws applicable to GPC, or of any partnership agreement, deed of trust, mortgage, loan agreement, other evidence of </w:t>
      </w:r>
      <w:r w:rsidR="00DC3B2A">
        <w:t>I</w:t>
      </w:r>
      <w:r>
        <w:t>ndebtedness, or any other agreement or instrument to which GPC is a party or by which GPC or any of its property is bound, or result in a breach of or a default under any of the foregoing.</w:t>
      </w:r>
    </w:p>
    <w:p w:rsidRPr="000D001A" w:rsidR="00736ED5" w:rsidP="00C22140" w:rsidRDefault="008B55A2" w14:paraId="09450CD0" w14:textId="77777777">
      <w:pPr>
        <w:pStyle w:val="zGTC03"/>
        <w:rPr>
          <w:vanish/>
          <w:specVanish/>
        </w:rPr>
      </w:pPr>
      <w:r>
        <w:t>Legal, Valid, and Binding Obligations.</w:t>
      </w:r>
    </w:p>
    <w:p w:rsidRPr="000D001A" w:rsidR="00736ED5" w:rsidP="00736ED5" w:rsidRDefault="008B55A2" w14:paraId="3909327F" w14:textId="77777777">
      <w:pPr>
        <w:pStyle w:val="zGNormal"/>
      </w:pPr>
      <w:r>
        <w:t xml:space="preserve"> This PPA constitutes the legal, valid, and binding obligation of GPC that is enforceable 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rsidRPr="000D001A" w:rsidR="00736ED5" w:rsidP="00C22140" w:rsidRDefault="008B55A2" w14:paraId="30E30F0D" w14:textId="77777777">
      <w:pPr>
        <w:pStyle w:val="zGTC03"/>
        <w:rPr>
          <w:vanish/>
          <w:specVanish/>
        </w:rPr>
      </w:pPr>
      <w:r>
        <w:t>No Proceeding Impacting Legality, Validity, or Enforceability of this PPA.</w:t>
      </w:r>
    </w:p>
    <w:p w:rsidRPr="000D001A" w:rsidR="00736ED5" w:rsidP="00736ED5" w:rsidRDefault="008B55A2" w14:paraId="11C52231" w14:textId="77777777">
      <w:pPr>
        <w:pStyle w:val="zGNormal"/>
      </w:pPr>
      <w:r>
        <w:t xml:space="preserve"> There is no pending or, to the knowledge of GPC, threatened action or proceeding affecting GPC before any Governmental Authority that purports to materially adversely affect the legality, validity, or enforceability of this PPA or that reasonably could be expected to have a material adverse effect on GPC’s ability to perform its obligations under this PPA.</w:t>
      </w:r>
    </w:p>
    <w:p w:rsidRPr="000D001A" w:rsidR="00736ED5" w:rsidP="00C22140" w:rsidRDefault="008B55A2" w14:paraId="52BD7BAE" w14:textId="77777777">
      <w:pPr>
        <w:pStyle w:val="zGTC03"/>
        <w:rPr>
          <w:vanish/>
          <w:specVanish/>
        </w:rPr>
      </w:pPr>
      <w:r>
        <w:t>Creditworthiness and No Bankruptcy Proceedings.</w:t>
      </w:r>
    </w:p>
    <w:p w:rsidRPr="004B0BBF" w:rsidR="00736ED5" w:rsidP="00736ED5" w:rsidRDefault="008B55A2" w14:paraId="4A3E9FCC" w14:textId="77777777">
      <w:pPr>
        <w:pStyle w:val="zGNormal"/>
      </w:pPr>
      <w:r>
        <w:t xml:space="preserve"> GPC is Creditworthy </w:t>
      </w:r>
      <w:bookmarkStart w:name="_Hlk166663915" w:id="263"/>
      <w:r>
        <w:t>(determined solely by clause (i) of the definition of Creditworthy)</w:t>
      </w:r>
      <w:bookmarkEnd w:id="263"/>
      <w:r>
        <w:t xml:space="preserve"> and there are no bankruptcy proceedings pending or being contemplated by it or, to its knowledge, threatened against it.</w:t>
      </w:r>
    </w:p>
    <w:p w:rsidRPr="000D001A" w:rsidR="002D54C4" w:rsidP="004B0BBF" w:rsidRDefault="008B55A2" w14:paraId="5F8529ED" w14:textId="77777777">
      <w:pPr>
        <w:pStyle w:val="zGTC01"/>
        <w:tabs>
          <w:tab w:val="clear" w:pos="3762"/>
        </w:tabs>
        <w:ind w:left="1080"/>
        <w:rPr>
          <w:szCs w:val="20"/>
        </w:rPr>
      </w:pPr>
      <w:bookmarkStart w:name="_Toc160749102" w:id="264"/>
      <w:bookmarkStart w:name="_Toc194937464" w:id="265"/>
      <w:bookmarkStart w:name="_Toc174624852" w:id="266"/>
      <w:bookmarkStart w:name="_Toc227451513" w:id="267"/>
      <w:r>
        <w:t>Preservation of Terms; Consents; Taxes</w:t>
      </w:r>
      <w:bookmarkEnd w:id="264"/>
      <w:bookmarkEnd w:id="265"/>
      <w:bookmarkEnd w:id="266"/>
      <w:bookmarkEnd w:id="267"/>
    </w:p>
    <w:p w:rsidRPr="000D001A" w:rsidR="002D54C4" w:rsidP="002D54C4" w:rsidRDefault="008B55A2" w14:paraId="12A65A9E" w14:textId="77777777">
      <w:pPr>
        <w:pStyle w:val="zGTC02"/>
        <w:rPr>
          <w:vanish/>
          <w:specVanish/>
        </w:rPr>
      </w:pPr>
      <w:bookmarkStart w:name="_Toc160749103" w:id="268"/>
      <w:bookmarkStart w:name="_Toc194937465" w:id="269"/>
      <w:bookmarkStart w:name="_Toc174624853" w:id="270"/>
      <w:bookmarkStart w:name="_Toc227451514" w:id="271"/>
      <w:r>
        <w:t>Preservation of Terms.</w:t>
      </w:r>
      <w:bookmarkStart w:name="_Toc158593184" w:id="272"/>
      <w:bookmarkStart w:name="_Toc158597463" w:id="273"/>
      <w:bookmarkStart w:name="_Toc158720087" w:id="274"/>
      <w:bookmarkStart w:name="_Toc158722841" w:id="275"/>
      <w:bookmarkStart w:name="_Toc158929372" w:id="276"/>
      <w:bookmarkEnd w:id="268"/>
      <w:bookmarkEnd w:id="269"/>
      <w:bookmarkEnd w:id="270"/>
      <w:bookmarkEnd w:id="271"/>
      <w:bookmarkEnd w:id="272"/>
      <w:bookmarkEnd w:id="273"/>
      <w:bookmarkEnd w:id="274"/>
      <w:bookmarkEnd w:id="275"/>
      <w:bookmarkEnd w:id="276"/>
    </w:p>
    <w:p w:rsidRPr="000D001A" w:rsidR="002D54C4" w:rsidP="002D54C4" w:rsidRDefault="008B55A2" w14:paraId="12EF19FF" w14:textId="77777777">
      <w:pPr>
        <w:pStyle w:val="zGNormal"/>
      </w:pPr>
      <w:r>
        <w:t xml:space="preserve">  Each Party agrees that, subject to Section 3.2 (</w:t>
      </w:r>
      <w:r>
        <w:rPr>
          <w:i/>
        </w:rPr>
        <w:t>Other Approvals</w:t>
      </w:r>
      <w:r>
        <w:t>), except with the prior written consent of the other Party, the Party will not institute or voluntarily cooperate in the institution or conduct of any claim, action, or proceeding before FERC under Section 205, Section 206, or any other portion of the Federal Power Act, or before any other Governmental Authority under any applicable law that is intended to, or could reasonably be expected to, change PPA terms then in effect. Without limiting the preceding sentence, but subject to the terms of this PPA, the Parties agree that the rates for service specified in this PPA will remain in effect for the Term and will not be subject to change through application to FERC in accordance with Section 205 or 206 of the Federal Power Act, or to any other Governmental Authority under any provision of federal law, Georgia state or local law, or any other applicable law, absent written agreement of the Parties.</w:t>
      </w:r>
    </w:p>
    <w:p w:rsidRPr="000D001A" w:rsidR="002D54C4" w:rsidP="00C22140" w:rsidRDefault="008B55A2" w14:paraId="79C500C2" w14:textId="77777777">
      <w:pPr>
        <w:pStyle w:val="zGTC03"/>
        <w:rPr>
          <w:vanish/>
          <w:specVanish/>
        </w:rPr>
      </w:pPr>
      <w:r>
        <w:t>FERC Filings Waiver; Standard of Review.</w:t>
      </w:r>
    </w:p>
    <w:p w:rsidRPr="000D001A" w:rsidR="002D54C4" w:rsidP="002D54C4" w:rsidRDefault="008B55A2" w14:paraId="15BB0A5D" w14:textId="77777777">
      <w:pPr>
        <w:pStyle w:val="zGNormal6"/>
      </w:pPr>
      <w:r>
        <w:t xml:space="preserve"> Each Party waives all rights to submit filings to FERC seeking modification or rescission of this PPA under Section 205 or 206 of the Federal Power Act. </w:t>
      </w:r>
    </w:p>
    <w:p w:rsidRPr="000D001A" w:rsidR="002D54C4" w:rsidP="00236AED" w:rsidRDefault="008B55A2" w14:paraId="43895D3D" w14:textId="77777777">
      <w:pPr>
        <w:pStyle w:val="zGTC04"/>
        <w:numPr>
          <w:ilvl w:val="3"/>
          <w:numId w:val="17"/>
        </w:numPr>
        <w:rPr>
          <w:szCs w:val="20"/>
        </w:rPr>
      </w:pPr>
      <w:r>
        <w:rPr>
          <w:b/>
          <w:szCs w:val="20"/>
        </w:rPr>
        <w:t xml:space="preserve">FERC Standard of Review. </w:t>
      </w:r>
      <w:r>
        <w:rPr>
          <w:szCs w:val="20"/>
        </w:rPr>
        <w:t xml:space="preserve">In any proceeding before FERC involving this PPA, the Parties will request that FERC review all aspects of this PPA under the “public interest” application of the “just and reasonable” standard of review in </w:t>
      </w:r>
      <w:r>
        <w:rPr>
          <w:szCs w:val="20"/>
          <w:u w:val="single"/>
        </w:rPr>
        <w:t>United Gas Pipe Line Co. v. Mobile Gas Service Corp.</w:t>
      </w:r>
      <w:r>
        <w:rPr>
          <w:szCs w:val="20"/>
        </w:rPr>
        <w:t xml:space="preserve">, 350 U.S. 332 (1956) and </w:t>
      </w:r>
      <w:r>
        <w:rPr>
          <w:szCs w:val="20"/>
          <w:u w:val="single"/>
        </w:rPr>
        <w:t>Federal Power Commission v. Sierra Pacific Power Co.</w:t>
      </w:r>
      <w:r>
        <w:rPr>
          <w:szCs w:val="20"/>
        </w:rPr>
        <w:t xml:space="preserve">, 350 U.S. 348 (1956), each clarified by </w:t>
      </w:r>
      <w:r>
        <w:rPr>
          <w:szCs w:val="20"/>
          <w:u w:val="single"/>
        </w:rPr>
        <w:t>NRG Power Marketing LLC v. Maine Public Utility Commission</w:t>
      </w:r>
      <w:r>
        <w:rPr>
          <w:szCs w:val="20"/>
        </w:rPr>
        <w:t xml:space="preserve">, 130 S. Ct. 693 (2010). </w:t>
      </w:r>
    </w:p>
    <w:p w:rsidRPr="000D001A" w:rsidR="002D54C4" w:rsidP="002D54C4" w:rsidRDefault="008B55A2" w14:paraId="07CAC3A2" w14:textId="77777777">
      <w:pPr>
        <w:pStyle w:val="zGTC02"/>
        <w:rPr>
          <w:vanish/>
          <w:specVanish/>
        </w:rPr>
      </w:pPr>
      <w:bookmarkStart w:name="_Toc160749104" w:id="277"/>
      <w:bookmarkStart w:name="_Toc194937466" w:id="278"/>
      <w:bookmarkStart w:name="_Toc174624854" w:id="279"/>
      <w:bookmarkStart w:name="_Toc227451515" w:id="280"/>
      <w:r>
        <w:lastRenderedPageBreak/>
        <w:t>Other Approvals.</w:t>
      </w:r>
      <w:bookmarkStart w:name="_Toc158593185" w:id="281"/>
      <w:bookmarkStart w:name="_Toc158597464" w:id="282"/>
      <w:bookmarkStart w:name="_Toc158720088" w:id="283"/>
      <w:bookmarkStart w:name="_Toc158722842" w:id="284"/>
      <w:bookmarkStart w:name="_Toc158929373" w:id="285"/>
      <w:bookmarkEnd w:id="277"/>
      <w:bookmarkEnd w:id="278"/>
      <w:bookmarkEnd w:id="279"/>
      <w:bookmarkEnd w:id="280"/>
      <w:bookmarkEnd w:id="281"/>
      <w:bookmarkEnd w:id="282"/>
      <w:bookmarkEnd w:id="283"/>
      <w:bookmarkEnd w:id="284"/>
      <w:bookmarkEnd w:id="285"/>
    </w:p>
    <w:p w:rsidRPr="000D001A" w:rsidR="002D54C4" w:rsidP="002D54C4" w:rsidRDefault="008B55A2" w14:paraId="08BFC27F" w14:textId="6A8388CD">
      <w:pPr>
        <w:pStyle w:val="zGNormal"/>
      </w:pPr>
      <w:r>
        <w:t xml:space="preserve"> Throughout the Term, each Party will diligently seek to obtain, </w:t>
      </w:r>
      <w:r w:rsidR="00620ED9">
        <w:t xml:space="preserve">achieve, </w:t>
      </w:r>
      <w:r>
        <w:t>maintain, pursue, or cause to be pursued, comply with, and, as necessary, renew or modify all other Consents required to be possessed by the Party in a manner that is reasonably expected to enable the Party to perform its PPA obligations. Each Party agrees to assist and support the other Party, in a timely manner and to the extent reasonably requested by either Party, in obtaining the Consents. Upon request, a Party will provide a copy of Consents to the requesting Party.</w:t>
      </w:r>
    </w:p>
    <w:p w:rsidRPr="000D001A" w:rsidR="002D54C4" w:rsidP="002D54C4" w:rsidRDefault="008B55A2" w14:paraId="3F952ECB" w14:textId="77777777">
      <w:pPr>
        <w:pStyle w:val="zGTC02"/>
        <w:rPr>
          <w:specVanish/>
        </w:rPr>
      </w:pPr>
      <w:bookmarkStart w:name="_Toc160749105" w:id="286"/>
      <w:bookmarkStart w:name="_Toc194937467" w:id="287"/>
      <w:bookmarkStart w:name="_Toc174624855" w:id="288"/>
      <w:bookmarkStart w:name="_Toc227451516" w:id="289"/>
      <w:r>
        <w:t>Taxes.</w:t>
      </w:r>
      <w:bookmarkStart w:name="_Toc158593186" w:id="290"/>
      <w:bookmarkStart w:name="_Toc158597465" w:id="291"/>
      <w:bookmarkStart w:name="_Toc158720089" w:id="292"/>
      <w:bookmarkStart w:name="_Toc158722843" w:id="293"/>
      <w:bookmarkStart w:name="_Toc158929374" w:id="294"/>
      <w:bookmarkEnd w:id="286"/>
      <w:bookmarkEnd w:id="287"/>
      <w:bookmarkEnd w:id="288"/>
      <w:bookmarkEnd w:id="289"/>
      <w:bookmarkEnd w:id="290"/>
      <w:bookmarkEnd w:id="291"/>
      <w:bookmarkEnd w:id="292"/>
      <w:bookmarkEnd w:id="293"/>
      <w:bookmarkEnd w:id="294"/>
    </w:p>
    <w:p w:rsidRPr="000D001A" w:rsidR="002D54C4" w:rsidP="00C22140" w:rsidRDefault="008B55A2" w14:paraId="59310579" w14:textId="77777777">
      <w:pPr>
        <w:pStyle w:val="zGTC03"/>
        <w:rPr>
          <w:vanish/>
          <w:specVanish/>
        </w:rPr>
      </w:pPr>
      <w:r>
        <w:t>Payment by Seller.</w:t>
      </w:r>
    </w:p>
    <w:p w:rsidRPr="000D001A" w:rsidR="002D54C4" w:rsidP="002D54C4" w:rsidRDefault="008B55A2" w14:paraId="48ABEA18" w14:textId="77777777">
      <w:pPr>
        <w:pStyle w:val="zGNormal"/>
      </w:pPr>
      <w:r>
        <w:rPr>
          <w:b/>
          <w:bCs/>
        </w:rPr>
        <w:t xml:space="preserve"> </w:t>
      </w:r>
      <w:r>
        <w:t>Subject to Section 17.1 (</w:t>
      </w:r>
      <w:r>
        <w:rPr>
          <w:i/>
        </w:rPr>
        <w:t>Change of Law</w:t>
      </w:r>
      <w:r>
        <w:t>), Seller will be responsible for, and must pay, or cause to be paid, all Taxes on or regarding: (i) the Facility, including its development, permitting, design, engineering, procurement, construction, testing, startup, ownership, leasing, financing, operation, and maintenance; and (ii) the production, storage, and delivery of energy and Ancillary Services to be provided to GPC arising, in the case of energy, before the time of Seller’s delivery of energy to GPC at the POI, or, in the case of Ancillary Services, before the time the Ancillary Services are made available to GPC.</w:t>
      </w:r>
    </w:p>
    <w:p w:rsidRPr="000D001A" w:rsidR="002D54C4" w:rsidP="00C22140" w:rsidRDefault="008B55A2" w14:paraId="06406D38" w14:textId="77777777">
      <w:pPr>
        <w:pStyle w:val="zGTC03"/>
        <w:rPr>
          <w:vanish/>
          <w:specVanish/>
        </w:rPr>
      </w:pPr>
      <w:r>
        <w:t>Payment by GPC.</w:t>
      </w:r>
    </w:p>
    <w:p w:rsidRPr="000D001A" w:rsidR="002D54C4" w:rsidP="002D54C4" w:rsidRDefault="008B55A2" w14:paraId="70AAB04B" w14:textId="77777777">
      <w:pPr>
        <w:pStyle w:val="zGNormal"/>
      </w:pPr>
      <w:r>
        <w:t xml:space="preserve"> GPC will pay or cause to be paid all Taxes on or regarding: (i) energy received by GPC arising at and after the time the energy is delivered by Seller to the POI; and (ii) Ancillary Services received by GPC arising at and after the time the Ancillary Services are made available to GPC. The Taxes will include sales, use, excise, or other similar Taxes on the sale to GPC and purchase from Seller of capacity, energy, and Ancillary Services in accordance with this PPA.</w:t>
      </w:r>
    </w:p>
    <w:p w:rsidRPr="000D001A" w:rsidR="002D54C4" w:rsidP="00C22140" w:rsidRDefault="008B55A2" w14:paraId="5F3A1ADD" w14:textId="77777777">
      <w:pPr>
        <w:pStyle w:val="zGTC03"/>
        <w:rPr>
          <w:vanish/>
          <w:specVanish/>
        </w:rPr>
      </w:pPr>
      <w:r>
        <w:t>Efforts to Implement PPA Provisions to Minimize Taxes.</w:t>
      </w:r>
    </w:p>
    <w:p w:rsidRPr="000D001A" w:rsidR="002D54C4" w:rsidP="002D54C4" w:rsidRDefault="008B55A2" w14:paraId="53258699" w14:textId="77777777">
      <w:pPr>
        <w:pStyle w:val="zGNormal"/>
      </w:pPr>
      <w:r>
        <w:rPr>
          <w:b/>
          <w:bCs/>
        </w:rPr>
        <w:t xml:space="preserve"> </w:t>
      </w:r>
      <w:r>
        <w:t xml:space="preserve">Each Party will use reasonable efforts to implement and administer the PPA provisions to minimize Taxes </w:t>
      </w:r>
      <w:bookmarkStart w:name="_Hlk166664116" w:id="295"/>
      <w:r>
        <w:t xml:space="preserve">on the other Party </w:t>
      </w:r>
      <w:bookmarkEnd w:id="295"/>
      <w:r>
        <w:t>so long as neither Party is materially adversely affected by such efforts.</w:t>
      </w:r>
    </w:p>
    <w:p w:rsidRPr="000D001A" w:rsidR="002D54C4" w:rsidP="00C22140" w:rsidRDefault="008B55A2" w14:paraId="61A96E27" w14:textId="77777777">
      <w:pPr>
        <w:pStyle w:val="zGTC03"/>
        <w:rPr>
          <w:vanish/>
          <w:specVanish/>
        </w:rPr>
      </w:pPr>
      <w:r>
        <w:t>GPC Reimbursement or Deduction for Taxes.</w:t>
      </w:r>
    </w:p>
    <w:p w:rsidRPr="005618E3" w:rsidR="002D54C4" w:rsidP="002D54C4" w:rsidRDefault="008B55A2" w14:paraId="3BF3AE74" w14:textId="0C3033A1">
      <w:pPr>
        <w:pStyle w:val="zGNormal"/>
      </w:pPr>
      <w:r>
        <w:t xml:space="preserve"> If Seller is required by law or regulation to remit or pay Taxes that are GPC’s responsibility under this PPA, Seller may include the Taxes in the next Monthly Invoice and GPC will remit payment for the applicable Taxes </w:t>
      </w:r>
      <w:r w:rsidR="00ED1364">
        <w:t xml:space="preserve">on an After-Tax Basis </w:t>
      </w:r>
      <w:r>
        <w:t>in accordance with Part 5 (</w:t>
      </w:r>
      <w:r>
        <w:rPr>
          <w:i/>
        </w:rPr>
        <w:t>Billing and Collections</w:t>
      </w:r>
      <w:r>
        <w:t>). Conversely, if GPC is required by law or regulation to remit or pay Taxes that are Seller’s responsibility under this PPA, GPC may deduct those Taxes from the sums otherwise due to Seller under this PPA on an After-Tax Basis. Any refund associated with the Taxes will be handled in the same manner. Nothing in this PPA will obligate or cause a Party to pay or be liable to pay any Taxes from which the Party is exempt under applicable law.</w:t>
      </w:r>
    </w:p>
    <w:p w:rsidRPr="005618E3" w:rsidR="002D54C4" w:rsidP="004B0BBF" w:rsidRDefault="008B55A2" w14:paraId="0E785B48" w14:textId="77777777">
      <w:pPr>
        <w:pStyle w:val="zGTC01"/>
        <w:tabs>
          <w:tab w:val="clear" w:pos="3762"/>
        </w:tabs>
        <w:ind w:left="1080"/>
      </w:pPr>
      <w:bookmarkStart w:name="_Toc194937468" w:id="296"/>
      <w:bookmarkStart w:name="_Toc174624856" w:id="297"/>
      <w:bookmarkStart w:name="_Toc227451517" w:id="298"/>
      <w:bookmarkStart w:name="_Toc160749106" w:id="299"/>
      <w:r>
        <w:t>Sale and Delivery of Capacity</w:t>
      </w:r>
      <w:bookmarkEnd w:id="296"/>
      <w:bookmarkEnd w:id="297"/>
      <w:bookmarkEnd w:id="298"/>
      <w:r>
        <w:t xml:space="preserve"> </w:t>
      </w:r>
      <w:bookmarkEnd w:id="299"/>
    </w:p>
    <w:p w:rsidRPr="005618E3" w:rsidR="002D54C4" w:rsidP="002D54C4" w:rsidRDefault="008B55A2" w14:paraId="3A52830B" w14:textId="77777777">
      <w:pPr>
        <w:pStyle w:val="zGTC02"/>
        <w:rPr>
          <w:specVanish/>
        </w:rPr>
      </w:pPr>
      <w:bookmarkStart w:name="_Toc156309755" w:id="300"/>
      <w:bookmarkStart w:name="_Toc160749107" w:id="301"/>
      <w:bookmarkStart w:name="_Toc194937469" w:id="302"/>
      <w:bookmarkStart w:name="_Toc174624857" w:id="303"/>
      <w:bookmarkStart w:name="_Toc227451518" w:id="304"/>
      <w:r>
        <w:t>Agreement to Sell and Purchase.</w:t>
      </w:r>
      <w:bookmarkStart w:name="_Toc158593188" w:id="305"/>
      <w:bookmarkStart w:name="_Toc158597467" w:id="306"/>
      <w:bookmarkStart w:name="_Toc158720091" w:id="307"/>
      <w:bookmarkStart w:name="_Toc158722845" w:id="308"/>
      <w:bookmarkStart w:name="_Toc158929376" w:id="309"/>
      <w:bookmarkEnd w:id="300"/>
      <w:bookmarkEnd w:id="301"/>
      <w:bookmarkEnd w:id="302"/>
      <w:bookmarkEnd w:id="303"/>
      <w:bookmarkEnd w:id="304"/>
      <w:bookmarkEnd w:id="305"/>
      <w:bookmarkEnd w:id="306"/>
      <w:bookmarkEnd w:id="307"/>
      <w:bookmarkEnd w:id="308"/>
      <w:bookmarkEnd w:id="309"/>
    </w:p>
    <w:p w:rsidRPr="005618E3" w:rsidR="002D54C4" w:rsidP="00C22140" w:rsidRDefault="008B55A2" w14:paraId="0A7A0515" w14:textId="77777777">
      <w:pPr>
        <w:pStyle w:val="zGTC03"/>
        <w:rPr>
          <w:vanish/>
          <w:specVanish/>
        </w:rPr>
      </w:pPr>
      <w:bookmarkStart w:name="_Toc158593189" w:id="310"/>
      <w:bookmarkStart w:name="_Toc158597468" w:id="311"/>
      <w:bookmarkStart w:name="_Toc158720092" w:id="312"/>
      <w:bookmarkStart w:name="_Toc158722846" w:id="313"/>
      <w:bookmarkStart w:name="_Toc158929377" w:id="314"/>
      <w:bookmarkEnd w:id="310"/>
      <w:bookmarkEnd w:id="311"/>
      <w:bookmarkEnd w:id="312"/>
      <w:bookmarkEnd w:id="313"/>
      <w:bookmarkEnd w:id="314"/>
      <w:r>
        <w:t>Sale and Purchase Obligations During the Term.</w:t>
      </w:r>
    </w:p>
    <w:p w:rsidRPr="00F40F9C" w:rsidR="002D54C4" w:rsidP="002D54C4" w:rsidRDefault="008B55A2" w14:paraId="0621A011" w14:textId="75C0842D">
      <w:pPr>
        <w:pStyle w:val="zGNormal"/>
      </w:pPr>
      <w:r>
        <w:rPr>
          <w:b/>
          <w:bCs/>
        </w:rPr>
        <w:t xml:space="preserve"> </w:t>
      </w:r>
      <w:r>
        <w:t>From the Delivery Commencement Date through the end of the Term, but subject to the terms of this PPA, Seller must sell to GPC: (i) the entire electrical capability of the Facility, net of any Station Service; and (ii) all associated energy storage services and Ancillary Services. The receipt and delivery of energy to the POI includes the transfer to GPC of all Ancillary Services associated with the energy. Seller must make available and provide to GPC all Ancillary Services as instructed by GPC at all power output levels and during periods that the Facility is not actively delivering energy. The Monthly Capacity Payment (subject to the Monthly Capacity Reduction in accordance with Exhibit C (</w:t>
      </w:r>
      <w:r>
        <w:rPr>
          <w:i/>
        </w:rPr>
        <w:t>Monthly Capacity Payments; Monthly Capacity Reductions; AGC Performance Metrics and Requirements</w:t>
      </w:r>
      <w:r>
        <w:t>)</w:t>
      </w:r>
      <w:r w:rsidR="005B0CA3">
        <w:t>)</w:t>
      </w:r>
      <w:r>
        <w:t xml:space="preserve"> is the exclusive compensation owed to Seller for capacity, energy storage services, and Ancillary Services under this PPA. GPC will have full discretion to dispatch the BESS to cause energy to be stored in the BESS or sent to the POI</w:t>
      </w:r>
      <w:r w:rsidR="00A24BA3">
        <w:t xml:space="preserve">, and Seller </w:t>
      </w:r>
      <w:r w:rsidR="00446173">
        <w:t>must</w:t>
      </w:r>
      <w:r w:rsidR="00A24BA3">
        <w:t xml:space="preserve"> maintain throughout the Term GPC’s right to direct Charging Energy and Discharging Energy</w:t>
      </w:r>
      <w:r>
        <w:t>.</w:t>
      </w:r>
    </w:p>
    <w:p w:rsidRPr="00F40F9C" w:rsidR="002D54C4" w:rsidP="00C22140" w:rsidRDefault="008B55A2" w14:paraId="530670CF" w14:textId="77777777">
      <w:pPr>
        <w:pStyle w:val="zGTC03"/>
        <w:rPr>
          <w:vanish/>
          <w:specVanish/>
        </w:rPr>
      </w:pPr>
      <w:r>
        <w:t>Dispatch and Energy Delivery.</w:t>
      </w:r>
    </w:p>
    <w:p w:rsidRPr="00F40F9C" w:rsidR="002D54C4" w:rsidP="002D54C4" w:rsidRDefault="008B55A2" w14:paraId="39229DBA" w14:textId="790F0419">
      <w:pPr>
        <w:pStyle w:val="zGNormal"/>
      </w:pPr>
      <w:r>
        <w:t xml:space="preserve"> GPC </w:t>
      </w:r>
      <w:r w:rsidR="00554EE5">
        <w:t>may</w:t>
      </w:r>
      <w:r>
        <w:t xml:space="preserve"> </w:t>
      </w:r>
      <w:r w:rsidR="008F106D">
        <w:t xml:space="preserve">dispatch the </w:t>
      </w:r>
      <w:r w:rsidR="00680AEC">
        <w:t xml:space="preserve">BESS </w:t>
      </w:r>
      <w:r w:rsidR="00FD3B9E">
        <w:t xml:space="preserve">by </w:t>
      </w:r>
      <w:r>
        <w:t>send</w:t>
      </w:r>
      <w:r w:rsidR="00FD3B9E">
        <w:t>ing</w:t>
      </w:r>
      <w:r>
        <w:t xml:space="preserve"> AGC Setpoint signals</w:t>
      </w:r>
      <w:r w:rsidR="00832D19">
        <w:t xml:space="preserve"> every six seconds</w:t>
      </w:r>
      <w:r w:rsidR="00FD3B9E">
        <w:t xml:space="preserve"> or instructions from the Dispatch </w:t>
      </w:r>
      <w:r w:rsidR="00853E46">
        <w:t>Center</w:t>
      </w:r>
      <w:r w:rsidR="003778FA">
        <w:t>, in each case</w:t>
      </w:r>
      <w:r w:rsidR="00FD729C">
        <w:t xml:space="preserve"> in accordance with the dispatch procedures set forth in Exhibit F (</w:t>
      </w:r>
      <w:r w:rsidRPr="00FD729C" w:rsidR="00FD729C">
        <w:rPr>
          <w:i/>
          <w:iCs/>
        </w:rPr>
        <w:t>Facility Operating and Dispatching Requirements</w:t>
      </w:r>
      <w:r w:rsidR="00FD729C">
        <w:t>)</w:t>
      </w:r>
      <w:r w:rsidR="00A311AA">
        <w:t xml:space="preserve"> </w:t>
      </w:r>
      <w:r w:rsidR="00A311AA">
        <w:lastRenderedPageBreak/>
        <w:t>and</w:t>
      </w:r>
      <w:r w:rsidR="00FD729C">
        <w:t xml:space="preserve"> subject to the Technical Limits and the Interconnection Limit.</w:t>
      </w:r>
      <w:r>
        <w:t xml:space="preserve"> GPC retains full control of energy delivery, whether through AGC or specific directives from GPC, from the BESS.</w:t>
      </w:r>
    </w:p>
    <w:p w:rsidRPr="00F40F9C" w:rsidR="002D54C4" w:rsidP="00C22140" w:rsidRDefault="008B55A2" w14:paraId="0009AAF6" w14:textId="77777777">
      <w:pPr>
        <w:pStyle w:val="zGTC03"/>
        <w:rPr>
          <w:vanish/>
          <w:specVanish/>
        </w:rPr>
      </w:pPr>
      <w:r>
        <w:t>Station Service.</w:t>
      </w:r>
    </w:p>
    <w:p w:rsidRPr="00F40F9C" w:rsidR="002D54C4" w:rsidP="002D54C4" w:rsidRDefault="008B55A2" w14:paraId="0DF0504C" w14:textId="4F9936EB">
      <w:pPr>
        <w:pStyle w:val="zGNormal"/>
      </w:pPr>
      <w:r>
        <w:t xml:space="preserve"> Seller is responsible for all Station Service at Seller’s expense. If the Facility is located within the state of Georgia, Seller must arrange Station Service for the Facility in accordance with the Georgia Territorial Electric Service Act (O.C.G.A. §§ 46-3-1 through 46-3-15). Seller must separately meter Auxiliary Operational Load at all times, and Auxiliary Operational Load will not be netted as part of Charging Energy or Discharging Energy. Seller will be responsible for all costs associated with Station Service</w:t>
      </w:r>
      <w:r w:rsidR="00B85030">
        <w:t>, including Station Service</w:t>
      </w:r>
      <w:r>
        <w:t xml:space="preserve"> used for the operation of equipment (e.g. power conversion stations) during periods when the BESS is not charging or discharging (e.g. idle). </w:t>
      </w:r>
    </w:p>
    <w:p w:rsidRPr="00F40F9C" w:rsidR="002D54C4" w:rsidP="00C22140" w:rsidRDefault="008B55A2" w14:paraId="57453E8A" w14:textId="77777777">
      <w:pPr>
        <w:pStyle w:val="zGTC03"/>
        <w:rPr>
          <w:vanish/>
          <w:specVanish/>
        </w:rPr>
      </w:pPr>
      <w:r>
        <w:t>Delivery of Energy; Risk of Loss; Balancing Services.</w:t>
      </w:r>
    </w:p>
    <w:p w:rsidRPr="00F40F9C" w:rsidR="002D54C4" w:rsidP="002D54C4" w:rsidRDefault="008B55A2" w14:paraId="167D0DD8" w14:textId="33C7CDFD">
      <w:pPr>
        <w:pStyle w:val="zGNormal"/>
      </w:pPr>
      <w:r>
        <w:t xml:space="preserve"> Seller must </w:t>
      </w:r>
      <w:r w:rsidR="00024332">
        <w:t xml:space="preserve">(i) ensure the </w:t>
      </w:r>
      <w:r w:rsidR="0057730A">
        <w:t>Facili</w:t>
      </w:r>
      <w:r w:rsidR="005E48A2">
        <w:t>ty</w:t>
      </w:r>
      <w:r w:rsidR="00024332">
        <w:t xml:space="preserve"> is </w:t>
      </w:r>
      <w:r w:rsidR="005E48A2">
        <w:t>A</w:t>
      </w:r>
      <w:r w:rsidR="00024332">
        <w:t>vailable in accordance with this PPA</w:t>
      </w:r>
      <w:r w:rsidR="002A3EDC">
        <w:t xml:space="preserve"> and</w:t>
      </w:r>
      <w:r>
        <w:t xml:space="preserve"> </w:t>
      </w:r>
      <w:r w:rsidR="004A2D53">
        <w:t xml:space="preserve">(ii) </w:t>
      </w:r>
      <w:r>
        <w:t xml:space="preserve">subject to </w:t>
      </w:r>
      <w:r>
        <w:rPr>
          <w:rFonts w:eastAsiaTheme="minorHAnsi"/>
          <w:kern w:val="0"/>
        </w:rPr>
        <w:t>GPC’s provision of Charging Energy</w:t>
      </w:r>
      <w:r w:rsidR="007F1941">
        <w:rPr>
          <w:rFonts w:eastAsiaTheme="minorHAnsi"/>
          <w:kern w:val="0"/>
        </w:rPr>
        <w:t xml:space="preserve">, </w:t>
      </w:r>
      <w:r w:rsidR="004A2D53">
        <w:rPr>
          <w:rFonts w:eastAsiaTheme="minorHAnsi"/>
          <w:kern w:val="0"/>
        </w:rPr>
        <w:t>deliver</w:t>
      </w:r>
      <w:r w:rsidR="00D67987">
        <w:rPr>
          <w:rFonts w:eastAsiaTheme="minorHAnsi"/>
          <w:kern w:val="0"/>
        </w:rPr>
        <w:t xml:space="preserve"> </w:t>
      </w:r>
      <w:r w:rsidR="007F1941">
        <w:rPr>
          <w:rFonts w:eastAsiaTheme="minorHAnsi"/>
          <w:kern w:val="0"/>
        </w:rPr>
        <w:t>energy from the Facility to GPC at the POI</w:t>
      </w:r>
      <w:r w:rsidR="00D67987">
        <w:rPr>
          <w:rFonts w:eastAsiaTheme="minorHAnsi"/>
          <w:kern w:val="0"/>
        </w:rPr>
        <w:t xml:space="preserve"> in accordance with GPC’s AGC Setpoint signals or instructions from the Dispatch Center</w:t>
      </w:r>
      <w:r w:rsidR="007F1941">
        <w:rPr>
          <w:rFonts w:eastAsiaTheme="minorHAnsi"/>
          <w:kern w:val="0"/>
        </w:rPr>
        <w:t>. GPC’s provision of Charging Energy is subject at all times to GPC’s discretion</w:t>
      </w:r>
      <w:r>
        <w:rPr>
          <w:rFonts w:eastAsiaTheme="minorHAnsi"/>
          <w:kern w:val="0"/>
        </w:rPr>
        <w:t>.</w:t>
      </w:r>
      <w:r>
        <w:rPr>
          <w:rFonts w:ascii="Segoe UI" w:hAnsi="Segoe UI" w:cs="Segoe UI" w:eastAsiaTheme="minorHAnsi"/>
          <w:kern w:val="0"/>
          <w:sz w:val="18"/>
          <w:szCs w:val="18"/>
        </w:rPr>
        <w:t xml:space="preserve"> </w:t>
      </w:r>
      <w:r>
        <w:t>The risk of loss of: (i) Grid Charging Energy will pass from GPC to Seller at the POI; (ii) Discharging Energy will pass from Seller to GPC at the POI; and (iii) if applicable per Exhibit A (</w:t>
      </w:r>
      <w:r>
        <w:rPr>
          <w:i/>
          <w:iCs/>
        </w:rPr>
        <w:t>Facility Description and Additional Details</w:t>
      </w:r>
      <w:r>
        <w:t>), Renewable Resource Charging Energy will pass</w:t>
      </w:r>
      <w:r w:rsidR="00633133">
        <w:t xml:space="preserve"> from </w:t>
      </w:r>
      <w:r w:rsidR="00E65433">
        <w:t>Renewable Resource Seller</w:t>
      </w:r>
      <w:r>
        <w:t xml:space="preserve"> to Seller at the low side of the Renewable Resource meter</w:t>
      </w:r>
      <w:r w:rsidR="00D05AE6">
        <w:t xml:space="preserve"> or other point of delivery identified in the Renewable Resource PPA</w:t>
      </w:r>
      <w:r>
        <w:t xml:space="preserve">. The Facility must interconnect to the Southern Company Transmission System at the POI and must be situated such that GPC can provide balancing services and direct Grid Charging </w:t>
      </w:r>
      <w:r w:rsidR="00D05AE6">
        <w:t xml:space="preserve">under the Southern OATT </w:t>
      </w:r>
      <w:r>
        <w:t>or Renewable Resource Charging, if applicable per Exhibit A (</w:t>
      </w:r>
      <w:r>
        <w:rPr>
          <w:i/>
        </w:rPr>
        <w:t>Facility Description and Additional Details</w:t>
      </w:r>
      <w:r>
        <w:t>). GPC will be responsible for providing generator balancing services regarding the SBAA and Southern OATT necessary for the receipt of energy in accordance with GPC’s dispatch instructions and for any associated costs.</w:t>
      </w:r>
    </w:p>
    <w:p w:rsidRPr="00F40F9C" w:rsidR="002D54C4" w:rsidP="00C22140" w:rsidRDefault="008B55A2" w14:paraId="5688D356" w14:textId="77777777">
      <w:pPr>
        <w:pStyle w:val="zGTC03"/>
        <w:rPr>
          <w:vanish/>
          <w:specVanish/>
        </w:rPr>
      </w:pPr>
      <w:r>
        <w:t>Unavailability.</w:t>
      </w:r>
    </w:p>
    <w:p w:rsidRPr="00F40F9C" w:rsidR="002D54C4" w:rsidP="00236AED" w:rsidRDefault="008B55A2" w14:paraId="5A20691A" w14:textId="3B7AC301">
      <w:pPr>
        <w:pStyle w:val="zGTC04"/>
        <w:numPr>
          <w:ilvl w:val="3"/>
          <w:numId w:val="15"/>
        </w:numPr>
      </w:pPr>
      <w:r>
        <w:rPr>
          <w:b/>
          <w:bCs/>
        </w:rPr>
        <w:t xml:space="preserve"> </w:t>
      </w:r>
      <w:r>
        <w:t xml:space="preserve">Seller must promptly and accurately communicate to GPC any Facility outage, derate, or other operational limitation via GPC’s data systems and email as specified in the Operating Procedures. </w:t>
      </w:r>
    </w:p>
    <w:p w:rsidRPr="00F40F9C" w:rsidR="002D54C4" w:rsidP="00C22140" w:rsidRDefault="008B55A2" w14:paraId="286CE2A3" w14:textId="77777777">
      <w:pPr>
        <w:pStyle w:val="zGTC03"/>
        <w:rPr>
          <w:vanish/>
          <w:specVanish/>
        </w:rPr>
      </w:pPr>
      <w:r>
        <w:t>GPC’s Dispatch Right for Storage Device Design Capacity and Ancillary Services.</w:t>
      </w:r>
    </w:p>
    <w:p w:rsidRPr="00F40F9C" w:rsidR="002D54C4" w:rsidP="002D54C4" w:rsidRDefault="00B15D8F" w14:paraId="743F5909" w14:textId="244C518D">
      <w:pPr>
        <w:pStyle w:val="zGNormal"/>
      </w:pPr>
      <w:r>
        <w:t xml:space="preserve"> </w:t>
      </w:r>
      <w:r w:rsidR="006A167F">
        <w:t>GPC will be entitled to dispatch and receive</w:t>
      </w:r>
      <w:r w:rsidR="005A1E05">
        <w:t>, and if dispatched by GPC in accordance with Section 4.1.2 (</w:t>
      </w:r>
      <w:r w:rsidRPr="00524C53" w:rsidR="005A1E05">
        <w:rPr>
          <w:i/>
          <w:iCs/>
        </w:rPr>
        <w:t>Dispatch and Energy Delivery</w:t>
      </w:r>
      <w:r w:rsidR="005A1E05">
        <w:t>), Seller must</w:t>
      </w:r>
      <w:r w:rsidR="008E5A53">
        <w:t>:</w:t>
      </w:r>
      <w:r w:rsidR="006A167F">
        <w:t xml:space="preserve"> (i)  </w:t>
      </w:r>
      <w:r w:rsidR="00640CAE">
        <w:t>discharge</w:t>
      </w:r>
      <w:r w:rsidR="009331AB">
        <w:t xml:space="preserve"> </w:t>
      </w:r>
      <w:r w:rsidR="006A167F">
        <w:t>the BESS</w:t>
      </w:r>
      <w:r w:rsidR="00D30B6E">
        <w:t xml:space="preserve"> </w:t>
      </w:r>
      <w:r w:rsidR="00637A4C">
        <w:t>in accordance with GPC’s AGC Setpoint signals or other direction</w:t>
      </w:r>
      <w:r w:rsidR="006A167F">
        <w:t xml:space="preserve">, up to the SDDC; and (ii) </w:t>
      </w:r>
      <w:r w:rsidR="009331AB">
        <w:t xml:space="preserve">deliver </w:t>
      </w:r>
      <w:r w:rsidR="00524C53">
        <w:t xml:space="preserve">all </w:t>
      </w:r>
      <w:r w:rsidR="009331AB">
        <w:t xml:space="preserve">capacity, </w:t>
      </w:r>
      <w:r w:rsidR="005F33F4">
        <w:t xml:space="preserve">energy storage services, and </w:t>
      </w:r>
      <w:r w:rsidR="006A167F">
        <w:t>Ancillary Services</w:t>
      </w:r>
      <w:r w:rsidR="003B2E1D">
        <w:t xml:space="preserve">, in each </w:t>
      </w:r>
      <w:r w:rsidR="00B50273">
        <w:t>of subsections (i) and (ii)</w:t>
      </w:r>
      <w:r w:rsidR="003B2E1D">
        <w:t xml:space="preserve"> in accordance with Seller’s delivery obligations </w:t>
      </w:r>
      <w:r w:rsidR="005E4F0F">
        <w:t>under this PPA, including Section 4.1.4 (</w:t>
      </w:r>
      <w:r w:rsidRPr="005E4F0F" w:rsidR="005E4F0F">
        <w:rPr>
          <w:i/>
          <w:iCs/>
        </w:rPr>
        <w:t>Delivery of Energy; Risk of Loss; Balancing Services</w:t>
      </w:r>
      <w:r w:rsidR="005E4F0F">
        <w:t>) and Part 12 (</w:t>
      </w:r>
      <w:r w:rsidRPr="005E4F0F" w:rsidR="005E4F0F">
        <w:rPr>
          <w:i/>
          <w:iCs/>
        </w:rPr>
        <w:t>Energy Dispatch</w:t>
      </w:r>
      <w:r w:rsidR="005E4F0F">
        <w:t>)</w:t>
      </w:r>
      <w:r w:rsidR="006A167F">
        <w:t xml:space="preserve">. </w:t>
      </w:r>
    </w:p>
    <w:p w:rsidRPr="00F40F9C" w:rsidR="00827604" w:rsidP="00C22140" w:rsidRDefault="008B55A2" w14:paraId="3D479599" w14:textId="48A9676D">
      <w:pPr>
        <w:pStyle w:val="zGTC03"/>
      </w:pPr>
      <w:r>
        <w:t>Reserved.</w:t>
      </w:r>
    </w:p>
    <w:p w:rsidRPr="00F40F9C" w:rsidR="002D54C4" w:rsidP="00C22140" w:rsidRDefault="008B55A2" w14:paraId="7E42D4A3" w14:textId="77777777">
      <w:pPr>
        <w:pStyle w:val="zGTC03"/>
        <w:rPr>
          <w:vanish/>
          <w:specVanish/>
        </w:rPr>
      </w:pPr>
      <w:r>
        <w:t>No Sale of Capacity, Energy, or Ancillary Services to a Third Party.</w:t>
      </w:r>
    </w:p>
    <w:p w:rsidRPr="00F40F9C" w:rsidR="002D54C4" w:rsidP="002D54C4" w:rsidRDefault="008B55A2" w14:paraId="64E46B0C" w14:textId="7682B6A5">
      <w:pPr>
        <w:pStyle w:val="zGNormal"/>
      </w:pPr>
      <w:r>
        <w:t xml:space="preserve"> </w:t>
      </w:r>
      <w:r w:rsidR="00741E64">
        <w:t xml:space="preserve">During the Term, </w:t>
      </w:r>
      <w:r>
        <w:t>Seller must not sell any of the capacity, energy, energy storage services, or Ancillary Services associated with the BESS to any Person other than GPC, including the sale of any energy not dispatched</w:t>
      </w:r>
      <w:r>
        <w:rPr>
          <w:b/>
          <w:bCs/>
        </w:rPr>
        <w:t xml:space="preserve"> </w:t>
      </w:r>
      <w:r>
        <w:t>by GPC.</w:t>
      </w:r>
    </w:p>
    <w:p w:rsidRPr="00F40F9C" w:rsidR="002D54C4" w:rsidP="002D54C4" w:rsidRDefault="008B55A2" w14:paraId="29EB92B0" w14:textId="77777777">
      <w:pPr>
        <w:pStyle w:val="zGTC02"/>
        <w:rPr>
          <w:vanish/>
          <w:specVanish/>
        </w:rPr>
      </w:pPr>
      <w:bookmarkStart w:name="_Toc156309756" w:id="315"/>
      <w:bookmarkStart w:name="_Toc160749108" w:id="316"/>
      <w:bookmarkStart w:name="_Toc194937470" w:id="317"/>
      <w:bookmarkStart w:name="_Toc174624858" w:id="318"/>
      <w:bookmarkStart w:name="_Toc227451519" w:id="319"/>
      <w:r>
        <w:t>Calculation of Monthly Capacity Payments.</w:t>
      </w:r>
      <w:bookmarkStart w:name="_Toc158593190" w:id="320"/>
      <w:bookmarkStart w:name="_Toc158597469" w:id="321"/>
      <w:bookmarkStart w:name="_Toc158720093" w:id="322"/>
      <w:bookmarkStart w:name="_Toc158722847" w:id="323"/>
      <w:bookmarkStart w:name="_Toc158929378" w:id="324"/>
      <w:bookmarkEnd w:id="315"/>
      <w:bookmarkEnd w:id="316"/>
      <w:bookmarkEnd w:id="317"/>
      <w:bookmarkEnd w:id="318"/>
      <w:bookmarkEnd w:id="319"/>
      <w:bookmarkEnd w:id="320"/>
      <w:bookmarkEnd w:id="321"/>
      <w:bookmarkEnd w:id="322"/>
      <w:bookmarkEnd w:id="323"/>
      <w:bookmarkEnd w:id="324"/>
    </w:p>
    <w:p w:rsidRPr="00F40F9C" w:rsidR="002D54C4" w:rsidP="002D54C4" w:rsidRDefault="008B55A2" w14:paraId="4D672FEC" w14:textId="6295F41E">
      <w:pPr>
        <w:pStyle w:val="zGNormal"/>
      </w:pPr>
      <w:r>
        <w:t xml:space="preserve"> Subject to the terms of this PPA, GPC will pay Seller a Monthly Capacity Payment calculated in accordance with </w:t>
      </w:r>
      <w:r w:rsidRPr="00314D52" w:rsidR="00314D52">
        <w:rPr>
          <w:iCs/>
        </w:rPr>
        <w:t>Section 1.2</w:t>
      </w:r>
      <w:r w:rsidR="00314D52">
        <w:rPr>
          <w:i/>
        </w:rPr>
        <w:t xml:space="preserve"> (Monthly Capacity Payment</w:t>
      </w:r>
      <w:r w:rsidRPr="00314D52" w:rsidR="00314D52">
        <w:rPr>
          <w:iCs/>
        </w:rPr>
        <w:t xml:space="preserve">) of Exhibit C </w:t>
      </w:r>
      <w:r w:rsidR="00314D52">
        <w:rPr>
          <w:i/>
        </w:rPr>
        <w:t>(</w:t>
      </w:r>
      <w:r w:rsidR="00051D75">
        <w:rPr>
          <w:i/>
        </w:rPr>
        <w:t>Monthly Capacity Payments; Monthly Capacity Reductions; AGC Performance Metrics and Requirements</w:t>
      </w:r>
      <w:r w:rsidRPr="004B0BBF">
        <w:t>)</w:t>
      </w:r>
      <w:r>
        <w:t>, subject to the Monthly Capacity Reduction in accordance with Exhibit C (</w:t>
      </w:r>
      <w:r>
        <w:rPr>
          <w:i/>
        </w:rPr>
        <w:t>Monthly Capacity Payments; Monthly Capacity Reductions; AGC Performance Metrics and Requirements</w:t>
      </w:r>
      <w:r>
        <w:t>). Other than the Monthly Capacity Payments, GPC will not owe Seller any payment or other compensation for the Facility’s capacity, energy storage services, or Ancillary Services.</w:t>
      </w:r>
    </w:p>
    <w:p w:rsidRPr="00F40F9C" w:rsidR="002D54C4" w:rsidP="00C22140" w:rsidRDefault="008B55A2" w14:paraId="0AA63D3D" w14:textId="77777777">
      <w:pPr>
        <w:pStyle w:val="zGTC03"/>
        <w:rPr>
          <w:vanish/>
          <w:specVanish/>
        </w:rPr>
      </w:pPr>
      <w:r>
        <w:t>No Seller Entitlement to Payment or Other Compensation.</w:t>
      </w:r>
      <w:bookmarkStart w:name="_Hlk30413907" w:id="325"/>
    </w:p>
    <w:p w:rsidRPr="004B0BBF" w:rsidR="00747DD0" w:rsidP="00D03660" w:rsidRDefault="008B55A2" w14:paraId="26881219" w14:textId="1EE1545C">
      <w:pPr>
        <w:spacing w:before="120" w:after="0" w:line="240" w:lineRule="auto"/>
        <w:rPr>
          <w:rFonts w:ascii="Arial" w:hAnsi="Arial"/>
          <w:sz w:val="20"/>
        </w:rPr>
      </w:pPr>
      <w:r>
        <w:rPr>
          <w:rFonts w:ascii="Arial" w:hAnsi="Arial"/>
          <w:szCs w:val="20"/>
        </w:rPr>
        <w:t xml:space="preserve"> </w:t>
      </w:r>
      <w:r>
        <w:rPr>
          <w:rFonts w:ascii="Arial" w:hAnsi="Arial"/>
          <w:sz w:val="20"/>
          <w:szCs w:val="20"/>
        </w:rPr>
        <w:t xml:space="preserve">GPC will not owe Seller any payment or other compensation for </w:t>
      </w:r>
      <w:bookmarkEnd w:id="325"/>
      <w:r>
        <w:rPr>
          <w:rFonts w:ascii="Arial" w:hAnsi="Arial"/>
          <w:sz w:val="20"/>
          <w:szCs w:val="20"/>
        </w:rPr>
        <w:t xml:space="preserve">energy losses associated with Round-Trip Efficiency of the BESS. </w:t>
      </w:r>
      <w:r>
        <w:rPr>
          <w:rFonts w:ascii="Arial" w:hAnsi="Arial" w:cs="Arial"/>
          <w:sz w:val="20"/>
          <w:szCs w:val="20"/>
        </w:rPr>
        <w:t>GPC will not owe Seller any payment or other compensation</w:t>
      </w:r>
      <w:r w:rsidR="003B532E">
        <w:rPr>
          <w:rFonts w:ascii="Arial" w:hAnsi="Arial" w:cs="Arial"/>
          <w:sz w:val="20"/>
          <w:szCs w:val="20"/>
        </w:rPr>
        <w:t xml:space="preserve"> under this PPA</w:t>
      </w:r>
      <w:r>
        <w:rPr>
          <w:rFonts w:ascii="Arial" w:hAnsi="Arial" w:cs="Arial"/>
          <w:sz w:val="20"/>
          <w:szCs w:val="20"/>
        </w:rPr>
        <w:t xml:space="preserve"> for energy generated by the Renewable Resource, if applicable, and delivered directly to the POI or the BESS.</w:t>
      </w:r>
      <w:r w:rsidR="00684B63">
        <w:rPr>
          <w:rFonts w:ascii="Arial" w:hAnsi="Arial" w:cs="Arial"/>
          <w:sz w:val="20"/>
          <w:szCs w:val="20"/>
        </w:rPr>
        <w:t xml:space="preserve"> </w:t>
      </w:r>
      <w:r w:rsidR="00684B63">
        <w:rPr>
          <w:rFonts w:ascii="Arial" w:hAnsi="Arial" w:cs="Arial"/>
          <w:sz w:val="20"/>
          <w:szCs w:val="20"/>
        </w:rPr>
        <w:lastRenderedPageBreak/>
        <w:t xml:space="preserve">GPC </w:t>
      </w:r>
      <w:r w:rsidR="00AB0029">
        <w:rPr>
          <w:rFonts w:ascii="Arial" w:hAnsi="Arial" w:cs="Arial"/>
          <w:sz w:val="20"/>
          <w:szCs w:val="20"/>
        </w:rPr>
        <w:t>retains</w:t>
      </w:r>
      <w:r w:rsidR="004F6C31">
        <w:rPr>
          <w:rFonts w:ascii="Arial" w:hAnsi="Arial" w:cs="Arial"/>
          <w:sz w:val="20"/>
          <w:szCs w:val="20"/>
        </w:rPr>
        <w:t xml:space="preserve"> sole title to energy delivered to the Point of Delivery under the Renewable Resource PPA and the Charging Energy delivered to the BESS.</w:t>
      </w:r>
    </w:p>
    <w:p w:rsidRPr="00F40F9C" w:rsidR="003F1644" w:rsidP="00C731BB" w:rsidRDefault="008B55A2" w14:paraId="4D2B00C1" w14:textId="77777777">
      <w:pPr>
        <w:pStyle w:val="zGTC02"/>
        <w:rPr>
          <w:vanish/>
          <w:specVanish/>
        </w:rPr>
      </w:pPr>
      <w:bookmarkStart w:name="_Toc194937471" w:id="326"/>
      <w:bookmarkStart w:name="_Toc227451520" w:id="327"/>
      <w:r>
        <w:t>Paired Renewable Resource.</w:t>
      </w:r>
      <w:bookmarkEnd w:id="326"/>
      <w:bookmarkEnd w:id="327"/>
    </w:p>
    <w:p w:rsidRPr="00F40F9C" w:rsidR="003F1644" w:rsidP="003F1644" w:rsidRDefault="008B55A2" w14:paraId="05C8C462" w14:textId="77777777">
      <w:pPr>
        <w:pStyle w:val="zGNormal"/>
      </w:pPr>
      <w:r>
        <w:t xml:space="preserve"> This Section 4.3 is applicable if the Facility is paired with a Renewable Resource. </w:t>
      </w:r>
    </w:p>
    <w:p w:rsidRPr="00F40F9C" w:rsidR="003F1644" w:rsidP="000907B6" w:rsidRDefault="008B55A2" w14:paraId="02229608" w14:textId="77777777">
      <w:pPr>
        <w:pStyle w:val="zGTC03"/>
        <w:numPr>
          <w:ilvl w:val="2"/>
          <w:numId w:val="28"/>
        </w:numPr>
        <w:rPr>
          <w:vanish/>
          <w:specVanish/>
        </w:rPr>
      </w:pPr>
      <w:r>
        <w:t>BESS with Renewable Resource.</w:t>
      </w:r>
    </w:p>
    <w:p w:rsidRPr="005B24CF" w:rsidR="003F1644" w:rsidP="003F1644" w:rsidRDefault="008B55A2" w14:paraId="03E26DC1" w14:textId="2BAA5E96">
      <w:pPr>
        <w:pStyle w:val="zGNormal"/>
      </w:pPr>
      <w:r>
        <w:t xml:space="preserve"> Seller has elected to pair the BESS with the Renewable Resource and represents Renewable Resource Seller has agreed to: (i) allow Seller to use the POI and Renewable Resource interconnection facilities, equipment, and other infrastructure necessary for GPC to dispatch energy from the Renewable Resource to or from the POI; and (ii) allow GPC to dispatch Renewable Resource Charging Energy to the BESS. </w:t>
      </w:r>
      <w:r w:rsidR="005B4510">
        <w:t xml:space="preserve">Seller must diligently coordinate </w:t>
      </w:r>
      <w:r w:rsidR="003254D6">
        <w:t xml:space="preserve">with Renewable Resource Seller all activities necessary for </w:t>
      </w:r>
      <w:r w:rsidR="00CC0066">
        <w:t>delivery of Renewable Resource Charging Energy to the BESS in accordance with GPC’s dispatch instructions under the Renewable Resource PPA and this PPA.</w:t>
      </w:r>
    </w:p>
    <w:p w:rsidRPr="005B24CF" w:rsidR="003F1644" w:rsidP="000907B6" w:rsidRDefault="008B55A2" w14:paraId="2099251D" w14:textId="77777777">
      <w:pPr>
        <w:pStyle w:val="zGTC03"/>
        <w:numPr>
          <w:ilvl w:val="2"/>
          <w:numId w:val="28"/>
        </w:numPr>
        <w:rPr>
          <w:vanish/>
          <w:specVanish/>
        </w:rPr>
      </w:pPr>
      <w:r>
        <w:t>Effect of Amended PPA Between GPC and Renewable Resource Seller.</w:t>
      </w:r>
    </w:p>
    <w:p w:rsidRPr="001B5CE9" w:rsidR="003F1644" w:rsidP="0045704A" w:rsidRDefault="008B55A2" w14:paraId="2E318326" w14:textId="6EE01701">
      <w:pPr>
        <w:pStyle w:val="zGNormal6"/>
      </w:pPr>
      <w:r>
        <w:rPr>
          <w:b/>
          <w:bCs/>
        </w:rPr>
        <w:t xml:space="preserve"> </w:t>
      </w:r>
      <w:r>
        <w:t xml:space="preserve">Despite any term of the Renewable Resource PPA, as between GPC and Seller: (i) the Renewable Resource PPA does not alter Seller’s obligations to GPC or GPC’s rights against Seller; and (ii) Seller remains primarily liable to GPC for all Seller’s PPA obligations to the fullest extent allowed by applicable law. </w:t>
      </w:r>
      <w:r>
        <w:rPr>
          <w:highlight w:val="yellow"/>
        </w:rPr>
        <w:t>[</w:t>
      </w:r>
      <w:r>
        <w:rPr>
          <w:b/>
          <w:bCs/>
          <w:highlight w:val="yellow"/>
          <w:u w:val="single"/>
        </w:rPr>
        <w:t>Note to Bidders</w:t>
      </w:r>
      <w:r>
        <w:rPr>
          <w:b/>
          <w:bCs/>
          <w:highlight w:val="yellow"/>
        </w:rPr>
        <w:t>:</w:t>
      </w:r>
      <w:r>
        <w:rPr>
          <w:highlight w:val="yellow"/>
        </w:rPr>
        <w:t xml:space="preserve"> Additional requirements may be added based on the applicable Renewable Resource PPA amendment between GPC and Renewable Resource Seller</w:t>
      </w:r>
      <w:r w:rsidR="001964C5">
        <w:rPr>
          <w:highlight w:val="yellow"/>
        </w:rPr>
        <w:t>, if applicable because Bidder proposed to pair the BESS with an existing Renewable Resource</w:t>
      </w:r>
      <w:r>
        <w:rPr>
          <w:highlight w:val="yellow"/>
        </w:rPr>
        <w:t>.]</w:t>
      </w:r>
    </w:p>
    <w:p w:rsidRPr="005618E3" w:rsidR="002D54C4" w:rsidP="004B0BBF" w:rsidRDefault="008B55A2" w14:paraId="3C81072F" w14:textId="77777777">
      <w:pPr>
        <w:pStyle w:val="zGTC01"/>
        <w:tabs>
          <w:tab w:val="clear" w:pos="3762"/>
        </w:tabs>
        <w:ind w:left="1080"/>
        <w:rPr>
          <w:rFonts w:eastAsia="PMingLiU"/>
          <w:specVanish/>
        </w:rPr>
      </w:pPr>
      <w:bookmarkStart w:name="_Toc156309758" w:id="328"/>
      <w:bookmarkStart w:name="_Toc160749109" w:id="329"/>
      <w:bookmarkStart w:name="_Toc194937472" w:id="330"/>
      <w:bookmarkStart w:name="_Toc174624859" w:id="331"/>
      <w:bookmarkStart w:name="_Toc227451521" w:id="332"/>
      <w:r>
        <w:t>Billing and Collections</w:t>
      </w:r>
      <w:bookmarkEnd w:id="328"/>
      <w:bookmarkEnd w:id="329"/>
      <w:bookmarkEnd w:id="330"/>
      <w:bookmarkEnd w:id="331"/>
      <w:bookmarkEnd w:id="332"/>
    </w:p>
    <w:p w:rsidRPr="005618E3" w:rsidR="002D54C4" w:rsidP="002D54C4" w:rsidRDefault="008B55A2" w14:paraId="3CFD6503" w14:textId="77777777">
      <w:pPr>
        <w:pStyle w:val="zGTC02"/>
        <w:rPr>
          <w:specVanish/>
        </w:rPr>
      </w:pPr>
      <w:bookmarkStart w:name="_Toc160749110" w:id="333"/>
      <w:bookmarkStart w:name="_Toc194937473" w:id="334"/>
      <w:bookmarkStart w:name="_Toc174624860" w:id="335"/>
      <w:bookmarkStart w:name="_Toc227451522" w:id="336"/>
      <w:r>
        <w:t>Capacity Billing and Payment.</w:t>
      </w:r>
      <w:bookmarkStart w:name="_Toc158593192" w:id="337"/>
      <w:bookmarkStart w:name="_Toc158597471" w:id="338"/>
      <w:bookmarkStart w:name="_Toc158720095" w:id="339"/>
      <w:bookmarkStart w:name="_Toc158722849" w:id="340"/>
      <w:bookmarkStart w:name="_Toc158929379" w:id="341"/>
      <w:bookmarkEnd w:id="333"/>
      <w:bookmarkEnd w:id="334"/>
      <w:bookmarkEnd w:id="335"/>
      <w:bookmarkEnd w:id="336"/>
      <w:bookmarkEnd w:id="337"/>
      <w:bookmarkEnd w:id="338"/>
      <w:bookmarkEnd w:id="339"/>
      <w:bookmarkEnd w:id="340"/>
      <w:bookmarkEnd w:id="341"/>
    </w:p>
    <w:p w:rsidRPr="005618E3" w:rsidR="002D54C4" w:rsidP="00C22140" w:rsidRDefault="008B55A2" w14:paraId="6018F875" w14:textId="77777777">
      <w:pPr>
        <w:pStyle w:val="zGTC03"/>
        <w:rPr>
          <w:vanish/>
          <w:specVanish/>
        </w:rPr>
      </w:pPr>
      <w:r>
        <w:t>Seller Invoices.</w:t>
      </w:r>
    </w:p>
    <w:p w:rsidRPr="00F40F9C" w:rsidR="002D54C4" w:rsidP="00D03660" w:rsidRDefault="008B55A2" w14:paraId="39008E93" w14:textId="4AB15A12">
      <w:pPr>
        <w:pStyle w:val="zGNormal"/>
      </w:pPr>
      <w:r>
        <w:rPr>
          <w:b/>
          <w:bCs/>
        </w:rPr>
        <w:t xml:space="preserve"> </w:t>
      </w:r>
      <w:r>
        <w:t>Subject to Section 5.2 (</w:t>
      </w:r>
      <w:r>
        <w:rPr>
          <w:i/>
        </w:rPr>
        <w:t>Billing Disputes and Final Accounting</w:t>
      </w:r>
      <w:r>
        <w:t>), by no later than</w:t>
      </w:r>
      <w:r>
        <w:rPr>
          <w:vertAlign w:val="superscript"/>
        </w:rPr>
        <w:t xml:space="preserve"> </w:t>
      </w:r>
      <w:r>
        <w:t>the 10</w:t>
      </w:r>
      <w:r w:rsidRPr="008E3C7F">
        <w:rPr>
          <w:vertAlign w:val="superscript"/>
        </w:rPr>
        <w:t>th</w:t>
      </w:r>
      <w:r>
        <w:t xml:space="preserve"> Day of each Month (commencing with the first Month after the Delivery Commencement Date), Seller must send to GPC an invoice stating the Monthly Capacity Payment</w:t>
      </w:r>
      <w:r w:rsidR="004C4022">
        <w:t xml:space="preserve"> for the immediately preceding Month (“</w:t>
      </w:r>
      <w:r w:rsidR="004C4022">
        <w:rPr>
          <w:b/>
          <w:bCs/>
        </w:rPr>
        <w:t>Monthly Invoice</w:t>
      </w:r>
      <w:r w:rsidR="004C4022">
        <w:t>”)</w:t>
      </w:r>
      <w:r>
        <w:t>, including any Monthly Capacity Reduction under Exhibit C (</w:t>
      </w:r>
      <w:r>
        <w:rPr>
          <w:i/>
        </w:rPr>
        <w:t>Monthly Capacity Payments; Monthly Capacity Reductions; AGC Performance Metrics and Requirements</w:t>
      </w:r>
      <w:r>
        <w:t>). If the 10</w:t>
      </w:r>
      <w:r w:rsidRPr="00461A0F">
        <w:rPr>
          <w:vertAlign w:val="superscript"/>
        </w:rPr>
        <w:t>th</w:t>
      </w:r>
      <w:r w:rsidRPr="004B0BBF">
        <w:rPr>
          <w:vertAlign w:val="superscript"/>
        </w:rPr>
        <w:t xml:space="preserve"> </w:t>
      </w:r>
      <w:r>
        <w:t>Day is not a Business Day, Seller must send to GPC the applicable Monthly Invoice by no later than the Business Day succeeding the 10</w:t>
      </w:r>
      <w:r w:rsidRPr="004B0BBF">
        <w:rPr>
          <w:vertAlign w:val="superscript"/>
        </w:rPr>
        <w:t xml:space="preserve">th </w:t>
      </w:r>
      <w:r>
        <w:t>Day. The invoice must also specify any other payment required to be made by either Party in accordance with this PPA.</w:t>
      </w:r>
    </w:p>
    <w:p w:rsidRPr="00F40F9C" w:rsidR="00E67A71" w:rsidP="00C22140" w:rsidRDefault="00051FD1" w14:paraId="656A70B8" w14:textId="59A8993E">
      <w:pPr>
        <w:pStyle w:val="zGTC03"/>
        <w:rPr>
          <w:vanish/>
          <w:specVanish/>
        </w:rPr>
      </w:pPr>
      <w:r>
        <w:t>Notice of Invoice Adjustment</w:t>
      </w:r>
      <w:r w:rsidR="008B55A2">
        <w:t>.</w:t>
      </w:r>
    </w:p>
    <w:p w:rsidRPr="00F40F9C" w:rsidR="00481BB9" w:rsidP="008A0ADC" w:rsidRDefault="008B55A2" w14:paraId="3F734272" w14:textId="66464F6C">
      <w:pPr>
        <w:pStyle w:val="zGNormalDefinition"/>
      </w:pPr>
      <w:r>
        <w:t xml:space="preserve"> </w:t>
      </w:r>
      <w:r>
        <w:rPr>
          <w:sz w:val="20"/>
          <w:szCs w:val="22"/>
        </w:rPr>
        <w:t>By no later than the 10</w:t>
      </w:r>
      <w:r w:rsidRPr="00461A0F">
        <w:rPr>
          <w:sz w:val="20"/>
          <w:szCs w:val="22"/>
          <w:vertAlign w:val="superscript"/>
        </w:rPr>
        <w:t>th</w:t>
      </w:r>
      <w:r>
        <w:rPr>
          <w:sz w:val="20"/>
          <w:szCs w:val="22"/>
        </w:rPr>
        <w:t xml:space="preserve"> Business Day of each Month (commencing with the first Month after the Delivery Commencement Date), GPC will provide Seller notice of a</w:t>
      </w:r>
      <w:r>
        <w:rPr>
          <w:rFonts w:cs="Arial"/>
          <w:sz w:val="20"/>
          <w:szCs w:val="22"/>
        </w:rPr>
        <w:t xml:space="preserve">ny amount that must be deducted from amounts owed by GPC to Seller, including, if applicable, any Monthly Capacity Reduction for the immediately preceding Month or annual true-up. </w:t>
      </w:r>
      <w:r>
        <w:rPr>
          <w:sz w:val="20"/>
          <w:szCs w:val="22"/>
        </w:rPr>
        <w:t>If</w:t>
      </w:r>
      <w:r>
        <w:rPr>
          <w:sz w:val="20"/>
          <w:szCs w:val="22"/>
          <w:vertAlign w:val="superscript"/>
        </w:rPr>
        <w:t xml:space="preserve"> </w:t>
      </w:r>
      <w:r>
        <w:rPr>
          <w:sz w:val="20"/>
          <w:szCs w:val="22"/>
        </w:rPr>
        <w:t>the 10</w:t>
      </w:r>
      <w:r w:rsidRPr="004B0BBF">
        <w:rPr>
          <w:sz w:val="20"/>
          <w:vertAlign w:val="superscript"/>
        </w:rPr>
        <w:t>th</w:t>
      </w:r>
      <w:r>
        <w:rPr>
          <w:sz w:val="20"/>
          <w:szCs w:val="22"/>
        </w:rPr>
        <w:t xml:space="preserve"> Day is not a Business Day, GPC will send Seller the applicable notice by no later than the Business Day after</w:t>
      </w:r>
      <w:r>
        <w:rPr>
          <w:sz w:val="20"/>
          <w:szCs w:val="22"/>
          <w:vertAlign w:val="superscript"/>
        </w:rPr>
        <w:t xml:space="preserve"> </w:t>
      </w:r>
      <w:r>
        <w:rPr>
          <w:sz w:val="20"/>
          <w:szCs w:val="22"/>
        </w:rPr>
        <w:t>the 10</w:t>
      </w:r>
      <w:r w:rsidRPr="004B0BBF">
        <w:rPr>
          <w:sz w:val="20"/>
          <w:vertAlign w:val="superscript"/>
        </w:rPr>
        <w:t>th</w:t>
      </w:r>
      <w:r>
        <w:rPr>
          <w:sz w:val="20"/>
          <w:szCs w:val="22"/>
        </w:rPr>
        <w:t xml:space="preserve"> Day. </w:t>
      </w:r>
      <w:r w:rsidR="00057370">
        <w:rPr>
          <w:sz w:val="20"/>
          <w:szCs w:val="22"/>
        </w:rPr>
        <w:t xml:space="preserve">After receipt of GPC’s notice, </w:t>
      </w:r>
      <w:r w:rsidR="00B15FF6">
        <w:rPr>
          <w:sz w:val="20"/>
          <w:szCs w:val="22"/>
        </w:rPr>
        <w:t>Seller must provide an appropriately adjusted Monthly Invoice.</w:t>
      </w:r>
      <w:r>
        <w:rPr>
          <w:rFonts w:cs="Arial"/>
          <w:sz w:val="20"/>
          <w:szCs w:val="22"/>
        </w:rPr>
        <w:t xml:space="preserve"> </w:t>
      </w:r>
      <w:r>
        <w:rPr>
          <w:sz w:val="20"/>
          <w:szCs w:val="22"/>
        </w:rPr>
        <w:t xml:space="preserve"> </w:t>
      </w:r>
    </w:p>
    <w:p w:rsidRPr="00F40F9C" w:rsidR="002D54C4" w:rsidP="00C22140" w:rsidRDefault="008B55A2" w14:paraId="43C8F611" w14:textId="77777777">
      <w:pPr>
        <w:pStyle w:val="zGTC03"/>
        <w:rPr>
          <w:vanish/>
          <w:specVanish/>
        </w:rPr>
      </w:pPr>
      <w:r>
        <w:t>GPC Invoice Payments.</w:t>
      </w:r>
    </w:p>
    <w:p w:rsidRPr="00F40F9C" w:rsidR="00AC2A42" w:rsidP="00CF2143" w:rsidRDefault="008B55A2" w14:paraId="0F94BE2C" w14:textId="146ADF06">
      <w:pPr>
        <w:pStyle w:val="zGNormal"/>
      </w:pPr>
      <w:r>
        <w:t xml:space="preserve"> GPC will pay all Monthly Invoices on or before the 20</w:t>
      </w:r>
      <w:r w:rsidRPr="003576EC">
        <w:rPr>
          <w:vertAlign w:val="superscript"/>
        </w:rPr>
        <w:t>th</w:t>
      </w:r>
      <w:r>
        <w:t xml:space="preserve"> Day after GPC’s receipt of the Monthly Invoice. If the 20</w:t>
      </w:r>
      <w:r w:rsidRPr="003576EC">
        <w:rPr>
          <w:vertAlign w:val="superscript"/>
        </w:rPr>
        <w:t>th</w:t>
      </w:r>
      <w:r>
        <w:t xml:space="preserve"> Day is not a Business Day, then GPC may pay the Monthly Invoice by the Business Day succeeding the 20</w:t>
      </w:r>
      <w:r w:rsidRPr="004B0BBF">
        <w:t>th</w:t>
      </w:r>
      <w:r>
        <w:t xml:space="preserve"> Day. Subject to Sections 5.1.4 (</w:t>
      </w:r>
      <w:r>
        <w:rPr>
          <w:i/>
        </w:rPr>
        <w:t>Net Payment or Net Bill</w:t>
      </w:r>
      <w:r>
        <w:t>) and 5.2 (</w:t>
      </w:r>
      <w:r>
        <w:rPr>
          <w:i/>
        </w:rPr>
        <w:t>Billing</w:t>
      </w:r>
      <w:r>
        <w:rPr>
          <w:i/>
          <w:iCs/>
        </w:rPr>
        <w:t xml:space="preserve"> Disputes</w:t>
      </w:r>
      <w:r>
        <w:rPr>
          <w:i/>
        </w:rPr>
        <w:t xml:space="preserve"> and Final Accounting</w:t>
      </w:r>
      <w:r>
        <w:t>), GPC will pay Seller in accordance with the Monthly Invoice by the due date in immediately available funds through wire transfer of funds to an account designated by Seller, or other means acceptable to Seller. Interest on unpaid amounts will accrue from the date the payment was due at a rate equal to the Interest Rate. Each Monthly Invoice will contain a statement explaining in reasonable detail how the invoice was calculated in accordance with Section 4.2 (</w:t>
      </w:r>
      <w:r>
        <w:rPr>
          <w:i/>
        </w:rPr>
        <w:t>Calculation of Monthly Capacity Payments</w:t>
      </w:r>
      <w:r>
        <w:t xml:space="preserve">). </w:t>
      </w:r>
    </w:p>
    <w:p w:rsidRPr="00F40F9C" w:rsidR="008A0ADC" w:rsidP="00C22140" w:rsidRDefault="008B55A2" w14:paraId="58506936" w14:textId="77777777">
      <w:pPr>
        <w:pStyle w:val="zGTC03"/>
        <w:rPr>
          <w:rFonts w:eastAsia="PMingLiU"/>
          <w:vanish/>
          <w:specVanish/>
        </w:rPr>
      </w:pPr>
      <w:r>
        <w:t>Net Payment or Net Bill.</w:t>
      </w:r>
    </w:p>
    <w:p w:rsidRPr="005618E3" w:rsidR="002D54C4" w:rsidP="008A0ADC" w:rsidRDefault="008B55A2" w14:paraId="1FE1248C" w14:textId="69729D9C">
      <w:pPr>
        <w:pStyle w:val="zGNormal"/>
        <w:rPr>
          <w:rFonts w:eastAsia="PMingLiU"/>
          <w:specVanish/>
        </w:rPr>
      </w:pPr>
      <w:r>
        <w:t xml:space="preserve"> GPC may provide a net payment or net bill, whichever is applicable, that consolidates amounts owing to Seller with amounts owing to GPC</w:t>
      </w:r>
      <w:r w:rsidR="005A57E5">
        <w:t xml:space="preserve"> under this PPA</w:t>
      </w:r>
      <w:r>
        <w:t xml:space="preserve">. </w:t>
      </w:r>
    </w:p>
    <w:p w:rsidRPr="005618E3" w:rsidR="002D54C4" w:rsidP="00151B76" w:rsidRDefault="008B55A2" w14:paraId="1B43BFDD" w14:textId="77777777">
      <w:pPr>
        <w:pStyle w:val="zGTC02"/>
        <w:rPr>
          <w:specVanish/>
        </w:rPr>
      </w:pPr>
      <w:bookmarkStart w:name="_Toc156309760" w:id="342"/>
      <w:bookmarkStart w:name="_Toc160749111" w:id="343"/>
      <w:bookmarkStart w:name="_Toc194937474" w:id="344"/>
      <w:bookmarkStart w:name="_Toc174624861" w:id="345"/>
      <w:bookmarkStart w:name="_Toc227451523" w:id="346"/>
      <w:r>
        <w:t>Billing Disputes and Final Accounting.</w:t>
      </w:r>
      <w:bookmarkStart w:name="_Toc158593193" w:id="347"/>
      <w:bookmarkStart w:name="_Toc158597472" w:id="348"/>
      <w:bookmarkStart w:name="_Toc158720096" w:id="349"/>
      <w:bookmarkStart w:name="_Toc158722850" w:id="350"/>
      <w:bookmarkStart w:name="_Toc158929380" w:id="351"/>
      <w:bookmarkEnd w:id="342"/>
      <w:bookmarkEnd w:id="343"/>
      <w:bookmarkEnd w:id="344"/>
      <w:bookmarkEnd w:id="345"/>
      <w:bookmarkEnd w:id="346"/>
      <w:bookmarkEnd w:id="347"/>
      <w:bookmarkEnd w:id="348"/>
      <w:bookmarkEnd w:id="349"/>
      <w:bookmarkEnd w:id="350"/>
      <w:bookmarkEnd w:id="351"/>
    </w:p>
    <w:p w:rsidRPr="005618E3" w:rsidR="002D54C4" w:rsidP="00C22140" w:rsidRDefault="008B55A2" w14:paraId="1124532F" w14:textId="77777777">
      <w:pPr>
        <w:pStyle w:val="zGTC03"/>
        <w:rPr>
          <w:vanish/>
          <w:specVanish/>
        </w:rPr>
      </w:pPr>
      <w:r>
        <w:lastRenderedPageBreak/>
        <w:t>Payment of Undisputed Amounts.</w:t>
      </w:r>
    </w:p>
    <w:p w:rsidRPr="00F40F9C" w:rsidR="002D54C4" w:rsidP="002D54C4" w:rsidRDefault="008B55A2" w14:paraId="3997FA02" w14:textId="77777777">
      <w:pPr>
        <w:pStyle w:val="zGNormal"/>
      </w:pPr>
      <w:r>
        <w:t xml:space="preserve"> If GPC questions or disputes the amount or propriety of any payment Seller claims to be due under this PPA, GPC will pay Seller any amount not in dispute but may withhold any amount disputed in good faith until after the settlement of the question or contest in accordance with this Section 5.2.</w:t>
      </w:r>
    </w:p>
    <w:p w:rsidRPr="00F40F9C" w:rsidR="002D54C4" w:rsidP="00C22140" w:rsidRDefault="008B55A2" w14:paraId="165EE097" w14:textId="77777777">
      <w:pPr>
        <w:pStyle w:val="zGTC03"/>
        <w:rPr>
          <w:vanish/>
          <w:specVanish/>
        </w:rPr>
      </w:pPr>
      <w:r>
        <w:t>Billing Dispute Notice.</w:t>
      </w:r>
    </w:p>
    <w:p w:rsidRPr="00F40F9C" w:rsidR="002D54C4" w:rsidP="002D54C4" w:rsidRDefault="008B55A2" w14:paraId="50DACDBB" w14:textId="599774D4">
      <w:pPr>
        <w:pStyle w:val="zGNormal"/>
      </w:pPr>
      <w:r>
        <w:t xml:space="preserve"> </w:t>
      </w:r>
      <w:r w:rsidRPr="006666AD" w:rsidR="006666AD">
        <w:rPr>
          <w:rFonts w:asciiTheme="minorHAnsi" w:hAnsiTheme="minorHAnsi" w:eastAsiaTheme="minorHAnsi" w:cstheme="minorBidi"/>
          <w:kern w:val="0"/>
          <w:sz w:val="22"/>
          <w:szCs w:val="22"/>
        </w:rPr>
        <w:t xml:space="preserve"> </w:t>
      </w:r>
      <w:r w:rsidRPr="006666AD" w:rsidR="006666AD">
        <w:t>If GPC question</w:t>
      </w:r>
      <w:r w:rsidR="00AA7ABE">
        <w:t>s</w:t>
      </w:r>
      <w:r w:rsidRPr="006666AD" w:rsidR="006666AD">
        <w:t xml:space="preserve"> or dispute</w:t>
      </w:r>
      <w:r w:rsidR="00AA7ABE">
        <w:t>s</w:t>
      </w:r>
      <w:r w:rsidRPr="006666AD" w:rsidR="006666AD">
        <w:t xml:space="preserve"> the correctness of any invoice charge or credit, GPC must provide notice to Seller containing</w:t>
      </w:r>
      <w:r w:rsidR="004B3BF9">
        <w:t xml:space="preserve"> </w:t>
      </w:r>
      <w:r w:rsidRPr="006666AD" w:rsidR="006666AD">
        <w:t>the amount and basis for GPC’s question or dispute within the time provided in Section 5.2.3 (</w:t>
      </w:r>
      <w:r w:rsidRPr="006666AD" w:rsidR="006666AD">
        <w:rPr>
          <w:i/>
          <w:iCs/>
        </w:rPr>
        <w:t>Time for Permitted Disputes</w:t>
      </w:r>
      <w:r w:rsidRPr="006666AD" w:rsidR="006666AD">
        <w:t>). Upon receipt of notice from GPC, Seller must promptly review the questioned charge or credit and by no later than 30 Days after the date Seller receives GPC’s notice: (i) respond to GPC in writing confirming or denying any error in Seller’s previous determination of amounts owed by GPC; and (ii) if applicable, issue an amended invoice for any payment that GPC is required to make regarding the re-determination. If Seller disagrees with GPC’s question or dispute, Seller’s response must include a reasonably detailed explanation of the basis for Seller’s position, including supporting calculations and documentation. If GPC in good faith disputes Seller’s response or amended invoice, the matter will be a Billing Dispute and resolved in accordance with Part 19 (</w:t>
      </w:r>
      <w:r w:rsidRPr="006666AD" w:rsidR="006666AD">
        <w:rPr>
          <w:i/>
        </w:rPr>
        <w:t>Dispute Resolution</w:t>
      </w:r>
      <w:r w:rsidRPr="006666AD" w:rsidR="006666AD">
        <w:t>).</w:t>
      </w:r>
    </w:p>
    <w:p w:rsidRPr="00F40F9C" w:rsidR="002D54C4" w:rsidP="00C22140" w:rsidRDefault="008B55A2" w14:paraId="751366B5" w14:textId="77777777">
      <w:pPr>
        <w:pStyle w:val="zGTC03"/>
        <w:rPr>
          <w:vanish/>
          <w:specVanish/>
        </w:rPr>
      </w:pPr>
      <w:r>
        <w:t>Time for Permitted Disputes.</w:t>
      </w:r>
    </w:p>
    <w:p w:rsidRPr="005618E3" w:rsidR="002D54C4" w:rsidP="002D54C4" w:rsidRDefault="008B55A2" w14:paraId="04581D8D" w14:textId="50D4E12B">
      <w:pPr>
        <w:pStyle w:val="zGNormal"/>
        <w:rPr>
          <w:rFonts w:eastAsia="PMingLiU"/>
          <w:vanish/>
          <w:specVanish/>
        </w:rPr>
      </w:pPr>
      <w:r>
        <w:t xml:space="preserve"> Seller will have until 90 Days after the date of a Monthly Invoice to: (i) correct the Monthly Invoice for payment due for the Monthly Capacity Payment; and (ii) deliver a corrected Monthly Invoice to GPC. GPC will have until the end of one year after its receipt of any </w:t>
      </w:r>
      <w:r w:rsidR="004F6DB4">
        <w:t xml:space="preserve">Monthly Invoice or </w:t>
      </w:r>
      <w:r>
        <w:t>adjusted Monthly Invoice to dispute the correctness of any charge or credit made to GPC on the invoice. If within the one-year period, GPC has made payment under a</w:t>
      </w:r>
      <w:r w:rsidR="00D5318D">
        <w:t xml:space="preserve"> Monthly Invoice </w:t>
      </w:r>
      <w:r>
        <w:t xml:space="preserve">and later disputes the correctness of the invoice, Seller will not be required to refund any payment received from GPC until the time as it is finally determined that Seller’s </w:t>
      </w:r>
      <w:r w:rsidR="00D5318D">
        <w:t>Monthly Invoice</w:t>
      </w:r>
      <w:r>
        <w:t xml:space="preserve"> was in error.</w:t>
      </w:r>
    </w:p>
    <w:p w:rsidRPr="005618E3" w:rsidR="002D54C4" w:rsidP="002D54C4" w:rsidRDefault="002D54C4" w14:paraId="43725E00" w14:textId="77777777">
      <w:pPr>
        <w:pStyle w:val="zGNormal"/>
      </w:pPr>
    </w:p>
    <w:p w:rsidRPr="005618E3" w:rsidR="002D54C4" w:rsidP="002D54C4" w:rsidRDefault="008B55A2" w14:paraId="158CED2F" w14:textId="77777777">
      <w:pPr>
        <w:pStyle w:val="zGTC02"/>
        <w:rPr>
          <w:vanish/>
          <w:specVanish/>
        </w:rPr>
      </w:pPr>
      <w:bookmarkStart w:name="_Toc156309761" w:id="352"/>
      <w:bookmarkStart w:name="_Toc160749112" w:id="353"/>
      <w:bookmarkStart w:name="_Toc194937475" w:id="354"/>
      <w:bookmarkStart w:name="_Toc174624862" w:id="355"/>
      <w:bookmarkStart w:name="_Toc227451524" w:id="356"/>
      <w:r>
        <w:t>Interest.</w:t>
      </w:r>
      <w:bookmarkStart w:name="_Toc158593194" w:id="357"/>
      <w:bookmarkStart w:name="_Toc158597473" w:id="358"/>
      <w:bookmarkStart w:name="_Toc158720097" w:id="359"/>
      <w:bookmarkStart w:name="_Toc158722851" w:id="360"/>
      <w:bookmarkStart w:name="_Toc158929381" w:id="361"/>
      <w:bookmarkEnd w:id="352"/>
      <w:bookmarkEnd w:id="353"/>
      <w:bookmarkEnd w:id="354"/>
      <w:bookmarkEnd w:id="355"/>
      <w:bookmarkEnd w:id="356"/>
      <w:bookmarkEnd w:id="357"/>
      <w:bookmarkEnd w:id="358"/>
      <w:bookmarkEnd w:id="359"/>
      <w:bookmarkEnd w:id="360"/>
      <w:bookmarkEnd w:id="361"/>
    </w:p>
    <w:p w:rsidRPr="00F40F9C" w:rsidR="002D54C4" w:rsidP="002D54C4" w:rsidRDefault="008B55A2" w14:paraId="5A73ECFA" w14:textId="77777777">
      <w:pPr>
        <w:pStyle w:val="zGNormal"/>
      </w:pPr>
      <w:r>
        <w:t xml:space="preserve"> If either Party does not make a payment required by this PPA when due, then interest at the Interest Rate from the date the overdue payment was due until the overdue payment, together with interest, is paid, will be added to the due payment. If either Party makes a payment in accordance with an invoice that is later determined to have been incorrect, then interest at the Interest Rate from the date the overpayment was made will be added to the overpayment until the overpayment, together with interest, is refunded to the Party. Remittance received by mail, if mail is a means of payment acceptable to a Party owed payment, will be accepted without interest charges if the payment is postmarked on or before the due date. If the due date of any payment falls on a Day other than a Business Day, the next succeeding Business Day will be the last Day on which payment can be postmarked without interest charges being assessed. Despite this Section 5.3, no interest will be paid regarding any Monthly Capacity Reduction except to the extent the applicable reduction or true-up was not correctly calculated or invoiced in accordance with this PPA.</w:t>
      </w:r>
    </w:p>
    <w:p w:rsidRPr="00F40F9C" w:rsidR="002D54C4" w:rsidP="002D54C4" w:rsidRDefault="008B55A2" w14:paraId="2C5728E9" w14:textId="77777777">
      <w:pPr>
        <w:pStyle w:val="zGTC02"/>
        <w:rPr>
          <w:vanish/>
          <w:specVanish/>
        </w:rPr>
      </w:pPr>
      <w:bookmarkStart w:name="_Toc156309762" w:id="362"/>
      <w:bookmarkStart w:name="_Toc160749113" w:id="363"/>
      <w:bookmarkStart w:name="_Toc194937476" w:id="364"/>
      <w:bookmarkStart w:name="_Toc174624863" w:id="365"/>
      <w:bookmarkStart w:name="_Toc227451525" w:id="366"/>
      <w:r>
        <w:t>Billing and Payment Records.</w:t>
      </w:r>
      <w:bookmarkStart w:name="_Toc158593195" w:id="367"/>
      <w:bookmarkStart w:name="_Toc158597474" w:id="368"/>
      <w:bookmarkStart w:name="_Toc158720098" w:id="369"/>
      <w:bookmarkStart w:name="_Toc158722852" w:id="370"/>
      <w:bookmarkStart w:name="_Toc158929382" w:id="371"/>
      <w:bookmarkEnd w:id="362"/>
      <w:bookmarkEnd w:id="363"/>
      <w:bookmarkEnd w:id="364"/>
      <w:bookmarkEnd w:id="365"/>
      <w:bookmarkEnd w:id="366"/>
      <w:bookmarkEnd w:id="367"/>
      <w:bookmarkEnd w:id="368"/>
      <w:bookmarkEnd w:id="369"/>
      <w:bookmarkEnd w:id="370"/>
      <w:bookmarkEnd w:id="371"/>
    </w:p>
    <w:p w:rsidRPr="00F40F9C" w:rsidR="002D54C4" w:rsidP="002D54C4" w:rsidRDefault="008B55A2" w14:paraId="26C93050" w14:textId="62FAAEA3">
      <w:pPr>
        <w:pStyle w:val="zGNormal"/>
      </w:pPr>
      <w:r>
        <w:t xml:space="preserve"> Each Party will, until the end of one year after its receipt of any invoice, make available to the other Party, and each Party may audit, the books and records of the other Party as are necessary for the Party to verify the calculation of the Monthly Capacity Payments</w:t>
      </w:r>
      <w:r w:rsidR="00CC46FD">
        <w:t>,</w:t>
      </w:r>
      <w:r>
        <w:t xml:space="preserve"> any Monthly Capacity Reduction</w:t>
      </w:r>
      <w:r w:rsidR="00CC46FD">
        <w:t>,</w:t>
      </w:r>
      <w:r w:rsidR="00ED0B58">
        <w:t xml:space="preserve"> and any true-up of the Monthly Capacity Payment for the final Month of an Annual Period</w:t>
      </w:r>
      <w:r>
        <w:t xml:space="preserve"> under Exhibit C (</w:t>
      </w:r>
      <w:r>
        <w:rPr>
          <w:i/>
        </w:rPr>
        <w:t>Monthly Capacity Payments; Monthly Capacity Reductions; AGC Performance Metrics and Requirements</w:t>
      </w:r>
      <w:r>
        <w:t>), and any other invoice, charge, or payment demand made concerning this PPA.</w:t>
      </w:r>
    </w:p>
    <w:p w:rsidRPr="00F40F9C" w:rsidR="002D54C4" w:rsidP="004B0BBF" w:rsidRDefault="008B55A2" w14:paraId="0F4F3359" w14:textId="77777777">
      <w:pPr>
        <w:pStyle w:val="zGTC01"/>
        <w:tabs>
          <w:tab w:val="clear" w:pos="3762"/>
        </w:tabs>
        <w:ind w:left="1080"/>
      </w:pPr>
      <w:bookmarkStart w:name="_Toc160749114" w:id="372"/>
      <w:bookmarkStart w:name="_Toc194937477" w:id="373"/>
      <w:bookmarkStart w:name="_Toc174624864" w:id="374"/>
      <w:bookmarkStart w:name="_Toc227451526" w:id="375"/>
      <w:r>
        <w:t>Performance Security</w:t>
      </w:r>
      <w:bookmarkEnd w:id="372"/>
      <w:bookmarkEnd w:id="373"/>
      <w:bookmarkEnd w:id="374"/>
      <w:bookmarkEnd w:id="375"/>
    </w:p>
    <w:p w:rsidRPr="00F40F9C" w:rsidR="00E44A57" w:rsidP="00E44A57" w:rsidRDefault="008B55A2" w14:paraId="6C719F57" w14:textId="77777777">
      <w:pPr>
        <w:pStyle w:val="zGTC02"/>
        <w:rPr>
          <w:vanish/>
          <w:specVanish/>
        </w:rPr>
      </w:pPr>
      <w:bookmarkStart w:name="_Toc160749115" w:id="376"/>
      <w:bookmarkStart w:name="_Toc194937478" w:id="377"/>
      <w:bookmarkStart w:name="_Toc174624865" w:id="378"/>
      <w:bookmarkStart w:name="_Toc227451527" w:id="379"/>
      <w:r>
        <w:t>Performance Security.</w:t>
      </w:r>
      <w:bookmarkEnd w:id="376"/>
      <w:bookmarkEnd w:id="377"/>
      <w:bookmarkEnd w:id="378"/>
      <w:bookmarkEnd w:id="379"/>
    </w:p>
    <w:p w:rsidRPr="00F40F9C" w:rsidR="00E44A57" w:rsidP="00E44A57" w:rsidRDefault="008B55A2" w14:paraId="5DFACDC8" w14:textId="35490F90">
      <w:pPr>
        <w:pStyle w:val="zGNormal"/>
      </w:pPr>
      <w:r>
        <w:t xml:space="preserve"> Simultaneous with the execution of this PPA, if Seller is not Creditworthy, Seller must deliver to GPC Eligible Collateral in an amount equal to the</w:t>
      </w:r>
      <w:r w:rsidR="0050203F">
        <w:t xml:space="preserve"> initial</w:t>
      </w:r>
      <w:r>
        <w:t xml:space="preserve"> Performance Security required by Part 1 (</w:t>
      </w:r>
      <w:r>
        <w:rPr>
          <w:i/>
          <w:iCs/>
        </w:rPr>
        <w:t>Performance Security</w:t>
      </w:r>
      <w:r>
        <w:t>) of Exhibit A-2 (</w:t>
      </w:r>
      <w:r>
        <w:rPr>
          <w:i/>
        </w:rPr>
        <w:t>Performance Security and Liquidated Damages</w:t>
      </w:r>
      <w:r>
        <w:t xml:space="preserve">). If Seller is not Creditworthy or </w:t>
      </w:r>
      <w:r w:rsidR="004208EC">
        <w:t xml:space="preserve">later </w:t>
      </w:r>
      <w:r>
        <w:t xml:space="preserve">suffers a Material Adverse Change, Seller must maintain Performance Security throughout the Term or remaining Term, as applicable, </w:t>
      </w:r>
      <w:r w:rsidR="00012BB5">
        <w:t xml:space="preserve">in the applicable amount </w:t>
      </w:r>
      <w:r w:rsidR="002F5B28">
        <w:t>required by</w:t>
      </w:r>
      <w:r w:rsidR="00012BB5">
        <w:t xml:space="preserve"> Part 1 of Exhibit A-2 (which amount, if the Term is longer than five Annual Periods, is adjusted every five </w:t>
      </w:r>
      <w:r w:rsidR="002F5B28">
        <w:t>Annual Periods</w:t>
      </w:r>
      <w:r w:rsidR="00012BB5">
        <w:t xml:space="preserve"> as shown in </w:t>
      </w:r>
      <w:r w:rsidR="00535924">
        <w:t xml:space="preserve">Part 1 of Exhibit A-2) </w:t>
      </w:r>
      <w:r>
        <w:t xml:space="preserve">and adjust its Eligible Collateral </w:t>
      </w:r>
      <w:r w:rsidR="00535924">
        <w:t>as and when required to comply with this Part 6 (</w:t>
      </w:r>
      <w:r w:rsidRPr="0025280B" w:rsidR="00535924">
        <w:rPr>
          <w:i/>
          <w:iCs/>
        </w:rPr>
        <w:t>Performance Security</w:t>
      </w:r>
      <w:r w:rsidR="00535924">
        <w:t>)</w:t>
      </w:r>
      <w:r w:rsidR="00A54DAC">
        <w:t xml:space="preserve">, including, if the Term is longer than five Annual Periods, to comply with adjustments to the required Performance Security </w:t>
      </w:r>
      <w:r w:rsidR="002F5B28">
        <w:t>amount</w:t>
      </w:r>
      <w:r w:rsidR="00A54DAC">
        <w:t xml:space="preserve"> </w:t>
      </w:r>
      <w:r>
        <w:t xml:space="preserve">in accordance with Part 1 of Exhibit A-2. </w:t>
      </w:r>
      <w:r w:rsidRPr="006D7982" w:rsidR="006D7982">
        <w:t xml:space="preserve">If during </w:t>
      </w:r>
      <w:r w:rsidRPr="006D7982" w:rsidR="006D7982">
        <w:lastRenderedPageBreak/>
        <w:t xml:space="preserve">the Term Seller suffers a Material Adverse Change, Seller must deliver to GPC the required Eligible Collateral within </w:t>
      </w:r>
      <w:r w:rsidR="006417D1">
        <w:t>five</w:t>
      </w:r>
      <w:r w:rsidRPr="006D7982" w:rsidR="006D7982">
        <w:t xml:space="preserve"> </w:t>
      </w:r>
      <w:r w:rsidR="00352C16">
        <w:t>Bankin</w:t>
      </w:r>
      <w:r w:rsidR="0029552E">
        <w:t>g</w:t>
      </w:r>
      <w:r w:rsidRPr="006D7982" w:rsidR="00352C16">
        <w:t xml:space="preserve"> </w:t>
      </w:r>
      <w:r w:rsidRPr="006D7982" w:rsidR="006D7982">
        <w:t>Days after the Material Adverse Change occurs</w:t>
      </w:r>
      <w:r w:rsidR="0032612C">
        <w:t>, subject to extension in accordance with Section 6.5</w:t>
      </w:r>
      <w:r w:rsidR="00500257">
        <w:t xml:space="preserve"> (</w:t>
      </w:r>
      <w:r w:rsidRPr="00500257" w:rsidR="00500257">
        <w:rPr>
          <w:i/>
          <w:iCs/>
        </w:rPr>
        <w:t>Pre-Approval of Non-Cash Eligible Collateral</w:t>
      </w:r>
      <w:r w:rsidR="00500257">
        <w:t>)</w:t>
      </w:r>
      <w:r w:rsidRPr="006D7982" w:rsidR="006D7982">
        <w:t>.</w:t>
      </w:r>
      <w:r w:rsidR="006D7982">
        <w:t xml:space="preserve"> </w:t>
      </w:r>
      <w:r>
        <w:t xml:space="preserve">If: (i) any portion of the Eligible Collateral that GPC is then holding is in the form of a Seller Guaranty, and (ii) a Material Adverse Change occurs regarding Seller Guarantor, then by no later than </w:t>
      </w:r>
      <w:r w:rsidR="003A3F5F">
        <w:t xml:space="preserve">five </w:t>
      </w:r>
      <w:r>
        <w:t xml:space="preserve">Banking Days after the Material Adverse Change occurs, </w:t>
      </w:r>
      <w:r w:rsidR="006B2DFC">
        <w:t xml:space="preserve">subject to extension in accordance with Section 6.5, </w:t>
      </w:r>
      <w:r>
        <w:t>Seller must deliver to GPC replacement Eligible Collateral to replace the Seller Guaranty: (a) in a form other than a Seller Guaranty; or (b) in the form of a Seller Guaranty from a different Seller Guarantor that is Creditworthy.</w:t>
      </w:r>
    </w:p>
    <w:p w:rsidRPr="002D2A8F" w:rsidR="008F3958" w:rsidP="008F3958" w:rsidRDefault="008F3958" w14:paraId="0FBE62A2" w14:textId="77777777">
      <w:pPr>
        <w:pStyle w:val="zGTC03"/>
        <w:ind w:left="648"/>
      </w:pPr>
      <w:r w:rsidRPr="008F3958">
        <w:t>Requirements if Seller Becomes Creditworthy.</w:t>
      </w:r>
      <w:r>
        <w:t xml:space="preserve"> </w:t>
      </w:r>
      <w:r w:rsidRPr="008F3958">
        <w:rPr>
          <w:b w:val="0"/>
          <w:bCs/>
        </w:rPr>
        <w:t>If, during the Term, Seller has provided Performance Security to GPC in accordance with the requirements of this Part 6 (</w:t>
      </w:r>
      <w:r w:rsidRPr="008F3958">
        <w:rPr>
          <w:b w:val="0"/>
          <w:bCs/>
          <w:i/>
          <w:iCs/>
        </w:rPr>
        <w:t>Performance Security</w:t>
      </w:r>
      <w:r w:rsidRPr="008F3958">
        <w:rPr>
          <w:b w:val="0"/>
          <w:bCs/>
        </w:rPr>
        <w:t>) and either: (i) Seller becomes Creditworthy; or (ii) Seller assigns this PPA in accordance with Section 18.1.1 (</w:t>
      </w:r>
      <w:r w:rsidRPr="008F3958">
        <w:rPr>
          <w:b w:val="0"/>
          <w:bCs/>
          <w:i/>
          <w:iCs/>
        </w:rPr>
        <w:t>Assignment by Seller</w:t>
      </w:r>
      <w:r w:rsidRPr="008F3958">
        <w:rPr>
          <w:b w:val="0"/>
          <w:bCs/>
        </w:rPr>
        <w:t>) to a Person (other than a Financing Assignment) that is Creditworthy, then in either case: (a) Seller or such Person, as applicable, will not be required to maintain Performance Security for so long as it is Creditworthy; and (b) GPC will return Seller’s Eligible Collateral within five Business Days after Seller becomes Creditworthy or the effective date of the assignment, as applicable.</w:t>
      </w:r>
    </w:p>
    <w:p w:rsidRPr="00F40F9C" w:rsidR="008759EF" w:rsidP="008759EF" w:rsidRDefault="008B55A2" w14:paraId="3BF88EFB" w14:textId="77777777">
      <w:pPr>
        <w:pStyle w:val="zGTC02"/>
        <w:rPr>
          <w:specVanish/>
        </w:rPr>
      </w:pPr>
      <w:bookmarkStart w:name="_Toc160749116" w:id="380"/>
      <w:bookmarkStart w:name="_Toc194937479" w:id="381"/>
      <w:bookmarkStart w:name="_Toc174624866" w:id="382"/>
      <w:bookmarkStart w:name="_Toc227451528" w:id="383"/>
      <w:r>
        <w:t>Replacement Collateral; Substituted Collateral; Release of Collateral.</w:t>
      </w:r>
      <w:bookmarkStart w:name="_Toc158593199" w:id="384"/>
      <w:bookmarkStart w:name="_Toc158597478" w:id="385"/>
      <w:bookmarkStart w:name="_Toc158720102" w:id="386"/>
      <w:bookmarkStart w:name="_Toc158722856" w:id="387"/>
      <w:bookmarkStart w:name="_Toc158929386" w:id="388"/>
      <w:bookmarkEnd w:id="380"/>
      <w:bookmarkEnd w:id="381"/>
      <w:bookmarkEnd w:id="382"/>
      <w:bookmarkEnd w:id="383"/>
      <w:bookmarkEnd w:id="384"/>
      <w:bookmarkEnd w:id="385"/>
      <w:bookmarkEnd w:id="386"/>
      <w:bookmarkEnd w:id="387"/>
      <w:bookmarkEnd w:id="388"/>
    </w:p>
    <w:p w:rsidRPr="00F40F9C" w:rsidR="002D54C4" w:rsidP="00C22140" w:rsidRDefault="008B55A2" w14:paraId="4992066E" w14:textId="77777777">
      <w:pPr>
        <w:pStyle w:val="zGTC03"/>
        <w:rPr>
          <w:vanish/>
          <w:specVanish/>
        </w:rPr>
      </w:pPr>
      <w:r>
        <w:rPr>
          <w:w w:val="0"/>
        </w:rPr>
        <w:t>Replacement Collateral.</w:t>
      </w:r>
    </w:p>
    <w:p w:rsidRPr="00F40F9C" w:rsidR="008759EF" w:rsidP="008759EF" w:rsidRDefault="008B55A2" w14:paraId="020D7C3C" w14:textId="4EDAAC8F">
      <w:pPr>
        <w:pStyle w:val="zGNormal"/>
        <w:rPr>
          <w:rStyle w:val="DeltaViewInsertion"/>
          <w:color w:val="auto"/>
          <w:u w:val="none"/>
        </w:rPr>
      </w:pPr>
      <w:r>
        <w:t xml:space="preserve"> To the extent that any Performance Security supplement or replacement is required to maintain compliance with Section 6.1 (</w:t>
      </w:r>
      <w:r>
        <w:rPr>
          <w:i/>
        </w:rPr>
        <w:t>Performance Security</w:t>
      </w:r>
      <w:r>
        <w:t>)</w:t>
      </w:r>
      <w:r w:rsidR="00AB5CDD">
        <w:t xml:space="preserve"> (including any adjustment to the required Performance Security </w:t>
      </w:r>
      <w:r w:rsidR="00635784">
        <w:t>amount</w:t>
      </w:r>
      <w:r w:rsidR="00AB5CDD">
        <w:t xml:space="preserve"> in accordance with Part 1</w:t>
      </w:r>
      <w:r w:rsidR="006E3918">
        <w:t xml:space="preserve"> (</w:t>
      </w:r>
      <w:r w:rsidRPr="006E3918" w:rsidR="006E3918">
        <w:rPr>
          <w:i/>
          <w:iCs/>
        </w:rPr>
        <w:t>Performance Security</w:t>
      </w:r>
      <w:r w:rsidR="006E3918">
        <w:t>) of Exhibit A-2 (</w:t>
      </w:r>
      <w:r w:rsidRPr="006E3918" w:rsidR="006E3918">
        <w:rPr>
          <w:i/>
          <w:iCs/>
        </w:rPr>
        <w:t>Performance Security and Liquidated Damages</w:t>
      </w:r>
      <w:r w:rsidR="006E3918">
        <w:t>))</w:t>
      </w:r>
      <w:r>
        <w:rPr>
          <w:color w:val="000000" w:themeColor="text1"/>
        </w:rPr>
        <w:t xml:space="preserve">, Seller must deliver to GPC the </w:t>
      </w:r>
      <w:r w:rsidR="00F611EE">
        <w:rPr>
          <w:color w:val="000000" w:themeColor="text1"/>
        </w:rPr>
        <w:t xml:space="preserve">supplemental or </w:t>
      </w:r>
      <w:r>
        <w:rPr>
          <w:color w:val="000000" w:themeColor="text1"/>
        </w:rPr>
        <w:t xml:space="preserve">replacement Performance Security by </w:t>
      </w:r>
      <w:r>
        <w:rPr>
          <w:rStyle w:val="DeltaViewInsertion"/>
          <w:color w:val="000000" w:themeColor="text1"/>
          <w:u w:val="none"/>
        </w:rPr>
        <w:t xml:space="preserve">no later than </w:t>
      </w:r>
      <w:r w:rsidR="00776264">
        <w:rPr>
          <w:rStyle w:val="DeltaViewInsertion"/>
          <w:color w:val="000000" w:themeColor="text1"/>
          <w:u w:val="none"/>
        </w:rPr>
        <w:t>45</w:t>
      </w:r>
      <w:r>
        <w:rPr>
          <w:rStyle w:val="DeltaViewInsertion"/>
          <w:color w:val="000000" w:themeColor="text1"/>
          <w:u w:val="none"/>
        </w:rPr>
        <w:t xml:space="preserve"> Days before the earlier to occur of: (i) the date when an increase or decrease in Eligible Collateral is required </w:t>
      </w:r>
      <w:r>
        <w:rPr>
          <w:color w:val="000000" w:themeColor="text1"/>
        </w:rPr>
        <w:t>in accordance with</w:t>
      </w:r>
      <w:r>
        <w:rPr>
          <w:rStyle w:val="DeltaViewInsertion"/>
          <w:color w:val="000000" w:themeColor="text1"/>
          <w:u w:val="none"/>
        </w:rPr>
        <w:t xml:space="preserve"> Part 1</w:t>
      </w:r>
      <w:r>
        <w:t xml:space="preserve"> </w:t>
      </w:r>
      <w:r>
        <w:rPr>
          <w:rStyle w:val="DeltaViewInsertion"/>
          <w:color w:val="000000" w:themeColor="text1"/>
          <w:u w:val="none"/>
        </w:rPr>
        <w:t>of Exhibit A-2</w:t>
      </w:r>
      <w:r>
        <w:rPr>
          <w:color w:val="000000" w:themeColor="text1"/>
        </w:rPr>
        <w:t>;</w:t>
      </w:r>
      <w:r>
        <w:rPr>
          <w:rStyle w:val="DeltaViewInsertion"/>
          <w:color w:val="000000" w:themeColor="text1"/>
          <w:u w:val="none"/>
        </w:rPr>
        <w:t xml:space="preserve"> or (ii) the date when the existing Eligible Collateral will expire. However, the increase or decrease, as applicable, in Eligible Collateral will not become effective until the applicable date indicated in Part 1</w:t>
      </w:r>
      <w:r>
        <w:t xml:space="preserve"> </w:t>
      </w:r>
      <w:r>
        <w:rPr>
          <w:rStyle w:val="DeltaViewInsertion"/>
          <w:color w:val="000000" w:themeColor="text1"/>
          <w:u w:val="none"/>
        </w:rPr>
        <w:t xml:space="preserve">of Exhibit A-2. </w:t>
      </w:r>
      <w:r>
        <w:rPr>
          <w:rStyle w:val="DeltaViewInsertion"/>
          <w:color w:val="000000" w:themeColor="text1"/>
          <w:w w:val="0"/>
          <w:u w:val="none"/>
        </w:rPr>
        <w:t xml:space="preserve">If </w:t>
      </w:r>
      <w:r>
        <w:rPr>
          <w:color w:val="000000" w:themeColor="text1"/>
        </w:rPr>
        <w:t>the U.S. comme</w:t>
      </w:r>
      <w:r>
        <w:t>rcial bank or a U.S. branch of a foreign bank that issued the Letter of Credit fails to maintain: (a) total assets of at least ten billion dollars ($10,000,000,000); or (b) a general long-term senior unsecured debt rating required for a Letter of Credit under this PPA, Seller must deliver to GPC a replacement Letter of Credit by no later than 10 Banking Days</w:t>
      </w:r>
      <w:r w:rsidR="007C777A">
        <w:t xml:space="preserve"> after the disqualifying event of (a) or (b)</w:t>
      </w:r>
      <w:r>
        <w:rPr>
          <w:rStyle w:val="DeltaViewInsertion"/>
          <w:w w:val="0"/>
          <w:u w:val="none"/>
        </w:rPr>
        <w:t>.</w:t>
      </w:r>
      <w:r>
        <w:rPr>
          <w:rStyle w:val="DeltaViewInsertion"/>
          <w:color w:val="auto"/>
          <w:w w:val="0"/>
          <w:u w:val="none"/>
        </w:rPr>
        <w:t xml:space="preserve"> </w:t>
      </w:r>
      <w:r>
        <w:rPr>
          <w:rStyle w:val="DeltaViewInsertion"/>
          <w:color w:val="auto"/>
          <w:u w:val="none"/>
        </w:rPr>
        <w:t xml:space="preserve">If Seller does not comply with the </w:t>
      </w:r>
      <w:r w:rsidR="00F22194">
        <w:rPr>
          <w:rStyle w:val="DeltaViewInsertion"/>
          <w:color w:val="auto"/>
          <w:u w:val="none"/>
        </w:rPr>
        <w:t>previous</w:t>
      </w:r>
      <w:r>
        <w:rPr>
          <w:rStyle w:val="DeltaViewInsertion"/>
          <w:color w:val="auto"/>
          <w:u w:val="none"/>
        </w:rPr>
        <w:t xml:space="preserve"> sentence, </w:t>
      </w:r>
      <w:r>
        <w:t>GPC</w:t>
      </w:r>
      <w:r>
        <w:rPr>
          <w:rStyle w:val="DeltaViewInsertion"/>
          <w:color w:val="auto"/>
          <w:u w:val="none"/>
        </w:rPr>
        <w:t xml:space="preserve"> has the right,</w:t>
      </w:r>
      <w:r>
        <w:t xml:space="preserve"> without limitation to its other remedies under this PPA or at law, </w:t>
      </w:r>
      <w:r>
        <w:rPr>
          <w:rStyle w:val="DeltaViewInsertion"/>
          <w:color w:val="auto"/>
          <w:u w:val="none"/>
        </w:rPr>
        <w:t>to</w:t>
      </w:r>
      <w:r w:rsidR="007C777A">
        <w:rPr>
          <w:rStyle w:val="DeltaViewInsertion"/>
          <w:color w:val="auto"/>
          <w:u w:val="none"/>
        </w:rPr>
        <w:t>: (I)</w:t>
      </w:r>
      <w:r>
        <w:rPr>
          <w:rStyle w:val="DeltaViewInsertion"/>
          <w:color w:val="auto"/>
          <w:u w:val="none"/>
        </w:rPr>
        <w:t xml:space="preserve"> </w:t>
      </w:r>
      <w:r>
        <w:t xml:space="preserve">draw the full amount on the existing </w:t>
      </w:r>
      <w:r>
        <w:rPr>
          <w:rStyle w:val="DeltaViewInsertion"/>
          <w:color w:val="auto"/>
          <w:u w:val="none"/>
        </w:rPr>
        <w:t xml:space="preserve">Eligible Collateral </w:t>
      </w:r>
      <w:r w:rsidR="00F22194">
        <w:rPr>
          <w:rStyle w:val="DeltaViewInsertion"/>
          <w:color w:val="auto"/>
          <w:u w:val="none"/>
        </w:rPr>
        <w:t>before</w:t>
      </w:r>
      <w:r>
        <w:rPr>
          <w:rStyle w:val="DeltaViewInsertion"/>
          <w:color w:val="auto"/>
          <w:u w:val="none"/>
        </w:rPr>
        <w:t xml:space="preserve"> </w:t>
      </w:r>
      <w:r w:rsidR="00FC1625">
        <w:rPr>
          <w:rStyle w:val="DeltaViewInsertion"/>
          <w:color w:val="auto"/>
          <w:u w:val="none"/>
        </w:rPr>
        <w:t xml:space="preserve">the </w:t>
      </w:r>
      <w:r>
        <w:rPr>
          <w:rStyle w:val="DeltaViewInsertion"/>
          <w:color w:val="auto"/>
          <w:u w:val="none"/>
        </w:rPr>
        <w:t xml:space="preserve">expiration </w:t>
      </w:r>
      <w:r w:rsidR="00FC1625">
        <w:rPr>
          <w:rStyle w:val="DeltaViewInsertion"/>
          <w:color w:val="auto"/>
          <w:u w:val="none"/>
        </w:rPr>
        <w:t xml:space="preserve">of the </w:t>
      </w:r>
      <w:r w:rsidR="00870270">
        <w:rPr>
          <w:rStyle w:val="DeltaViewInsertion"/>
          <w:color w:val="auto"/>
          <w:u w:val="none"/>
        </w:rPr>
        <w:t>e</w:t>
      </w:r>
      <w:r w:rsidR="00FC1625">
        <w:rPr>
          <w:rStyle w:val="DeltaViewInsertion"/>
          <w:color w:val="auto"/>
          <w:u w:val="none"/>
        </w:rPr>
        <w:t>xisting Eligible Collateral</w:t>
      </w:r>
      <w:r w:rsidR="002A1231">
        <w:rPr>
          <w:rStyle w:val="DeltaViewInsertion"/>
          <w:color w:val="auto"/>
          <w:u w:val="none"/>
        </w:rPr>
        <w:t>; and (II)</w:t>
      </w:r>
      <w:r>
        <w:rPr>
          <w:rStyle w:val="DeltaViewInsertion"/>
          <w:color w:val="auto"/>
          <w:u w:val="none"/>
        </w:rPr>
        <w:t xml:space="preserve"> take further action to protect its interests under this PPA. </w:t>
      </w:r>
    </w:p>
    <w:p w:rsidRPr="00F40F9C" w:rsidR="002D54C4" w:rsidP="00C22140" w:rsidRDefault="008B55A2" w14:paraId="5A63CE35" w14:textId="77777777">
      <w:pPr>
        <w:pStyle w:val="zGTC03"/>
        <w:rPr>
          <w:vanish/>
          <w:specVanish/>
        </w:rPr>
      </w:pPr>
      <w:r>
        <w:rPr>
          <w:w w:val="0"/>
        </w:rPr>
        <w:t xml:space="preserve">Release of Collateral; Substituted </w:t>
      </w:r>
      <w:r>
        <w:t>Collateral</w:t>
      </w:r>
      <w:r>
        <w:rPr>
          <w:w w:val="0"/>
        </w:rPr>
        <w:t>.</w:t>
      </w:r>
    </w:p>
    <w:p w:rsidRPr="00F40F9C" w:rsidR="002D54C4" w:rsidP="002D54C4" w:rsidRDefault="008B55A2" w14:paraId="41EA9AE0" w14:textId="684AC5B1">
      <w:pPr>
        <w:pStyle w:val="zGNormal"/>
      </w:pPr>
      <w:r>
        <w:rPr>
          <w:w w:val="0"/>
        </w:rPr>
        <w:t xml:space="preserve"> Upon replacement of the Performance Security in accordance with Section 6.2.1 (</w:t>
      </w:r>
      <w:r>
        <w:rPr>
          <w:i/>
          <w:w w:val="0"/>
        </w:rPr>
        <w:t>Replacement Collateral</w:t>
      </w:r>
      <w:r>
        <w:rPr>
          <w:w w:val="0"/>
        </w:rPr>
        <w:t xml:space="preserve">), </w:t>
      </w:r>
      <w:r>
        <w:t>GPC</w:t>
      </w:r>
      <w:r>
        <w:rPr>
          <w:w w:val="0"/>
        </w:rPr>
        <w:t xml:space="preserve"> will promptly release back to Seller the Eligible Collateral that Seller replaced. During the Term, Seller may substitute the Eligible Collateral by providing GPC with notice and the substitute Eligible Collateral. If GPC accepts the substitute Eligible Collateral, </w:t>
      </w:r>
      <w:r>
        <w:t>GPC</w:t>
      </w:r>
      <w:r>
        <w:rPr>
          <w:w w:val="0"/>
        </w:rPr>
        <w:t xml:space="preserve"> will promptly release the Eligible Collateral for which substitution is being made </w:t>
      </w:r>
      <w:r>
        <w:rPr>
          <w:rStyle w:val="DeltaViewInsertion"/>
          <w:color w:val="auto"/>
          <w:w w:val="0"/>
          <w:u w:val="none"/>
        </w:rPr>
        <w:t>in an amount equal to the substitution amount</w:t>
      </w:r>
      <w:r>
        <w:rPr>
          <w:w w:val="0"/>
        </w:rPr>
        <w:t>. Following any expiration or termination of this PPA, the Parties will mutually agree to a final settlement of all obligations under this PPA, which period will not exceed six Months after the expiration or termination date. After the settlement, GPC will return to Seller any remaining Eligible Collateral that Seller posted and upon which GPC has not drawn in accordance with GPC’s rights under this PPA. Any dispute between the Parties regarding a final settlement will be resolved according to Part 19 (</w:t>
      </w:r>
      <w:r>
        <w:rPr>
          <w:i/>
          <w:w w:val="0"/>
        </w:rPr>
        <w:t>Dispute Resolution</w:t>
      </w:r>
      <w:r>
        <w:rPr>
          <w:w w:val="0"/>
        </w:rPr>
        <w:t>), and GPC will not return to Seller any remaining Eligible Collateral that Seller posted until the resolution of the dispute.</w:t>
      </w:r>
    </w:p>
    <w:p w:rsidRPr="00F40F9C" w:rsidR="002D54C4" w:rsidP="002D54C4" w:rsidRDefault="008B55A2" w14:paraId="60446920" w14:textId="77777777">
      <w:pPr>
        <w:pStyle w:val="zGTC02"/>
        <w:rPr>
          <w:vanish/>
          <w:specVanish/>
        </w:rPr>
      </w:pPr>
      <w:bookmarkStart w:name="_Toc160749117" w:id="389"/>
      <w:bookmarkStart w:name="_Toc194937480" w:id="390"/>
      <w:bookmarkStart w:name="_Toc174624867" w:id="391"/>
      <w:bookmarkStart w:name="_Toc227451529" w:id="392"/>
      <w:r>
        <w:t>Draws; Replenishment.</w:t>
      </w:r>
      <w:bookmarkStart w:name="_Toc158593200" w:id="393"/>
      <w:bookmarkStart w:name="_Toc158597479" w:id="394"/>
      <w:bookmarkStart w:name="_Toc158720103" w:id="395"/>
      <w:bookmarkStart w:name="_Toc158722857" w:id="396"/>
      <w:bookmarkStart w:name="_Toc158929387" w:id="397"/>
      <w:bookmarkEnd w:id="389"/>
      <w:bookmarkEnd w:id="390"/>
      <w:bookmarkEnd w:id="391"/>
      <w:bookmarkEnd w:id="392"/>
      <w:bookmarkEnd w:id="393"/>
      <w:bookmarkEnd w:id="394"/>
      <w:bookmarkEnd w:id="395"/>
      <w:bookmarkEnd w:id="396"/>
      <w:bookmarkEnd w:id="397"/>
    </w:p>
    <w:p w:rsidRPr="00F40F9C" w:rsidR="002D54C4" w:rsidP="002D54C4" w:rsidRDefault="008B55A2" w14:paraId="3B81E417" w14:textId="5AFE8989">
      <w:pPr>
        <w:pStyle w:val="zGNormal"/>
      </w:pPr>
      <w:r>
        <w:t xml:space="preserve"> In addition to the draws permitted by Section 6.2.1 (</w:t>
      </w:r>
      <w:r>
        <w:rPr>
          <w:i/>
        </w:rPr>
        <w:t>Replacement Collateral</w:t>
      </w:r>
      <w:r>
        <w:t>), GPC may draw upon the Eligible Collateral provided by Seller to recover any damages to which GPC is entitled under this PPA (including damages following the occurrence of a Seller Event of Default) or any other unpaid amount owed by Seller under this PPA, including to recover delay liquidated damages under Section 7.3 (</w:t>
      </w:r>
      <w:r>
        <w:rPr>
          <w:i/>
        </w:rPr>
        <w:t>Failure to Achieve Commercial Operation by RCOD</w:t>
      </w:r>
      <w:r>
        <w:t>)</w:t>
      </w:r>
      <w:r w:rsidR="00AA6403">
        <w:t>,</w:t>
      </w:r>
      <w:r>
        <w:t xml:space="preserve"> damages arising from a Seller Event of Default, or termination damages arising from GPC’s termination of this PPA for a Seller Event of </w:t>
      </w:r>
      <w:r>
        <w:lastRenderedPageBreak/>
        <w:t>Default</w:t>
      </w:r>
      <w:r w:rsidR="00FD0935">
        <w:t>, in each case if not paid by Seller in accordance with this PPA</w:t>
      </w:r>
      <w:r>
        <w:t>. If GPC draws upon the Eligible Collateral, then, except in the circumstance when GPC establishes an Early Termination Date under Section 16.3.1 (</w:t>
      </w:r>
      <w:r>
        <w:rPr>
          <w:i/>
          <w:iCs/>
        </w:rPr>
        <w:t>Remedies for Event of Default</w:t>
      </w:r>
      <w:r>
        <w:t xml:space="preserve">) or this PPA otherwise terminates, Seller, within </w:t>
      </w:r>
      <w:r w:rsidR="00501233">
        <w:t>five</w:t>
      </w:r>
      <w:r>
        <w:t xml:space="preserve"> Business Days, must replenish the Eligible Collateral to the full amount required by Section 6.1 (</w:t>
      </w:r>
      <w:r>
        <w:rPr>
          <w:i/>
        </w:rPr>
        <w:t>Performance Security</w:t>
      </w:r>
      <w:r w:rsidDel="00C45755" w:rsidR="00836139">
        <w:t>)</w:t>
      </w:r>
      <w:r>
        <w:t>.</w:t>
      </w:r>
    </w:p>
    <w:p w:rsidRPr="00F40F9C" w:rsidR="002D54C4" w:rsidP="002D54C4" w:rsidRDefault="008B55A2" w14:paraId="01181CAD" w14:textId="77777777">
      <w:pPr>
        <w:pStyle w:val="zGTC02"/>
        <w:rPr>
          <w:vanish/>
          <w:specVanish/>
        </w:rPr>
      </w:pPr>
      <w:bookmarkStart w:name="_Toc160749118" w:id="398"/>
      <w:bookmarkStart w:name="_Toc194937481" w:id="399"/>
      <w:bookmarkStart w:name="_Toc174624868" w:id="400"/>
      <w:bookmarkStart w:name="_Toc227451530" w:id="401"/>
      <w:r>
        <w:t>Reporting.</w:t>
      </w:r>
      <w:bookmarkStart w:name="_Toc158593201" w:id="402"/>
      <w:bookmarkStart w:name="_Toc158597480" w:id="403"/>
      <w:bookmarkStart w:name="_Toc158720104" w:id="404"/>
      <w:bookmarkStart w:name="_Toc158722858" w:id="405"/>
      <w:bookmarkStart w:name="_Toc158929388" w:id="406"/>
      <w:bookmarkEnd w:id="398"/>
      <w:bookmarkEnd w:id="399"/>
      <w:bookmarkEnd w:id="400"/>
      <w:bookmarkEnd w:id="401"/>
      <w:bookmarkEnd w:id="402"/>
      <w:bookmarkEnd w:id="403"/>
      <w:bookmarkEnd w:id="404"/>
      <w:bookmarkEnd w:id="405"/>
      <w:bookmarkEnd w:id="406"/>
    </w:p>
    <w:p w:rsidR="002D54C4" w:rsidP="002D54C4" w:rsidRDefault="008B55A2" w14:paraId="1510D5EB" w14:textId="5653673D">
      <w:pPr>
        <w:pStyle w:val="zGNormal"/>
      </w:pPr>
      <w:r>
        <w:t xml:space="preserve"> Seller must promptly notify GPC of any circumstance that results in Seller’s failure to comply with the Performance Security requirements of this Part 6 (</w:t>
      </w:r>
      <w:r>
        <w:rPr>
          <w:i/>
        </w:rPr>
        <w:t>Performance Security</w:t>
      </w:r>
      <w:r>
        <w:t xml:space="preserve">). From time to time, at GPC’s written request, Seller must provide GPC with evidence as GPC reasonably requests to demonstrate that Seller and any Seller Guarantor, Seller Guaranty, Letter of Credit, or </w:t>
      </w:r>
      <w:r w:rsidR="00F15717">
        <w:t xml:space="preserve">GPC </w:t>
      </w:r>
      <w:r>
        <w:t>Security Account is in full compliance with this PPA.</w:t>
      </w:r>
    </w:p>
    <w:p w:rsidRPr="00F40F9C" w:rsidR="009A6977" w:rsidP="009A6977" w:rsidRDefault="009A6977" w14:paraId="714919C0" w14:textId="09221FC2">
      <w:pPr>
        <w:pStyle w:val="zGTC02"/>
        <w:rPr>
          <w:vanish/>
          <w:specVanish/>
        </w:rPr>
      </w:pPr>
      <w:bookmarkStart w:name="_Toc227451531" w:id="407"/>
      <w:r>
        <w:t xml:space="preserve">Pre-Approval of </w:t>
      </w:r>
      <w:r w:rsidR="00C32D99">
        <w:t xml:space="preserve">Non-Cash </w:t>
      </w:r>
      <w:r>
        <w:t>Eligible Collateral.</w:t>
      </w:r>
      <w:bookmarkEnd w:id="407"/>
    </w:p>
    <w:p w:rsidRPr="002B1CAB" w:rsidR="008F20A3" w:rsidP="002B1CAB" w:rsidRDefault="009A6977" w14:paraId="4753CF08" w14:textId="0FF4AB59">
      <w:pPr>
        <w:pStyle w:val="zGNormal"/>
      </w:pPr>
      <w:r>
        <w:t xml:space="preserve"> </w:t>
      </w:r>
      <w:r w:rsidR="00F62FCC">
        <w:t xml:space="preserve">If Seller intends to provide Eligible Collateral in any form other than cash, including any replacement or supplemental Eligible Collateral, or any amendment to Eligible Collateral, Seller, at least 10 Business Days before the applicable due date, must submit a draft (unissued) Letter of Credit or Seller Guaranty for GPC’s review and approval. If Seller lacked sufficient advance notice of a Material Adverse Change to deliver the draft (unissued) Letter of Credit or Seller Guaranty to GPC for review within the time stated in the </w:t>
      </w:r>
      <w:r w:rsidR="00E458C5">
        <w:t>preceding</w:t>
      </w:r>
      <w:r w:rsidR="00F62FCC">
        <w:t xml:space="preserve"> sentence, Seller must notify GPC of the Material Adverse Change </w:t>
      </w:r>
      <w:r w:rsidR="00E70F8D">
        <w:t xml:space="preserve">by no later than </w:t>
      </w:r>
      <w:r w:rsidR="00B65295">
        <w:t>three</w:t>
      </w:r>
      <w:r w:rsidR="000B5A07">
        <w:t xml:space="preserve"> </w:t>
      </w:r>
      <w:r w:rsidR="00954E77">
        <w:t>Banking</w:t>
      </w:r>
      <w:r w:rsidR="000B5A07">
        <w:t xml:space="preserve"> Days after Seller knew or should have known </w:t>
      </w:r>
      <w:r w:rsidR="00E34B74">
        <w:t xml:space="preserve">of the Material Adverse Change </w:t>
      </w:r>
      <w:r w:rsidR="00F62FCC">
        <w:t>and promptly submit the draft (unissued) Letter of Credit or Seller Guaranty for GPC’s review and approval</w:t>
      </w:r>
      <w:r w:rsidR="008E7D75">
        <w:t xml:space="preserve"> and, upon approval, promptly </w:t>
      </w:r>
      <w:r w:rsidR="00C832CA">
        <w:t>deliver</w:t>
      </w:r>
      <w:r w:rsidR="00B731FB">
        <w:t xml:space="preserve"> the Eligible Collateral</w:t>
      </w:r>
      <w:r w:rsidR="006204BC">
        <w:t xml:space="preserve"> </w:t>
      </w:r>
      <w:r w:rsidR="001C6504">
        <w:t xml:space="preserve">to GPC </w:t>
      </w:r>
      <w:r w:rsidR="006204BC">
        <w:t xml:space="preserve">by no later than </w:t>
      </w:r>
      <w:r w:rsidR="00B65295">
        <w:t>two</w:t>
      </w:r>
      <w:r w:rsidR="00DD0252">
        <w:t xml:space="preserve"> Banking Days after receipt of GPC’s approval</w:t>
      </w:r>
      <w:r w:rsidR="00F62FCC">
        <w:t xml:space="preserve">. </w:t>
      </w:r>
    </w:p>
    <w:p w:rsidRPr="00F40F9C" w:rsidR="002D54C4" w:rsidP="002D54C4" w:rsidRDefault="008B55A2" w14:paraId="41EB4D46" w14:textId="77777777">
      <w:pPr>
        <w:pStyle w:val="zGTC02"/>
        <w:rPr>
          <w:vanish/>
          <w:specVanish/>
        </w:rPr>
      </w:pPr>
      <w:bookmarkStart w:name="_Toc160749119" w:id="408"/>
      <w:bookmarkStart w:name="_Toc194937482" w:id="409"/>
      <w:bookmarkStart w:name="_Toc174624869" w:id="410"/>
      <w:bookmarkStart w:name="_Toc227451532" w:id="411"/>
      <w:r>
        <w:t>Delivery of Eligible Collateral for Performance Security.</w:t>
      </w:r>
      <w:bookmarkStart w:name="_Toc158593202" w:id="412"/>
      <w:bookmarkStart w:name="_Toc158597481" w:id="413"/>
      <w:bookmarkStart w:name="_Toc158720105" w:id="414"/>
      <w:bookmarkStart w:name="_Toc158722859" w:id="415"/>
      <w:bookmarkStart w:name="_Toc158929389" w:id="416"/>
      <w:bookmarkEnd w:id="408"/>
      <w:bookmarkEnd w:id="409"/>
      <w:bookmarkEnd w:id="410"/>
      <w:bookmarkEnd w:id="411"/>
      <w:bookmarkEnd w:id="412"/>
      <w:bookmarkEnd w:id="413"/>
      <w:bookmarkEnd w:id="414"/>
      <w:bookmarkEnd w:id="415"/>
      <w:bookmarkEnd w:id="416"/>
    </w:p>
    <w:p w:rsidRPr="00F40F9C" w:rsidR="002D54C4" w:rsidP="002D54C4" w:rsidRDefault="008B55A2" w14:paraId="7B003E8B" w14:textId="0EA6C681">
      <w:pPr>
        <w:pStyle w:val="zGNormal"/>
      </w:pPr>
      <w:r>
        <w:t xml:space="preserve"> Seller must provide to GPC Eligible Collateral to meet any of the Performance Security requirements under this PPA by delivering, as applicable: (i) cash wired to </w:t>
      </w:r>
      <w:r w:rsidR="00D91820">
        <w:t xml:space="preserve">a </w:t>
      </w:r>
      <w:r>
        <w:t>GPC</w:t>
      </w:r>
      <w:r w:rsidR="00D91820">
        <w:t xml:space="preserve"> Security Account</w:t>
      </w:r>
      <w:r>
        <w:t xml:space="preserve">; or (ii) Letter of Credit or Seller Guaranty to the address indicated in Exhibit </w:t>
      </w:r>
      <w:r w:rsidR="00FA0A0B">
        <w:t>P</w:t>
      </w:r>
      <w:r>
        <w:t xml:space="preserve"> (</w:t>
      </w:r>
      <w:r>
        <w:rPr>
          <w:i/>
        </w:rPr>
        <w:t>Notices</w:t>
      </w:r>
      <w:r>
        <w:t>).</w:t>
      </w:r>
    </w:p>
    <w:p w:rsidRPr="00F40F9C" w:rsidR="002D54C4" w:rsidP="004B0BBF" w:rsidRDefault="008B55A2" w14:paraId="536C675C" w14:textId="2F1A02DA">
      <w:pPr>
        <w:pStyle w:val="zGTC01"/>
        <w:tabs>
          <w:tab w:val="clear" w:pos="3762"/>
        </w:tabs>
        <w:ind w:left="1080"/>
        <w:rPr>
          <w:szCs w:val="20"/>
        </w:rPr>
      </w:pPr>
      <w:bookmarkStart w:name="_Toc160749120" w:id="417"/>
      <w:bookmarkStart w:name="_Toc194937483" w:id="418"/>
      <w:bookmarkStart w:name="_Toc174624870" w:id="419"/>
      <w:bookmarkStart w:name="_Toc227451533" w:id="420"/>
      <w:r>
        <w:t>Facility Design and Construction; Achieving Commercial Operation</w:t>
      </w:r>
      <w:bookmarkEnd w:id="417"/>
      <w:bookmarkEnd w:id="418"/>
      <w:bookmarkEnd w:id="419"/>
      <w:bookmarkEnd w:id="420"/>
      <w:r>
        <w:t xml:space="preserve"> </w:t>
      </w:r>
    </w:p>
    <w:p w:rsidRPr="00F40F9C" w:rsidR="00F47C4F" w:rsidP="00B3378A" w:rsidRDefault="008B55A2" w14:paraId="00C620D9" w14:textId="77777777">
      <w:pPr>
        <w:pStyle w:val="zGTC02"/>
      </w:pPr>
      <w:bookmarkStart w:name="_Toc160749121" w:id="421"/>
      <w:bookmarkStart w:name="_Toc194937484" w:id="422"/>
      <w:bookmarkStart w:name="_Toc174624871" w:id="423"/>
      <w:bookmarkStart w:name="_Toc227451534" w:id="424"/>
      <w:r>
        <w:t>Design and Construction of the Facility</w:t>
      </w:r>
      <w:bookmarkStart w:name="_Toc158593204" w:id="425"/>
      <w:bookmarkStart w:name="_Toc158597483" w:id="426"/>
      <w:bookmarkStart w:name="_Toc158720107" w:id="427"/>
      <w:bookmarkStart w:name="_Toc158722861" w:id="428"/>
      <w:bookmarkStart w:name="_Toc158929391" w:id="429"/>
      <w:bookmarkEnd w:id="425"/>
      <w:bookmarkEnd w:id="426"/>
      <w:bookmarkEnd w:id="427"/>
      <w:bookmarkEnd w:id="428"/>
      <w:bookmarkEnd w:id="429"/>
      <w:r>
        <w:t>.</w:t>
      </w:r>
      <w:bookmarkEnd w:id="421"/>
      <w:bookmarkEnd w:id="422"/>
      <w:bookmarkEnd w:id="423"/>
      <w:bookmarkEnd w:id="424"/>
      <w:r>
        <w:t xml:space="preserve"> </w:t>
      </w:r>
    </w:p>
    <w:p w:rsidRPr="00F40F9C" w:rsidR="00C22140" w:rsidP="00C22140" w:rsidRDefault="008B55A2" w14:paraId="4BE6D1F0" w14:textId="77777777">
      <w:pPr>
        <w:pStyle w:val="zGTC03"/>
        <w:rPr>
          <w:vanish/>
          <w:specVanish/>
        </w:rPr>
      </w:pPr>
      <w:r>
        <w:t xml:space="preserve">Facility Design. </w:t>
      </w:r>
    </w:p>
    <w:p w:rsidRPr="00F40F9C" w:rsidR="006455A2" w:rsidP="00C22140" w:rsidRDefault="008B55A2" w14:paraId="7110CB5D" w14:textId="68CBE078">
      <w:pPr>
        <w:pStyle w:val="zGNormal"/>
      </w:pPr>
      <w:r>
        <w:t>Seller must design and construct the BESS in accordance with the applicable specifications set forth in Exhibit F (</w:t>
      </w:r>
      <w:r>
        <w:rPr>
          <w:i/>
        </w:rPr>
        <w:t>Facility Operating and Dispatching Requirements</w:t>
      </w:r>
      <w:r>
        <w:t>) and Exhibit I (</w:t>
      </w:r>
      <w:r>
        <w:rPr>
          <w:i/>
        </w:rPr>
        <w:t>Requirements for PPA Facility</w:t>
      </w:r>
      <w:r>
        <w:t xml:space="preserve">). </w:t>
      </w:r>
      <w:r w:rsidR="000553E9">
        <w:t xml:space="preserve">The BESS must meet the </w:t>
      </w:r>
      <w:r w:rsidR="005B2ED1">
        <w:t>requirements in Exhibit I</w:t>
      </w:r>
      <w:r w:rsidR="000767C7">
        <w:t xml:space="preserve"> </w:t>
      </w:r>
      <w:r w:rsidR="000A0484">
        <w:t xml:space="preserve">by the </w:t>
      </w:r>
      <w:r w:rsidR="008D7C8B">
        <w:t>deadlines</w:t>
      </w:r>
      <w:r w:rsidR="000A0484">
        <w:t xml:space="preserve"> specified</w:t>
      </w:r>
      <w:r w:rsidR="00D11498">
        <w:t xml:space="preserve"> in Exhibit I</w:t>
      </w:r>
      <w:r w:rsidR="008D7C8B">
        <w:t xml:space="preserve">; if no deadline is specified, the BESS must meet the requirements by the Commercial Operation Date. </w:t>
      </w:r>
      <w:r>
        <w:t xml:space="preserve">The Facility must be designed to allow for Grid Charging and, if applicable per Exhibit A </w:t>
      </w:r>
      <w:r>
        <w:rPr>
          <w:i/>
          <w:iCs/>
        </w:rPr>
        <w:t>(Facility Description and Additional Details)</w:t>
      </w:r>
      <w:r>
        <w:t>, Renewable Resource Charging. Seller must design the Facility and otherwise complete the Project in accordance with Prudent Industry Practices and applicable law. The Facility must comply with applicable EOP-012-1 (</w:t>
      </w:r>
      <w:r>
        <w:rPr>
          <w:i/>
        </w:rPr>
        <w:t>Extreme Cold Weather Preparedness and Operations</w:t>
      </w:r>
      <w:r>
        <w:t>) requirements, including Requirements R1 (applicable to New Facilities), R2 (applicable to Existing Facilities), R3, R4, R5, R6, and R7</w:t>
      </w:r>
      <w:r w:rsidR="00256EA5">
        <w:t xml:space="preserve">, and </w:t>
      </w:r>
      <w:r w:rsidR="00A32F4E">
        <w:t>any successor reliability standard</w:t>
      </w:r>
      <w:r>
        <w:t xml:space="preserve">. EOP-012-1 is published by NERC and available at: </w:t>
      </w:r>
      <w:hyperlink w:history="1" r:id="rId19">
        <w:r w:rsidRPr="004B0BBF" w:rsidR="006455A2">
          <w:rPr>
            <w:rStyle w:val="Hyperlink"/>
            <w:color w:val="auto"/>
            <w:u w:val="none"/>
          </w:rPr>
          <w:t>https://www.nerc.com/pa/Stand/Reliability%20Standards/EOP-012-1.pdf</w:t>
        </w:r>
      </w:hyperlink>
      <w:r>
        <w:t xml:space="preserve">.  </w:t>
      </w:r>
    </w:p>
    <w:p w:rsidRPr="00F40F9C" w:rsidR="002D54C4" w:rsidP="00C22140" w:rsidRDefault="008B55A2" w14:paraId="2C5698A9" w14:textId="4F6C5315">
      <w:pPr>
        <w:pStyle w:val="zGTC03"/>
        <w:rPr>
          <w:vanish/>
          <w:specVanish/>
        </w:rPr>
      </w:pPr>
      <w:r>
        <w:t>BESS Design and Specifications.</w:t>
      </w:r>
    </w:p>
    <w:p w:rsidRPr="00F40F9C" w:rsidR="007C5BD9" w:rsidP="002D54C4" w:rsidRDefault="008B55A2" w14:paraId="112B5833" w14:textId="467AD9F9">
      <w:pPr>
        <w:pStyle w:val="zGTC04"/>
      </w:pPr>
      <w:r>
        <w:rPr>
          <w:b/>
          <w:bCs/>
        </w:rPr>
        <w:t xml:space="preserve"> </w:t>
      </w:r>
      <w:r>
        <w:t>The BESS must be designed to deliver the Contracted Capacity (MW) over the Storage Device Discharge Duration (SDDD), delivering the entire Storage Device Operating Energy (SDOE) (MWh), as measured at the POI. The BESS must also be capable of charging at the Maximum Rate of Charge throughout the Term. Seller must maintain these energy storage capabilities throughout the Term. Seller must design, build, and maintain the BESS with adequate margins, including any future augmentation, to demonstrate and perform to these specifications, accounting for any RTE losses, conversion losses, storage losses, efficiency degradation, or any other possible decrease in performance so that the Performance Guarantees are met over the Term. Each Month, GPC will assess the applicable Performance Metrics detailed in Exhibit C (</w:t>
      </w:r>
      <w:r>
        <w:rPr>
          <w:i/>
        </w:rPr>
        <w:t>Monthly Capacity Payments; Monthly Capacity Reductions; AGC Performance Metrics and Requirements</w:t>
      </w:r>
      <w:r>
        <w:t>) and calculate any Monthly Capacity Reduction. Seller must coordinate its control system design details with GPC, as GPC Representatives may request, throughout Project scoping, design, procurement, and construction</w:t>
      </w:r>
      <w:r w:rsidR="0040244B">
        <w:t xml:space="preserve"> and will reasonably consider GPC’s requests, provided that Seller’s obligation will be limited to ensuring that the PPA requirements are met</w:t>
      </w:r>
      <w:r>
        <w:t xml:space="preserve">.  </w:t>
      </w:r>
    </w:p>
    <w:p w:rsidRPr="00F40F9C" w:rsidR="002D54C4" w:rsidP="00C22140" w:rsidRDefault="008B55A2" w14:paraId="46E356F9" w14:textId="77777777">
      <w:pPr>
        <w:pStyle w:val="zGTC03"/>
        <w:rPr>
          <w:vanish/>
          <w:specVanish/>
        </w:rPr>
      </w:pPr>
      <w:r>
        <w:lastRenderedPageBreak/>
        <w:t>Facility Control System Design and Capabilities.</w:t>
      </w:r>
    </w:p>
    <w:p w:rsidRPr="00F40F9C" w:rsidR="002D54C4" w:rsidP="002D54C4" w:rsidRDefault="008B55A2" w14:paraId="1A8C5C03" w14:textId="5BBBBDD1">
      <w:pPr>
        <w:pStyle w:val="zGNormal"/>
      </w:pPr>
      <w:r>
        <w:rPr>
          <w:b/>
          <w:bCs/>
        </w:rPr>
        <w:t xml:space="preserve"> </w:t>
      </w:r>
      <w:r>
        <w:t>Seller must design the control and data systems of the BESS to provide: (i) all real-time AGC Setpoint signals and data detailed in Exhibit G (</w:t>
      </w:r>
      <w:r>
        <w:rPr>
          <w:i/>
        </w:rPr>
        <w:t>AGC and Facility Minimum Data Requirements</w:t>
      </w:r>
      <w:r>
        <w:t xml:space="preserve">); (ii) any additional information that GPC requires to manage GPC’s dispatch of the Facility’s energy and capacity and to track and measure BESS performance. The BESS Operating High Limit will be updated in real time based on the Interconnection Limit (i.e. available discharge from BESS) to limit BESS operation, if applicable. The Facility control system will receive and send, every six seconds, AGC Setpoint signals to allow GPC to direct the energy input/output of the BESS. Seller must coordinate its control system design details with GPC, as GPC Representatives may request, throughout Project scoping, design, procurement, and construction to ensure that PPA requirements are met. </w:t>
      </w:r>
    </w:p>
    <w:p w:rsidRPr="00F40F9C" w:rsidR="00662D45" w:rsidP="00C22140" w:rsidRDefault="008B55A2" w14:paraId="15B2927E" w14:textId="77777777">
      <w:pPr>
        <w:pStyle w:val="zGTC03"/>
        <w:rPr>
          <w:vanish/>
          <w:specVanish/>
        </w:rPr>
      </w:pPr>
      <w:r>
        <w:t>RCOD and Facility Construction Key Milestones.</w:t>
      </w:r>
    </w:p>
    <w:p w:rsidRPr="00F40F9C" w:rsidR="002003A8" w:rsidP="007F032B" w:rsidRDefault="008B55A2" w14:paraId="7EAAB679" w14:textId="77777777">
      <w:pPr>
        <w:pStyle w:val="zGNormal"/>
      </w:pPr>
      <w:r>
        <w:t xml:space="preserve"> Seller must progress Facility construction in accordance with applicable Key Milestone Dates, including achievement of Commercial Operation by the RCOD. </w:t>
      </w:r>
    </w:p>
    <w:p w:rsidRPr="00F40F9C" w:rsidR="002D54C4" w:rsidP="00C22140" w:rsidRDefault="008B55A2" w14:paraId="762743D4" w14:textId="77777777">
      <w:pPr>
        <w:pStyle w:val="zGTC03"/>
        <w:rPr>
          <w:vanish/>
          <w:specVanish/>
        </w:rPr>
      </w:pPr>
      <w:r>
        <w:t>Commercial Operation.</w:t>
      </w:r>
    </w:p>
    <w:p w:rsidRPr="00F40F9C" w:rsidR="002D54C4" w:rsidP="002D54C4" w:rsidRDefault="008B55A2" w14:paraId="5B62103A" w14:textId="087C388C">
      <w:pPr>
        <w:pStyle w:val="zGNormal"/>
      </w:pPr>
      <w:r>
        <w:rPr>
          <w:b/>
          <w:bCs/>
        </w:rPr>
        <w:t xml:space="preserve"> </w:t>
      </w:r>
      <w:r>
        <w:t xml:space="preserve">The Facility will be deemed to have achieved Commercial Operation under this PPA when Seller demonstrates, to GPC’s </w:t>
      </w:r>
      <w:r w:rsidR="008A1BED">
        <w:t xml:space="preserve">reasonable </w:t>
      </w:r>
      <w:r>
        <w:t xml:space="preserve">satisfaction, that the following listed criteria are fulfilled. GPC is entitled, but not required, to verify </w:t>
      </w:r>
      <w:r w:rsidR="00123951">
        <w:t>achievement</w:t>
      </w:r>
      <w:r>
        <w:t xml:space="preserve"> of these criteria before GPC’s acceptance of Commercial Operation</w:t>
      </w:r>
      <w:r w:rsidR="007C2FF1">
        <w:t xml:space="preserve">. </w:t>
      </w:r>
    </w:p>
    <w:p w:rsidRPr="00F40F9C" w:rsidR="00B72BD9" w:rsidP="00236AED" w:rsidRDefault="008B55A2" w14:paraId="5C1576C8" w14:textId="77777777">
      <w:pPr>
        <w:pStyle w:val="zGTC04"/>
        <w:numPr>
          <w:ilvl w:val="3"/>
          <w:numId w:val="22"/>
        </w:numPr>
      </w:pPr>
      <w:r>
        <w:t>Reserved.</w:t>
      </w:r>
    </w:p>
    <w:p w:rsidR="00A34682" w:rsidP="00236AED" w:rsidRDefault="008B55A2" w14:paraId="05DFD225" w14:textId="2F81F29B">
      <w:pPr>
        <w:pStyle w:val="zGTC04"/>
        <w:numPr>
          <w:ilvl w:val="3"/>
          <w:numId w:val="22"/>
        </w:numPr>
      </w:pPr>
      <w:r>
        <w:t xml:space="preserve">The BESS is capable of </w:t>
      </w:r>
      <w:r w:rsidR="004804F3">
        <w:t xml:space="preserve">receiving </w:t>
      </w:r>
      <w:r>
        <w:t>Grid Charging</w:t>
      </w:r>
      <w:r w:rsidR="004804F3">
        <w:t xml:space="preserve"> Energy</w:t>
      </w:r>
      <w:r w:rsidR="000E2434">
        <w:t xml:space="preserve"> and delivering Discharging Energy on a reliable basis</w:t>
      </w:r>
      <w:r>
        <w:t>.</w:t>
      </w:r>
    </w:p>
    <w:p w:rsidRPr="00F40F9C" w:rsidR="00EE77FA" w:rsidP="00236AED" w:rsidRDefault="008B55A2" w14:paraId="768D9594" w14:textId="1A16892A">
      <w:pPr>
        <w:pStyle w:val="zGTC04"/>
        <w:numPr>
          <w:ilvl w:val="3"/>
          <w:numId w:val="22"/>
        </w:numPr>
      </w:pPr>
      <w:r>
        <w:t xml:space="preserve">The Facility’s AGC system, as approved by GPC: (a) is completely installed and fully operational, is connected to GPC’s AGC RTU, and is capable of supplying all needed data, control system access, interconnection, and AGC Setpoint signals to allow GPC to dispatch the BESS; and (b) otherwise satisfies Section </w:t>
      </w:r>
      <w:r w:rsidR="00852E55">
        <w:t>10.8</w:t>
      </w:r>
      <w:r>
        <w:t xml:space="preserve"> (</w:t>
      </w:r>
      <w:r>
        <w:rPr>
          <w:i/>
          <w:iCs/>
        </w:rPr>
        <w:t>AGC</w:t>
      </w:r>
      <w:r>
        <w:t>) and Exhibit G (</w:t>
      </w:r>
      <w:r>
        <w:rPr>
          <w:i/>
          <w:iCs/>
        </w:rPr>
        <w:t>AGC and Storage Device Minimum Data Requirements</w:t>
      </w:r>
      <w:r>
        <w:t xml:space="preserve">);  </w:t>
      </w:r>
    </w:p>
    <w:p w:rsidRPr="00F40F9C" w:rsidR="00CB2F01" w:rsidP="00236AED" w:rsidRDefault="008B55A2" w14:paraId="30B03B30" w14:textId="37224AB1">
      <w:pPr>
        <w:pStyle w:val="zGTC04"/>
        <w:numPr>
          <w:ilvl w:val="3"/>
          <w:numId w:val="22"/>
        </w:numPr>
      </w:pPr>
      <w:r>
        <w:t>If the BESS is paired with a Renewable Resource per Exhibit A (</w:t>
      </w:r>
      <w:r>
        <w:rPr>
          <w:i/>
        </w:rPr>
        <w:t>Facility Description and Additional Details</w:t>
      </w:r>
      <w:r>
        <w:t xml:space="preserve">): (a) the BESS is capable of receiving Renewable Resource Charging Energy on a reliable basis; and (b) the Renewable Resource achieved </w:t>
      </w:r>
      <w:r w:rsidR="003624D4">
        <w:t xml:space="preserve">and has maintained </w:t>
      </w:r>
      <w:r>
        <w:t xml:space="preserve">commercial operation, as defined by the Renewable Resource PPA; </w:t>
      </w:r>
    </w:p>
    <w:p w:rsidRPr="00F40F9C" w:rsidR="002D54C4" w:rsidP="00236AED" w:rsidRDefault="008B55A2" w14:paraId="73DB73FB" w14:textId="7C10626D">
      <w:pPr>
        <w:pStyle w:val="zGTC04"/>
        <w:numPr>
          <w:ilvl w:val="3"/>
          <w:numId w:val="22"/>
        </w:numPr>
      </w:pPr>
      <w:r>
        <w:t xml:space="preserve">(a) Seller has satisfied all IA requirements that are conditions to commercial operation (as defined in the IA); (b) the Facility otherwise is in compliance with the IA; and (c) the Facility has demonstrated the reliability of its communication systems with the Dispatch Center; </w:t>
      </w:r>
    </w:p>
    <w:p w:rsidRPr="00F40F9C" w:rsidR="002D54C4" w:rsidP="00236AED" w:rsidRDefault="008B55A2" w14:paraId="44FD5254" w14:textId="05373E03">
      <w:pPr>
        <w:pStyle w:val="zGTC04"/>
        <w:numPr>
          <w:ilvl w:val="3"/>
          <w:numId w:val="22"/>
        </w:numPr>
      </w:pPr>
      <w:r>
        <w:t>Seller has successfully completed Performance Testing of the Facility and achieved the Performance Guarantees in accordance with Exhibit B (</w:t>
      </w:r>
      <w:r>
        <w:rPr>
          <w:i/>
        </w:rPr>
        <w:t xml:space="preserve">Capacity; Capacity </w:t>
      </w:r>
      <w:r>
        <w:rPr>
          <w:bCs/>
          <w:i/>
        </w:rPr>
        <w:t xml:space="preserve">Payments and </w:t>
      </w:r>
      <w:r>
        <w:rPr>
          <w:i/>
        </w:rPr>
        <w:t>Payment</w:t>
      </w:r>
      <w:r>
        <w:rPr>
          <w:bCs/>
          <w:i/>
        </w:rPr>
        <w:t xml:space="preserve"> Reductions; Buydown</w:t>
      </w:r>
      <w:r>
        <w:t>), Part 1 (</w:t>
      </w:r>
      <w:r>
        <w:rPr>
          <w:i/>
          <w:szCs w:val="20"/>
        </w:rPr>
        <w:t xml:space="preserve">Testing </w:t>
      </w:r>
      <w:r>
        <w:rPr>
          <w:i/>
          <w:iCs/>
          <w:szCs w:val="20"/>
        </w:rPr>
        <w:t>Requirements</w:t>
      </w:r>
      <w:r>
        <w:t>)</w:t>
      </w:r>
      <w:r>
        <w:rPr>
          <w:bCs/>
        </w:rPr>
        <w:t xml:space="preserve">, including a Tested Storage Capacity </w:t>
      </w:r>
      <w:r>
        <w:t>higher than</w:t>
      </w:r>
      <w:r>
        <w:rPr>
          <w:bCs/>
        </w:rPr>
        <w:t xml:space="preserve"> </w:t>
      </w:r>
      <w:r>
        <w:t>70% of the</w:t>
      </w:r>
      <w:r>
        <w:rPr>
          <w:bCs/>
        </w:rPr>
        <w:t xml:space="preserve"> </w:t>
      </w:r>
      <w:r>
        <w:t xml:space="preserve">Contracted Capacity under Exhibit B; </w:t>
      </w:r>
    </w:p>
    <w:p w:rsidRPr="00F40F9C" w:rsidR="002D54C4" w:rsidP="00236AED" w:rsidRDefault="008B55A2" w14:paraId="454C3AF4" w14:textId="20920B95">
      <w:pPr>
        <w:pStyle w:val="zGTC04"/>
        <w:numPr>
          <w:ilvl w:val="3"/>
          <w:numId w:val="22"/>
        </w:numPr>
      </w:pPr>
      <w:r>
        <w:t xml:space="preserve">Seller must have provided GPC with a certificate from a responsible officer of Seller reasonably acceptable to GPC stating that the Facility has been designed, engineered, constructed, and tested in accordance with Prudent Industry Practices and is capable of performing in accordance with the terms of this PPA;  </w:t>
      </w:r>
    </w:p>
    <w:p w:rsidR="006839F1" w:rsidP="00236AED" w:rsidRDefault="008B55A2" w14:paraId="2BA31A23" w14:textId="1DD319DD">
      <w:pPr>
        <w:pStyle w:val="zGTC04"/>
        <w:numPr>
          <w:ilvl w:val="3"/>
          <w:numId w:val="22"/>
        </w:numPr>
      </w:pPr>
      <w:r>
        <w:t>Seller must have delivered to GPC a certificate from a responsible officer of Seller certifying that Seller has obtained all licenses, permits, franchises, agreements, approvals, authorizations, Consents, waivers, rights, exemptions, releases, variances, exceptions, or orders of or issued by, or filing with, or notice to, any Governmental Authority required under applicable law (“</w:t>
      </w:r>
      <w:r>
        <w:rPr>
          <w:b/>
        </w:rPr>
        <w:t>Governmental Approvals</w:t>
      </w:r>
      <w:r>
        <w:t>”) for the construction, ownership, operation, and maintenance of the Facility in accordance with this PPA</w:t>
      </w:r>
      <w:r w:rsidR="006839F1">
        <w:t>; and</w:t>
      </w:r>
    </w:p>
    <w:p w:rsidR="002D54C4" w:rsidP="00236AED" w:rsidRDefault="008F0998" w14:paraId="187E85B3" w14:textId="0DD8C5B9">
      <w:pPr>
        <w:pStyle w:val="zGTC04"/>
        <w:numPr>
          <w:ilvl w:val="3"/>
          <w:numId w:val="22"/>
        </w:numPr>
      </w:pPr>
      <w:r>
        <w:t>Any additional criteria set forth in the Commercial Operation Completion Certificate.</w:t>
      </w:r>
    </w:p>
    <w:p w:rsidRPr="005618E3" w:rsidR="00B87378" w:rsidP="00B87378" w:rsidRDefault="008B55A2" w14:paraId="48DBDC73" w14:textId="35BA7979">
      <w:pPr>
        <w:pStyle w:val="zGTC04"/>
        <w:numPr>
          <w:ilvl w:val="0"/>
          <w:numId w:val="0"/>
        </w:numPr>
        <w:ind w:left="630"/>
      </w:pPr>
      <w:r>
        <w:lastRenderedPageBreak/>
        <w:t xml:space="preserve">For the avoidance of doubt, the Facility may achieve commercial operation in accordance with the Interconnection Agreement, and may be considered operational for all other purposes, including tax purposes, but the Facility will not be deemed to have achieved Commercial Operation for purposes of this PPA until </w:t>
      </w:r>
      <w:r w:rsidR="00EF2E01">
        <w:t xml:space="preserve">(a) </w:t>
      </w:r>
      <w:r>
        <w:t>subsections (i) through (</w:t>
      </w:r>
      <w:r w:rsidR="00EF2E01">
        <w:t>ix</w:t>
      </w:r>
      <w:r>
        <w:t>) are satisfied</w:t>
      </w:r>
      <w:r w:rsidR="00947682">
        <w:t>, and (b) GPC has reasonably determined Commercial Operation has been achieved in accordance with Section 7.1.6 (</w:t>
      </w:r>
      <w:r w:rsidRPr="00947682" w:rsidR="00947682">
        <w:rPr>
          <w:i/>
          <w:iCs/>
        </w:rPr>
        <w:t>Commercial Operation</w:t>
      </w:r>
      <w:r w:rsidR="0085101C">
        <w:rPr>
          <w:i/>
          <w:iCs/>
        </w:rPr>
        <w:t xml:space="preserve"> Completion</w:t>
      </w:r>
      <w:r w:rsidRPr="00947682" w:rsidR="00947682">
        <w:rPr>
          <w:i/>
          <w:iCs/>
        </w:rPr>
        <w:t xml:space="preserve"> Certificate</w:t>
      </w:r>
      <w:r w:rsidR="00947682">
        <w:t>)</w:t>
      </w:r>
      <w:r>
        <w:t>.</w:t>
      </w:r>
    </w:p>
    <w:p w:rsidRPr="005618E3" w:rsidR="002D54C4" w:rsidP="00C22140" w:rsidRDefault="008B55A2" w14:paraId="35A4F900" w14:textId="42EA9FF6">
      <w:pPr>
        <w:pStyle w:val="zGTC03"/>
        <w:rPr>
          <w:vanish/>
          <w:specVanish/>
        </w:rPr>
      </w:pPr>
      <w:r>
        <w:t>Commercial Operation</w:t>
      </w:r>
      <w:r w:rsidR="0091470F">
        <w:t xml:space="preserve"> Completion</w:t>
      </w:r>
      <w:r>
        <w:t xml:space="preserve"> Certificate.</w:t>
      </w:r>
    </w:p>
    <w:p w:rsidRPr="00F40F9C" w:rsidR="002D54C4" w:rsidP="00A4748D" w:rsidRDefault="008B55A2" w14:paraId="14F14AF2" w14:textId="4DD2F8BD">
      <w:pPr>
        <w:pStyle w:val="zGNormal"/>
      </w:pPr>
      <w:r>
        <w:rPr>
          <w:b/>
        </w:rPr>
        <w:t xml:space="preserve"> </w:t>
      </w:r>
      <w:r>
        <w:t>When Seller believes the Facility achieved the Commercial Operation requirements set forth in Section 7.1.5 (</w:t>
      </w:r>
      <w:r>
        <w:rPr>
          <w:i/>
        </w:rPr>
        <w:t>Commercial Operation</w:t>
      </w:r>
      <w:r>
        <w:t>), Seller must complete and submit to GPC the Commercial Operation Completion Certificate. Upon receipt of the Commercial Operation Completion Certificate, GPC will have the right, but not the obligation, to inspect the Facility or review inspection-related information before acceptance</w:t>
      </w:r>
      <w:r w:rsidR="002002ED">
        <w:t xml:space="preserve">, as </w:t>
      </w:r>
      <w:r w:rsidR="00020BC4">
        <w:t>such inspection-related information may be</w:t>
      </w:r>
      <w:r w:rsidR="002002ED">
        <w:t xml:space="preserve"> reasonably </w:t>
      </w:r>
      <w:r w:rsidR="00BA5FC7">
        <w:t>requested</w:t>
      </w:r>
      <w:r w:rsidR="002002ED">
        <w:t xml:space="preserve"> by GPC</w:t>
      </w:r>
      <w:r>
        <w:t xml:space="preserve">. Within </w:t>
      </w:r>
      <w:r w:rsidR="002D1328">
        <w:t>2</w:t>
      </w:r>
      <w:r>
        <w:t xml:space="preserve">0 Days after receipt, GPC will review the Commercial Operation Completion Certificate and notify Seller whether GPC agrees </w:t>
      </w:r>
      <w:r w:rsidR="00820163">
        <w:t xml:space="preserve">in its reasonable discretion </w:t>
      </w:r>
      <w:r>
        <w:t xml:space="preserve">that Commercial Operation was achieved. If GPC agrees </w:t>
      </w:r>
      <w:r w:rsidR="00820163">
        <w:t xml:space="preserve">in its reasonable discretion </w:t>
      </w:r>
      <w:r>
        <w:t xml:space="preserve">that Commercial Operation was achieved, the date that Seller submitted the Commercial Operation Completion Certificate will be the Commercial Operation Date. However, if GPC determines </w:t>
      </w:r>
      <w:r w:rsidR="00820163">
        <w:t xml:space="preserve">in its reasonable discretion </w:t>
      </w:r>
      <w:r>
        <w:t xml:space="preserve">that the Facility has not actually achieved Commercial Operation, GPC will notify Seller of any issue and deficiency, and Seller must: promptly (i) resolve any issue or deficiency and then resubmit the Commercial Operation Completion Certificate; or (ii) demonstrate to GPC’s </w:t>
      </w:r>
      <w:r w:rsidR="00820163">
        <w:t xml:space="preserve">reasonable </w:t>
      </w:r>
      <w:r>
        <w:t>satisfaction why the Facility has actually achieved Commercial Operation. This process will repeat until Commercial Operation (as determined by GPC</w:t>
      </w:r>
      <w:r w:rsidR="009A3C72">
        <w:t xml:space="preserve"> in its reasonable discretion</w:t>
      </w:r>
      <w:r>
        <w:t>) is achieved. Seller will be liable for delay liquidated damages under Section 7.3 (</w:t>
      </w:r>
      <w:r>
        <w:rPr>
          <w:i/>
        </w:rPr>
        <w:t xml:space="preserve">Failure to Achieve </w:t>
      </w:r>
      <w:r>
        <w:rPr>
          <w:i/>
          <w:iCs/>
        </w:rPr>
        <w:t xml:space="preserve">Commercial Operation by </w:t>
      </w:r>
      <w:r>
        <w:rPr>
          <w:i/>
        </w:rPr>
        <w:t>RCOD</w:t>
      </w:r>
      <w:r>
        <w:t xml:space="preserve">) if GPC determines </w:t>
      </w:r>
      <w:r w:rsidR="009A3C72">
        <w:t xml:space="preserve">in its reasonable discretion </w:t>
      </w:r>
      <w:r>
        <w:t>that Seller did not timely achieve Commercial Operation. Subject to Section 7.3.4 (</w:t>
      </w:r>
      <w:r>
        <w:rPr>
          <w:i/>
        </w:rPr>
        <w:t>RCOD Exceptions</w:t>
      </w:r>
      <w:r>
        <w:t>), if applicable, Seller will be entitled to an RCOD extension if the Interconnection Provider is solely responsible for a delay in the construction of Interconnection Facilities.</w:t>
      </w:r>
    </w:p>
    <w:p w:rsidRPr="00F40F9C" w:rsidR="002D54C4" w:rsidP="0005282B" w:rsidRDefault="008B55A2" w14:paraId="07D4E682" w14:textId="77777777">
      <w:pPr>
        <w:pStyle w:val="zGTC02"/>
        <w:rPr>
          <w:vanish/>
          <w:specVanish/>
        </w:rPr>
      </w:pPr>
      <w:bookmarkStart w:name="_Toc160749122" w:id="430"/>
      <w:bookmarkStart w:name="_Toc194937485" w:id="431"/>
      <w:bookmarkStart w:name="_Toc174624872" w:id="432"/>
      <w:bookmarkStart w:name="_Toc227451535" w:id="433"/>
      <w:r>
        <w:t>Key Milestones and Milestone Schedule.</w:t>
      </w:r>
      <w:bookmarkEnd w:id="430"/>
      <w:bookmarkEnd w:id="431"/>
      <w:bookmarkEnd w:id="432"/>
      <w:bookmarkEnd w:id="433"/>
      <w:r>
        <w:t xml:space="preserve"> </w:t>
      </w:r>
    </w:p>
    <w:p w:rsidRPr="00F40F9C" w:rsidR="0005282B" w:rsidP="002D54C4" w:rsidRDefault="008B55A2" w14:paraId="0D9BAC5F" w14:textId="77777777">
      <w:pPr>
        <w:pStyle w:val="zGNormal"/>
      </w:pPr>
      <w:r>
        <w:t xml:space="preserve"> By no later than 10 Business Days after the date of the Commission Certificate, Seller must provide a Milestone Schedule. At a minimum, the Milestone Schedule must include the Key Milestones stated in Exhibit A-1 (</w:t>
      </w:r>
      <w:r>
        <w:rPr>
          <w:i/>
        </w:rPr>
        <w:t>Key Milestones and Required Key Milestone Dates</w:t>
      </w:r>
      <w:r>
        <w:t>) and supported by documentation, as applicable.</w:t>
      </w:r>
    </w:p>
    <w:p w:rsidRPr="00F40F9C" w:rsidR="0005282B" w:rsidP="00C22140" w:rsidRDefault="008B55A2" w14:paraId="28307342" w14:textId="319D4613">
      <w:pPr>
        <w:pStyle w:val="zGTC03"/>
        <w:rPr>
          <w:vanish/>
          <w:specVanish/>
        </w:rPr>
      </w:pPr>
      <w:r>
        <w:t xml:space="preserve">Milestone Schedule Updates; </w:t>
      </w:r>
      <w:r w:rsidR="009C1ECA">
        <w:t>Monthly</w:t>
      </w:r>
      <w:r>
        <w:t xml:space="preserve"> Reports.</w:t>
      </w:r>
    </w:p>
    <w:p w:rsidRPr="005618E3" w:rsidR="00977392" w:rsidP="002D54C4" w:rsidRDefault="008B55A2" w14:paraId="65C26E09" w14:textId="15C101BC">
      <w:pPr>
        <w:pStyle w:val="zGNormal"/>
      </w:pPr>
      <w:r>
        <w:t xml:space="preserve"> Until COD, Seller must  submit to GPC a Monthly written status report that: (i) covers the previous Month; (ii) is prepared in a manner and format (hard copy and electronic) </w:t>
      </w:r>
      <w:r w:rsidR="00C84004">
        <w:t xml:space="preserve">reasonably </w:t>
      </w:r>
      <w:r>
        <w:t xml:space="preserve">acceptable to GPC; and (iii) includes a detailed summary of (a) Seller’s progress toward each of the Key Milestones and the Facility’s development and construction, (b) Seller’s adherence to the Milestone Schedule, (c) any significant event that is scheduled or expected to occur during the following 30 Days, and (d) any other information </w:t>
      </w:r>
      <w:r w:rsidR="00C84004">
        <w:t xml:space="preserve">reasonably </w:t>
      </w:r>
      <w:r>
        <w:t xml:space="preserve">requested by GPC. Seller must promptly notify GPC of any significant change in the Milestone Schedule that may delay Commercial Operation or the status of construction as may occur from time to time (including the reason for the change). </w:t>
      </w:r>
    </w:p>
    <w:p w:rsidRPr="005618E3" w:rsidR="00977392" w:rsidP="00C22140" w:rsidRDefault="008B55A2" w14:paraId="6F043EE9" w14:textId="77777777">
      <w:pPr>
        <w:pStyle w:val="zGTC03"/>
        <w:rPr>
          <w:vanish/>
          <w:specVanish/>
        </w:rPr>
      </w:pPr>
      <w:r>
        <w:t>Recovery Plan.</w:t>
      </w:r>
    </w:p>
    <w:p w:rsidRPr="00B3298B" w:rsidR="002D54C4" w:rsidP="002D54C4" w:rsidRDefault="008B55A2" w14:paraId="10EE6337" w14:textId="71B6D85F">
      <w:pPr>
        <w:pStyle w:val="zGNormal"/>
      </w:pPr>
      <w:r>
        <w:t xml:space="preserve"> </w:t>
      </w:r>
      <w:r w:rsidRPr="00B3298B" w:rsidR="00B3298B">
        <w:rPr>
          <w:rFonts w:eastAsia="Calibri"/>
          <w:kern w:val="0"/>
        </w:rPr>
        <w:t xml:space="preserve">Promptly, but no later than 10 Business Days, after becoming aware of any event or circumstance that is reasonably expected to cause a delay in achieving any Key Milestone by its Key Milestone Date, Seller must provide to GPC </w:t>
      </w:r>
      <w:bookmarkStart w:name="_Hlk206618752" w:id="434"/>
      <w:r w:rsidRPr="00B3298B" w:rsidR="00B3298B">
        <w:rPr>
          <w:rFonts w:eastAsia="Calibri"/>
          <w:kern w:val="0"/>
        </w:rPr>
        <w:t xml:space="preserve">for GPC’s review and approval </w:t>
      </w:r>
      <w:bookmarkEnd w:id="434"/>
      <w:r w:rsidRPr="00B3298B" w:rsidR="00B3298B">
        <w:rPr>
          <w:rFonts w:eastAsia="Calibri"/>
          <w:kern w:val="0"/>
        </w:rPr>
        <w:t>a recovery plan setting forth in detail and with supporting documentation: (i) the cause(s) of the event or circumstance and the expected length of delay; and (ii) Seller’s plan to recover the lost time and regain compliance with the Milestone Schedule to achieve Commercial Operation by the RCOD, or if not by the RCOD, then by no later than nine Months after the RCOD. GPC’s right to approve Seller’s recovery plan is limited solely to determining if the recovery plan demonstrates with sufficient particularity that Seller will regain compliance with the Milestone Schedule and achieve Commercial Operation by the RCOD or, if not by the RCOD, then by no later than nine Months after the RCOD, and these approval rights do not extend to the general mode, manner, or cost of Seller’s performance of the recovery plan. If GPC does not approve Seller’s recovery plan, GPC will notify Seller of the specific deficiencies in the recovery plan by no later than 10 Days after GPC’s receipt of the recovery plan. By no later than 10 Days after receipt of GPC’s</w:t>
      </w:r>
      <w:r w:rsidRPr="00B3298B" w:rsidDel="00346B68" w:rsidR="00B3298B">
        <w:rPr>
          <w:rFonts w:eastAsia="Calibri"/>
          <w:kern w:val="0"/>
        </w:rPr>
        <w:t xml:space="preserve"> </w:t>
      </w:r>
      <w:r w:rsidRPr="00B3298B" w:rsidR="00B3298B">
        <w:rPr>
          <w:rFonts w:eastAsia="Calibri"/>
          <w:kern w:val="0"/>
        </w:rPr>
        <w:t xml:space="preserve">rejection, Seller must revise </w:t>
      </w:r>
      <w:r w:rsidRPr="00B3298B" w:rsidR="00B3298B">
        <w:rPr>
          <w:rFonts w:eastAsia="Calibri"/>
          <w:kern w:val="0"/>
        </w:rPr>
        <w:lastRenderedPageBreak/>
        <w:t xml:space="preserve">the recovery plan to address the deficiencies stated in GPC’s notice and resubmit the recovery plan to GPC. Nothing in this Section 7.2.2 will be construed to relieve Seller of any of its PPA obligations. </w:t>
      </w:r>
      <w:r w:rsidRPr="00B3298B" w:rsidR="00B3298B">
        <w:rPr>
          <w:rFonts w:eastAsia="Calibri"/>
          <w:bCs/>
          <w:kern w:val="0"/>
        </w:rPr>
        <w:t>The delivery of a recovery plan meeting GPC’s approval as outlined in this Section 7.2.2 (</w:t>
      </w:r>
      <w:r w:rsidRPr="00B3298B" w:rsidR="00B3298B">
        <w:rPr>
          <w:rFonts w:eastAsia="Calibri"/>
          <w:bCs/>
          <w:i/>
          <w:iCs/>
          <w:kern w:val="0"/>
        </w:rPr>
        <w:t>Recovery Plan</w:t>
      </w:r>
      <w:r w:rsidRPr="00B3298B" w:rsidR="00B3298B">
        <w:rPr>
          <w:rFonts w:eastAsia="Calibri"/>
          <w:bCs/>
          <w:kern w:val="0"/>
        </w:rPr>
        <w:t>) will satisfy Seller’s obligation with respect to any delay in achieving a Key Milestone, except for a delay in achieving Commercial Operation as set forth in Section 7.3 (</w:t>
      </w:r>
      <w:r w:rsidRPr="00B3298B" w:rsidR="00B3298B">
        <w:rPr>
          <w:rFonts w:eastAsia="Calibri"/>
          <w:bCs/>
          <w:i/>
          <w:iCs/>
          <w:kern w:val="0"/>
        </w:rPr>
        <w:t>Failure to Achieve Commercial Operation by RCOD</w:t>
      </w:r>
      <w:r w:rsidRPr="00B3298B" w:rsidR="00B3298B">
        <w:rPr>
          <w:rFonts w:eastAsia="Calibri"/>
          <w:bCs/>
          <w:kern w:val="0"/>
        </w:rPr>
        <w:t>) or any delay caused by an FME as set forth in Part 15 (</w:t>
      </w:r>
      <w:r w:rsidRPr="00B3298B" w:rsidR="00B3298B">
        <w:rPr>
          <w:rFonts w:eastAsia="Calibri"/>
          <w:bCs/>
          <w:i/>
          <w:iCs/>
          <w:kern w:val="0"/>
        </w:rPr>
        <w:t>Force Majeure</w:t>
      </w:r>
      <w:r w:rsidRPr="00B3298B" w:rsidR="00B3298B">
        <w:rPr>
          <w:rFonts w:eastAsia="Calibri"/>
          <w:bCs/>
          <w:kern w:val="0"/>
        </w:rPr>
        <w:t>).</w:t>
      </w:r>
    </w:p>
    <w:p w:rsidRPr="00F40F9C" w:rsidR="002D54C4" w:rsidP="00C22140" w:rsidRDefault="008B55A2" w14:paraId="2460DE1E" w14:textId="77777777">
      <w:pPr>
        <w:pStyle w:val="zGTC03"/>
        <w:rPr>
          <w:vanish/>
          <w:specVanish/>
        </w:rPr>
      </w:pPr>
      <w:r>
        <w:t>Requested Information and Physical Inspections.</w:t>
      </w:r>
    </w:p>
    <w:p w:rsidRPr="005618E3" w:rsidR="002D54C4" w:rsidP="002D54C4" w:rsidRDefault="008B55A2" w14:paraId="3335F406" w14:textId="77777777">
      <w:pPr>
        <w:pStyle w:val="zGNormal"/>
      </w:pPr>
      <w:r>
        <w:rPr>
          <w:b/>
          <w:bCs/>
        </w:rPr>
        <w:t xml:space="preserve"> </w:t>
      </w:r>
      <w:r>
        <w:t>GPC may reasonably request information regarding the status of the Facility and inspect the Facility’s construction, startup, and testing. Seller must provide, or cause to be provided, to GPC the requested information. Additionally, Seller must coordinate physical inspection of the Facility as GPC may reasonably request during or after completion of construction. GPC will provide Seller reasonable prior notice regarding an inspection. All GPC or GPC-Representative activities at the Site will be subject to Seller’s reasonable rules and procedures (including those related to health and safety).</w:t>
      </w:r>
    </w:p>
    <w:p w:rsidRPr="005618E3" w:rsidR="002D54C4" w:rsidP="00C13270" w:rsidRDefault="008B55A2" w14:paraId="37DF5CD4" w14:textId="77777777">
      <w:pPr>
        <w:pStyle w:val="zGTC02"/>
        <w:keepNext/>
        <w:rPr>
          <w:specVanish/>
        </w:rPr>
      </w:pPr>
      <w:bookmarkStart w:name="_Toc160749123" w:id="435"/>
      <w:bookmarkStart w:name="_Toc194937486" w:id="436"/>
      <w:bookmarkStart w:name="_Toc174624873" w:id="437"/>
      <w:bookmarkStart w:name="_Toc227451536" w:id="438"/>
      <w:r>
        <w:t>Failure to Achieve Commercial Operation by RCOD.</w:t>
      </w:r>
      <w:bookmarkStart w:name="_Toc158593206" w:id="439"/>
      <w:bookmarkStart w:name="_Toc158597485" w:id="440"/>
      <w:bookmarkStart w:name="_Toc158720109" w:id="441"/>
      <w:bookmarkStart w:name="_Toc158722863" w:id="442"/>
      <w:bookmarkEnd w:id="435"/>
      <w:bookmarkEnd w:id="436"/>
      <w:bookmarkEnd w:id="437"/>
      <w:bookmarkEnd w:id="438"/>
      <w:bookmarkEnd w:id="439"/>
      <w:bookmarkEnd w:id="440"/>
      <w:bookmarkEnd w:id="441"/>
      <w:bookmarkEnd w:id="442"/>
    </w:p>
    <w:p w:rsidRPr="005618E3" w:rsidR="002D54C4" w:rsidP="00C22140" w:rsidRDefault="008B55A2" w14:paraId="0EF8F1E8" w14:textId="77777777">
      <w:pPr>
        <w:pStyle w:val="zGTC03"/>
        <w:rPr>
          <w:vanish/>
          <w:w w:val="0"/>
          <w:specVanish/>
        </w:rPr>
      </w:pPr>
      <w:r>
        <w:rPr>
          <w:w w:val="0"/>
        </w:rPr>
        <w:t>Delay Liquidated Damages.</w:t>
      </w:r>
    </w:p>
    <w:p w:rsidRPr="00F40F9C" w:rsidR="002D54C4" w:rsidP="002D54C4" w:rsidRDefault="008B55A2" w14:paraId="7F65104B" w14:textId="6AA735FC">
      <w:pPr>
        <w:pStyle w:val="zGNormal"/>
        <w:rPr>
          <w:w w:val="0"/>
        </w:rPr>
      </w:pPr>
      <w:r>
        <w:rPr>
          <w:w w:val="0"/>
        </w:rPr>
        <w:t xml:space="preserve"> If Seller fails to </w:t>
      </w:r>
      <w:bookmarkStart w:name="_Hlk16781251" w:id="443"/>
      <w:r>
        <w:rPr>
          <w:w w:val="0"/>
        </w:rPr>
        <w:t>achieve Commercial Operation by the RCOD</w:t>
      </w:r>
      <w:bookmarkEnd w:id="443"/>
      <w:r>
        <w:rPr>
          <w:w w:val="0"/>
        </w:rPr>
        <w:t xml:space="preserve">, Seller must pay to </w:t>
      </w:r>
      <w:r>
        <w:t>GPC</w:t>
      </w:r>
      <w:r>
        <w:rPr>
          <w:w w:val="0"/>
        </w:rPr>
        <w:t xml:space="preserve"> delay liquidated damages calculated in accordance with Part 2 (</w:t>
      </w:r>
      <w:r>
        <w:rPr>
          <w:i/>
          <w:iCs/>
          <w:w w:val="0"/>
        </w:rPr>
        <w:t>Liquidated Damages</w:t>
      </w:r>
      <w:r>
        <w:rPr>
          <w:w w:val="0"/>
        </w:rPr>
        <w:t>) of Exhibit A-2 (</w:t>
      </w:r>
      <w:r>
        <w:rPr>
          <w:i/>
          <w:iCs/>
          <w:w w:val="0"/>
        </w:rPr>
        <w:t>Performance Security and Liquidated Damages</w:t>
      </w:r>
      <w:r>
        <w:rPr>
          <w:w w:val="0"/>
        </w:rPr>
        <w:t>), prorated daily, until the earlier of: (i) COD; (ii) the Day GPC receives notice from Seller that Commercial Operation will not be achieved; or (iii)</w:t>
      </w:r>
      <w:r w:rsidDel="00840503">
        <w:rPr>
          <w:w w:val="0"/>
        </w:rPr>
        <w:t xml:space="preserve"> termination of this PPA for an Event of Default by Seller</w:t>
      </w:r>
      <w:r>
        <w:t>.</w:t>
      </w:r>
      <w:r>
        <w:rPr>
          <w:w w:val="0"/>
        </w:rPr>
        <w:t xml:space="preserve"> </w:t>
      </w:r>
    </w:p>
    <w:p w:rsidRPr="00F40F9C" w:rsidR="002D54C4" w:rsidP="00C22140" w:rsidRDefault="008B55A2" w14:paraId="632F043B" w14:textId="77777777">
      <w:pPr>
        <w:pStyle w:val="zGTC03"/>
        <w:rPr>
          <w:vanish/>
          <w:specVanish/>
        </w:rPr>
      </w:pPr>
      <w:r>
        <w:t xml:space="preserve">No </w:t>
      </w:r>
      <w:r>
        <w:rPr>
          <w:w w:val="0"/>
        </w:rPr>
        <w:t>Payment to Seller during Delay.</w:t>
      </w:r>
    </w:p>
    <w:p w:rsidRPr="00F40F9C" w:rsidR="002D54C4" w:rsidRDefault="008B55A2" w14:paraId="1DC2365C" w14:textId="77777777">
      <w:pPr>
        <w:pStyle w:val="zGNormal"/>
        <w:rPr>
          <w:w w:val="0"/>
        </w:rPr>
      </w:pPr>
      <w:r>
        <w:rPr>
          <w:w w:val="0"/>
        </w:rPr>
        <w:t xml:space="preserve"> GPC will not owe any Monthly Capacity Payment to Seller during any period of delay in achieving Commercial Operation. </w:t>
      </w:r>
    </w:p>
    <w:p w:rsidRPr="00F40F9C" w:rsidR="002D54C4" w:rsidP="00C22140" w:rsidRDefault="008B55A2" w14:paraId="3EAC229E" w14:textId="77777777">
      <w:pPr>
        <w:pStyle w:val="zGTC03"/>
        <w:rPr>
          <w:vanish/>
          <w:w w:val="0"/>
          <w:specVanish/>
        </w:rPr>
      </w:pPr>
      <w:r>
        <w:rPr>
          <w:w w:val="0"/>
        </w:rPr>
        <w:t>Seller Payment of Delay Liquidated Damages; Pre-COD Termination Damages.</w:t>
      </w:r>
    </w:p>
    <w:p w:rsidRPr="00F40F9C" w:rsidR="002D54C4" w:rsidRDefault="008B55A2" w14:paraId="6CB8CDE7" w14:textId="4AA9B06B">
      <w:pPr>
        <w:pStyle w:val="zGNormal"/>
      </w:pPr>
      <w:r>
        <w:rPr>
          <w:w w:val="0"/>
        </w:rPr>
        <w:t xml:space="preserve"> Seller </w:t>
      </w:r>
      <w:r>
        <w:t>must</w:t>
      </w:r>
      <w:r>
        <w:rPr>
          <w:w w:val="0"/>
        </w:rPr>
        <w:t xml:space="preserve"> pay </w:t>
      </w:r>
      <w:r>
        <w:t xml:space="preserve">GPC, on a Monthly basis by no later than 10 Days after the end of the applicable Month, delay liquidated damages </w:t>
      </w:r>
      <w:r w:rsidR="007A6384">
        <w:t xml:space="preserve">that accrued </w:t>
      </w:r>
      <w:r>
        <w:t>under this Section 7.3 (</w:t>
      </w:r>
      <w:r>
        <w:rPr>
          <w:i/>
        </w:rPr>
        <w:t>Failure to Achieve Commercial Operation by RCOD</w:t>
      </w:r>
      <w:r>
        <w:t>)</w:t>
      </w:r>
      <w:r w:rsidR="007A6384">
        <w:t xml:space="preserve"> during the preceding Month</w:t>
      </w:r>
      <w:r>
        <w:t>. In accordance with Section 6.3 (</w:t>
      </w:r>
      <w:r>
        <w:rPr>
          <w:i/>
        </w:rPr>
        <w:t>Draws; Replenishment</w:t>
      </w:r>
      <w:r>
        <w:t>): (i) GPC may draw upon the Performance Security to recover delay liquidated damages owed under this Section 7.3</w:t>
      </w:r>
      <w:r w:rsidR="00DE52EE">
        <w:t xml:space="preserve"> </w:t>
      </w:r>
      <w:r w:rsidR="00451808">
        <w:t>to the extent not paid when due</w:t>
      </w:r>
      <w:r>
        <w:t>; and (ii) Seller must replenish the Performance Security. The Parties will resolve any dispute regarding delay liquidated damages under this Section 7.3 in accordance with Section 5.2 (</w:t>
      </w:r>
      <w:r>
        <w:rPr>
          <w:i/>
        </w:rPr>
        <w:t>Billing Disputes and Final Accounting</w:t>
      </w:r>
      <w:r>
        <w:t xml:space="preserve">). </w:t>
      </w:r>
      <w:r w:rsidR="00F01A53">
        <w:t>I</w:t>
      </w:r>
      <w:r w:rsidR="00E54EEC">
        <w:t xml:space="preserve">f Seller notifies GPC that Seller has reasonably determined that </w:t>
      </w:r>
      <w:r w:rsidR="00B47E97">
        <w:t>Seller</w:t>
      </w:r>
      <w:r w:rsidR="00E54EEC">
        <w:t xml:space="preserve"> will not achieve Commercial Operation and GPC does not terminate this PPA within 30 Days </w:t>
      </w:r>
      <w:r w:rsidR="00C42293">
        <w:t>after GPC’s</w:t>
      </w:r>
      <w:r w:rsidR="00E54EEC">
        <w:t xml:space="preserve"> receipt of Seller’s notice, Seller will have the right to terminate this PPA on notice to GPC. A Seller termination in accordance with the preceding sentence will constitute a Seller Event of Default under Section 16.1.12</w:t>
      </w:r>
      <w:r w:rsidR="00396984">
        <w:t xml:space="preserve"> (</w:t>
      </w:r>
      <w:r w:rsidRPr="00C5503D" w:rsidR="00396984">
        <w:rPr>
          <w:i/>
          <w:iCs/>
        </w:rPr>
        <w:t>Abandonment or Failure to Achieve RCOD</w:t>
      </w:r>
      <w:r w:rsidR="00396984">
        <w:t>)</w:t>
      </w:r>
      <w:r w:rsidR="00E54EEC">
        <w:t xml:space="preserve">. </w:t>
      </w:r>
      <w:r>
        <w:t xml:space="preserve">If GPC terminates this PPA for a Seller Event of Default under Section 16.1.12, </w:t>
      </w:r>
      <w:r w:rsidR="006440BD">
        <w:t xml:space="preserve">or if Seller terminates the PPA in accordance with the preceding sentences, </w:t>
      </w:r>
      <w:r>
        <w:t>then, in addition to Seller’s payment of the delay liquidated damages that accrue under Section 7.3, Seller must pay to GPC, as the Termination Payment, termination liquidated damages in an amount equal to the applicable Performance Security amount shown in Part 1 (</w:t>
      </w:r>
      <w:r>
        <w:rPr>
          <w:i/>
          <w:iCs/>
        </w:rPr>
        <w:t>Performance Security</w:t>
      </w:r>
      <w:r>
        <w:t>) of Exhibit A-2 (</w:t>
      </w:r>
      <w:r>
        <w:rPr>
          <w:i/>
          <w:iCs/>
        </w:rPr>
        <w:t>Performance Security and Liquidated Damages</w:t>
      </w:r>
      <w:r>
        <w:t xml:space="preserve">). Seller must </w:t>
      </w:r>
      <w:r w:rsidR="00BB1B1F">
        <w:t>also</w:t>
      </w:r>
      <w:r>
        <w:t xml:space="preserve"> reimburse GPC for the total costs GPC incurred for modifications to the Electric System associated with the Facility and the operational capability </w:t>
      </w:r>
      <w:r w:rsidR="00AF6C2B">
        <w:t xml:space="preserve">to deliver energy </w:t>
      </w:r>
      <w:r w:rsidR="00EE4C7C">
        <w:t xml:space="preserve">from </w:t>
      </w:r>
      <w:r>
        <w:t xml:space="preserve">the Facility </w:t>
      </w:r>
      <w:r w:rsidR="00AF6C2B">
        <w:t>to</w:t>
      </w:r>
      <w:r>
        <w:t xml:space="preserve"> GPC’s customers</w:t>
      </w:r>
      <w:r w:rsidR="00BB1B1F">
        <w:t>, subject to any applicable requirement of the Southern OATT</w:t>
      </w:r>
      <w:r>
        <w:t>. Following termination, as described in the preceding sentences, and Seller’s payment to GPC of all required damages in accordance with this Section 7.3</w:t>
      </w:r>
      <w:r w:rsidR="00437787">
        <w:t xml:space="preserve"> and Section 16.3.2</w:t>
      </w:r>
      <w:r>
        <w:t>, neither Party will have any other liability to the other Party under this PPA.</w:t>
      </w:r>
    </w:p>
    <w:p w:rsidRPr="00F40F9C" w:rsidR="002D54C4" w:rsidP="00C22140" w:rsidRDefault="008B55A2" w14:paraId="08C01434" w14:textId="77777777">
      <w:pPr>
        <w:pStyle w:val="zGTC03"/>
        <w:rPr>
          <w:vanish/>
          <w:specVanish/>
        </w:rPr>
      </w:pPr>
      <w:r>
        <w:t xml:space="preserve">RCOD Exceptions. </w:t>
      </w:r>
    </w:p>
    <w:p w:rsidRPr="00F40F9C" w:rsidR="002D54C4" w:rsidRDefault="008B55A2" w14:paraId="4BD3B6FA" w14:textId="3B64200F">
      <w:pPr>
        <w:pStyle w:val="zGNormal"/>
      </w:pPr>
      <w:r>
        <w:rPr>
          <w:b/>
          <w:bCs/>
        </w:rPr>
        <w:t xml:space="preserve"> </w:t>
      </w:r>
      <w:r>
        <w:t>If Seller’s failure to achieve Commercial Operation by the RCOD is solely caused by: (i) an FME under Section 15.3 (</w:t>
      </w:r>
      <w:r>
        <w:rPr>
          <w:i/>
        </w:rPr>
        <w:t>No Breach or Liability</w:t>
      </w:r>
      <w:r>
        <w:t>)</w:t>
      </w:r>
      <w:r w:rsidR="00E30EA2">
        <w:t>;</w:t>
      </w:r>
      <w:r>
        <w:t xml:space="preserve"> (ii) a delay in the construction by Interconnection Provider of the Interconnection Facilities</w:t>
      </w:r>
      <w:r w:rsidR="00E30EA2">
        <w:t>; or (iii) a delay in GPC’s review and coordination of Seller’s AGC system design</w:t>
      </w:r>
      <w:r w:rsidR="007349CA">
        <w:t xml:space="preserve"> for the Facility</w:t>
      </w:r>
      <w:r>
        <w:t>, so long as Seller has complied with Section 8.1.3 (</w:t>
      </w:r>
      <w:r>
        <w:rPr>
          <w:i/>
        </w:rPr>
        <w:t>Interconnection Projected Completion Date</w:t>
      </w:r>
      <w:r>
        <w:t>) and the delay is not caused by any action or inaction on the part of Seller, the RCOD will be extended, in each case</w:t>
      </w:r>
      <w:r w:rsidR="003B7D1C">
        <w:t xml:space="preserve">, by the number of days supported by </w:t>
      </w:r>
      <w:r w:rsidR="008E14EB">
        <w:t>a</w:t>
      </w:r>
      <w:r w:rsidR="003B7D1C">
        <w:t xml:space="preserve"> critical path analysis</w:t>
      </w:r>
      <w:r>
        <w:t xml:space="preserve">. In the case of (ii), if Seller has not met all </w:t>
      </w:r>
      <w:r>
        <w:lastRenderedPageBreak/>
        <w:t xml:space="preserve">IA obligations in a timely manner, Seller’s failure to achieve Commercial Operation by the RCOD will not be excused, the RCOD will not be extended, and, while the Interconnection Provider completes construction of the Interconnection Facilities, Seller will owe </w:t>
      </w:r>
      <w:r w:rsidR="00650059">
        <w:t>delay</w:t>
      </w:r>
      <w:r>
        <w:t xml:space="preserve"> liquidated damages for each Day of delay after RCOD as set forth in Section 7.3.1 (</w:t>
      </w:r>
      <w:r>
        <w:rPr>
          <w:i/>
        </w:rPr>
        <w:t>Delay Liquidated Damages</w:t>
      </w:r>
      <w:r>
        <w:t>).</w:t>
      </w:r>
    </w:p>
    <w:p w:rsidRPr="00F40F9C" w:rsidR="002D54C4" w:rsidP="00C22140" w:rsidRDefault="008B55A2" w14:paraId="141F757B" w14:textId="77777777">
      <w:pPr>
        <w:pStyle w:val="zGTC03"/>
        <w:rPr>
          <w:vanish/>
          <w:specVanish/>
        </w:rPr>
      </w:pPr>
      <w:r>
        <w:t>Liability Following Termination.</w:t>
      </w:r>
    </w:p>
    <w:p w:rsidR="002D54C4" w:rsidRDefault="008B55A2" w14:paraId="15EAAF4D" w14:textId="724C7995">
      <w:pPr>
        <w:pStyle w:val="zGNormal"/>
      </w:pPr>
      <w:r>
        <w:t xml:space="preserve"> If GPC terminates this PPA in accordance with Section 16.3 (</w:t>
      </w:r>
      <w:r>
        <w:rPr>
          <w:i/>
          <w:iCs/>
        </w:rPr>
        <w:t>Remedies</w:t>
      </w:r>
      <w:r>
        <w:t>) for a Seller Event of Default under Section 16.1.12 (</w:t>
      </w:r>
      <w:r>
        <w:rPr>
          <w:i/>
          <w:iCs/>
        </w:rPr>
        <w:t>Abandonment or</w:t>
      </w:r>
      <w:r>
        <w:t xml:space="preserve"> </w:t>
      </w:r>
      <w:r>
        <w:rPr>
          <w:i/>
        </w:rPr>
        <w:t>Failure to Achieve RCOD</w:t>
      </w:r>
      <w:r>
        <w:t>), Seller will owe the Termination Payment under Section 16.3 in addition to the delay liquidated damages that accrue before termination. After the termination, other than the requirement for Seller to pay the damages that accrue under this Section 7.3 (</w:t>
      </w:r>
      <w:r>
        <w:rPr>
          <w:i/>
        </w:rPr>
        <w:t xml:space="preserve">Failure to Achieve Commercial Operation </w:t>
      </w:r>
      <w:r>
        <w:rPr>
          <w:i/>
          <w:iCs/>
        </w:rPr>
        <w:t>by RCOD</w:t>
      </w:r>
      <w:r>
        <w:t>) and Section 16.3.2 (</w:t>
      </w:r>
      <w:r w:rsidR="0059475F">
        <w:rPr>
          <w:i/>
          <w:iCs/>
        </w:rPr>
        <w:t>Termination Payment</w:t>
      </w:r>
      <w:r>
        <w:t xml:space="preserve">), neither Party will have any further liability to the other Party </w:t>
      </w:r>
      <w:r w:rsidR="006876BD">
        <w:t>under</w:t>
      </w:r>
      <w:r>
        <w:t xml:space="preserve"> this PPA.</w:t>
      </w:r>
    </w:p>
    <w:p w:rsidRPr="00F40F9C" w:rsidR="00563235" w:rsidP="00C22140" w:rsidRDefault="008B55A2" w14:paraId="6753D89D" w14:textId="77777777">
      <w:pPr>
        <w:pStyle w:val="zGTC03"/>
        <w:rPr>
          <w:specVanish/>
        </w:rPr>
      </w:pPr>
      <w:r>
        <w:t>Commercial Operation Delay Caused by Southern Company Transmission System Capability.</w:t>
      </w:r>
    </w:p>
    <w:p w:rsidRPr="00F40F9C" w:rsidR="00563235" w:rsidP="00BC028A" w:rsidRDefault="008B55A2" w14:paraId="16A9EF5B" w14:textId="77777777">
      <w:pPr>
        <w:pStyle w:val="zGTC04"/>
        <w:rPr>
          <w:b/>
          <w:vanish/>
          <w:specVanish/>
        </w:rPr>
      </w:pPr>
      <w:r>
        <w:rPr>
          <w:b/>
        </w:rPr>
        <w:t>RCOD Extension to Accommodate Start-Up and Testing.</w:t>
      </w:r>
    </w:p>
    <w:p w:rsidRPr="00F40F9C" w:rsidR="00563235" w:rsidP="00E9216B" w:rsidRDefault="008B55A2" w14:paraId="10503441" w14:textId="41E3C8E3">
      <w:pPr>
        <w:pStyle w:val="zGNormal"/>
        <w:ind w:left="1440"/>
      </w:pPr>
      <w:r>
        <w:rPr>
          <w:b/>
        </w:rPr>
        <w:t xml:space="preserve"> </w:t>
      </w:r>
      <w:r>
        <w:t>Subject to all conditions in this Section 7.3.6(i), the RCOD will be extended if: (a) as a sole and direct result of Interconnection Facilities construction delay, Facility start-up and testing activities are delayed and Seller is prevented from achieving Commercial Operation by the RCOD; (b) the Interconnection Provider is solely responsible under the IA for the Interconnection Facilities construction delay; and (c) Seller undertakes all commercially reasonable action to avoid, overcome, or otherwise mitigate the impact of the delay. Any RCOD extension under this Section 7.3.6(i) will be based on the demonstrable impact to the critical path of the Milestone Schedule. The RCOD will not be extended if: (I) Seller has not timely complied with Section 8.1 (</w:t>
      </w:r>
      <w:r>
        <w:rPr>
          <w:i/>
          <w:iCs/>
        </w:rPr>
        <w:t>Interconnection</w:t>
      </w:r>
      <w:r>
        <w:t xml:space="preserve">); or (II) the delay was caused, in whole or in part, by any action or inaction on the part of Seller or a Seller Representative. </w:t>
      </w:r>
    </w:p>
    <w:p w:rsidRPr="00F40F9C" w:rsidR="00563235" w:rsidP="00FD46D6" w:rsidRDefault="008B55A2" w14:paraId="6FF14BF2" w14:textId="77777777">
      <w:pPr>
        <w:pStyle w:val="zGTC04"/>
        <w:rPr>
          <w:b/>
          <w:vanish/>
          <w:specVanish/>
        </w:rPr>
      </w:pPr>
      <w:r>
        <w:rPr>
          <w:b/>
        </w:rPr>
        <w:t>Exclusive Remedy.</w:t>
      </w:r>
    </w:p>
    <w:p w:rsidRPr="00F40F9C" w:rsidR="00563235" w:rsidP="00563235" w:rsidRDefault="008B55A2" w14:paraId="16FB74CF" w14:textId="77777777">
      <w:pPr>
        <w:pStyle w:val="zGNormal"/>
      </w:pPr>
      <w:r>
        <w:t xml:space="preserve"> Seller understands and acknowledges that extension of RCOD in accordance with Section 7.3.6(i) (</w:t>
      </w:r>
      <w:r>
        <w:rPr>
          <w:i/>
        </w:rPr>
        <w:t>RCOD Extension to Accommodate Start-Up and Testing</w:t>
      </w:r>
      <w:r>
        <w:t>) will be Seller’s exclusive remedy for any delay described in Section 7.3.6(i).</w:t>
      </w:r>
    </w:p>
    <w:p w:rsidRPr="00F40F9C" w:rsidR="00563235" w:rsidP="00FD46D6" w:rsidRDefault="008B55A2" w14:paraId="47BCE045" w14:textId="77777777">
      <w:pPr>
        <w:pStyle w:val="zGTC04"/>
        <w:rPr>
          <w:b/>
          <w:vanish/>
          <w:specVanish/>
        </w:rPr>
      </w:pPr>
      <w:r>
        <w:rPr>
          <w:b/>
        </w:rPr>
        <w:t>No PPA Term Extension.</w:t>
      </w:r>
    </w:p>
    <w:p w:rsidR="00563235" w:rsidRDefault="008B55A2" w14:paraId="33F4A450" w14:textId="77777777">
      <w:pPr>
        <w:pStyle w:val="zGNormal"/>
      </w:pPr>
      <w:r>
        <w:rPr>
          <w:b/>
        </w:rPr>
        <w:t xml:space="preserve"> </w:t>
      </w:r>
      <w:r>
        <w:t>Despite any other provision in this PPA, an extension of RCOD under Section 7.3.6(i) (</w:t>
      </w:r>
      <w:r>
        <w:rPr>
          <w:i/>
        </w:rPr>
        <w:t>RCOD Extension to Accommodate Start-Up and Testing</w:t>
      </w:r>
      <w:r>
        <w:t>) will not cause an extension of the Term, and no delay described in this Section 7.3.6 will otherwise extend this PPA beyond its stated Term.</w:t>
      </w:r>
    </w:p>
    <w:p w:rsidRPr="00F40F9C" w:rsidR="002D54C4" w:rsidP="00455F40" w:rsidRDefault="008B55A2" w14:paraId="22F816FC" w14:textId="0CF22DEA">
      <w:pPr>
        <w:pStyle w:val="zGTC01"/>
        <w:tabs>
          <w:tab w:val="clear" w:pos="3762"/>
        </w:tabs>
        <w:ind w:left="1080"/>
        <w:rPr>
          <w:szCs w:val="20"/>
        </w:rPr>
      </w:pPr>
      <w:bookmarkStart w:name="_Toc158593207" w:id="444"/>
      <w:bookmarkStart w:name="_Toc158597486" w:id="445"/>
      <w:bookmarkStart w:name="_Toc158720110" w:id="446"/>
      <w:bookmarkStart w:name="_Toc158722864" w:id="447"/>
      <w:bookmarkStart w:name="_Toc156309775" w:id="448"/>
      <w:bookmarkStart w:name="_Toc160749125" w:id="449"/>
      <w:bookmarkStart w:name="_Toc194937488" w:id="450"/>
      <w:bookmarkStart w:name="_Toc227451537" w:id="451"/>
      <w:bookmarkEnd w:id="444"/>
      <w:bookmarkEnd w:id="445"/>
      <w:bookmarkEnd w:id="446"/>
      <w:bookmarkEnd w:id="447"/>
      <w:bookmarkEnd w:id="448"/>
      <w:r>
        <w:t xml:space="preserve">Interconnection and </w:t>
      </w:r>
      <w:bookmarkEnd w:id="449"/>
      <w:r>
        <w:t>Metering</w:t>
      </w:r>
      <w:bookmarkEnd w:id="450"/>
      <w:bookmarkEnd w:id="451"/>
    </w:p>
    <w:p w:rsidRPr="00F40F9C" w:rsidR="002D54C4" w:rsidRDefault="008B55A2" w14:paraId="22967B65" w14:textId="77777777">
      <w:pPr>
        <w:pStyle w:val="zGTC02"/>
        <w:rPr>
          <w:specVanish/>
        </w:rPr>
      </w:pPr>
      <w:bookmarkStart w:name="_Toc156309777" w:id="452"/>
      <w:bookmarkStart w:name="_Toc160749126" w:id="453"/>
      <w:bookmarkStart w:name="_Toc194937489" w:id="454"/>
      <w:bookmarkStart w:name="_Toc174624876" w:id="455"/>
      <w:bookmarkStart w:name="_Toc227451538" w:id="456"/>
      <w:r>
        <w:t>Interconnection.</w:t>
      </w:r>
      <w:bookmarkStart w:name="_Toc158593209" w:id="457"/>
      <w:bookmarkStart w:name="_Toc158597488" w:id="458"/>
      <w:bookmarkStart w:name="_Toc158720112" w:id="459"/>
      <w:bookmarkStart w:name="_Toc158722866" w:id="460"/>
      <w:bookmarkStart w:name="_Toc158929396" w:id="461"/>
      <w:bookmarkEnd w:id="452"/>
      <w:bookmarkEnd w:id="453"/>
      <w:bookmarkEnd w:id="454"/>
      <w:bookmarkEnd w:id="455"/>
      <w:bookmarkEnd w:id="456"/>
      <w:bookmarkEnd w:id="457"/>
      <w:bookmarkEnd w:id="458"/>
      <w:bookmarkEnd w:id="459"/>
      <w:bookmarkEnd w:id="460"/>
      <w:bookmarkEnd w:id="461"/>
    </w:p>
    <w:p w:rsidRPr="00F40F9C" w:rsidR="002D54C4" w:rsidP="00C22140" w:rsidRDefault="008B55A2" w14:paraId="02088DDD" w14:textId="77777777">
      <w:pPr>
        <w:pStyle w:val="zGTC03"/>
        <w:rPr>
          <w:vanish/>
          <w:specVanish/>
        </w:rPr>
      </w:pPr>
      <w:r>
        <w:t>Interconnection Study and Entry into IA.</w:t>
      </w:r>
    </w:p>
    <w:p w:rsidRPr="00F40F9C" w:rsidR="002D54C4" w:rsidRDefault="008B55A2" w14:paraId="1D37054B" w14:textId="1E76E575">
      <w:pPr>
        <w:pStyle w:val="zGNormal"/>
      </w:pPr>
      <w:r w:rsidRPr="004B0BBF">
        <w:rPr>
          <w:b/>
        </w:rPr>
        <w:t xml:space="preserve"> </w:t>
      </w:r>
      <w:r>
        <w:t xml:space="preserve">Seller must </w:t>
      </w:r>
      <w:r w:rsidR="00F2074D">
        <w:t xml:space="preserve">(a) have entered into an IA with the Interconnection Provider on or before the Effective Date, or (b) </w:t>
      </w:r>
      <w:r>
        <w:t>enter into an IA with the Interconnection Provider by no later than 30 Days after the Interconnection Provider presents Seller with the IA for execution, unless GPC agrees otherwise in writing. Seller must timely comply with all obligations</w:t>
      </w:r>
      <w:r w:rsidR="00695714">
        <w:t xml:space="preserve"> </w:t>
      </w:r>
      <w:r>
        <w:t>under the Interconnection Study Agreement and IA, including timely submission of required data</w:t>
      </w:r>
      <w:r w:rsidR="00695714">
        <w:t>,</w:t>
      </w:r>
      <w:r>
        <w:t xml:space="preserve"> documentation</w:t>
      </w:r>
      <w:r w:rsidR="0029327E">
        <w:t>,</w:t>
      </w:r>
      <w:r>
        <w:t xml:space="preserve"> and payment, as applicable. Contracted Capacity must not exceed the Interconnection Limit. The IA must be maintained in effect throughout the Term</w:t>
      </w:r>
      <w:r w:rsidR="0029327E">
        <w:t xml:space="preserve"> (or, if entered into after the Effective Date, throughout the remainder of the Term)</w:t>
      </w:r>
      <w:r>
        <w:t xml:space="preserve">. Seller must promptly provide </w:t>
      </w:r>
      <w:r w:rsidR="00EB7EA8">
        <w:t xml:space="preserve">notice </w:t>
      </w:r>
      <w:r>
        <w:t xml:space="preserve">to GPC of  the </w:t>
      </w:r>
      <w:r w:rsidR="00EB7EA8">
        <w:t xml:space="preserve">execution of the </w:t>
      </w:r>
      <w:r>
        <w:t>IA</w:t>
      </w:r>
      <w:r w:rsidR="00EB7EA8">
        <w:t xml:space="preserve"> or any amendment to the IA, including a copy of the executed IA or amendment</w:t>
      </w:r>
      <w:r>
        <w:t xml:space="preserve">. </w:t>
      </w:r>
    </w:p>
    <w:p w:rsidRPr="00F40F9C" w:rsidR="002D54C4" w:rsidP="00C22140" w:rsidRDefault="008B55A2" w14:paraId="62D2D5F4" w14:textId="77777777">
      <w:pPr>
        <w:pStyle w:val="zGTC03"/>
        <w:rPr>
          <w:vanish/>
          <w:specVanish/>
        </w:rPr>
      </w:pPr>
      <w:r>
        <w:t>Interconnection Costs and Expenses.</w:t>
      </w:r>
    </w:p>
    <w:p w:rsidR="00B32845" w:rsidP="00CF67F5" w:rsidRDefault="008B55A2" w14:paraId="4D66DBF7" w14:textId="77777777">
      <w:pPr>
        <w:pStyle w:val="zGNormal"/>
      </w:pPr>
      <w:r>
        <w:rPr>
          <w:b/>
          <w:bCs/>
        </w:rPr>
        <w:t xml:space="preserve"> </w:t>
      </w:r>
      <w:r>
        <w:t>GPC will not be responsible under this PPA for any cost or expense (including overheads and administrative costs) or risk incurred concerning: (i) the Interconnection Study; or (ii) the design, construction, installation, modification, or maintenance of the Interconnection Facilities. Seller is responsible for determining all transmission- and interconnection-related rules, practices, and policies with which Seller must comply. Seller also is responsible for satisfying the payment or security requirements of any Interconnection Provider.</w:t>
      </w:r>
    </w:p>
    <w:p w:rsidRPr="00F40F9C" w:rsidR="002D54C4" w:rsidP="00C22140" w:rsidRDefault="008B55A2" w14:paraId="781D39AF" w14:textId="77777777">
      <w:pPr>
        <w:pStyle w:val="zGTC03"/>
        <w:rPr>
          <w:vanish/>
          <w:specVanish/>
        </w:rPr>
      </w:pPr>
      <w:r>
        <w:lastRenderedPageBreak/>
        <w:t>Interconnection Projected Completion Date.</w:t>
      </w:r>
    </w:p>
    <w:p w:rsidRPr="00F40F9C" w:rsidR="002D54C4" w:rsidRDefault="008B55A2" w14:paraId="143AE03E" w14:textId="357632F6">
      <w:pPr>
        <w:pStyle w:val="zGNormal"/>
      </w:pPr>
      <w:r>
        <w:t xml:space="preserve"> The IA must reflect a projected completion date for construction or modification of the Interconnection Facilities, including a reasonable schedule between initial synchronization and the RCOD to allow for operations verification and testing consistent with the Interconnection Provider’s current practices. Seller must, in a timely manner, execute and perform under the IA, including providing timely notice to proceed, timely submission of required data and documentation, and timely payment or security. Seller acknowledges that before entering an IA with </w:t>
      </w:r>
      <w:r w:rsidR="001C737A">
        <w:t>Interconnection Provider</w:t>
      </w:r>
      <w:r>
        <w:t>, as described in Section 8.1.</w:t>
      </w:r>
      <w:r w:rsidR="006D5680">
        <w:t>1</w:t>
      </w:r>
      <w:r>
        <w:t xml:space="preserve"> (</w:t>
      </w:r>
      <w:r>
        <w:rPr>
          <w:i/>
          <w:iCs/>
        </w:rPr>
        <w:t xml:space="preserve">Interconnection </w:t>
      </w:r>
      <w:r w:rsidR="00EA62AE">
        <w:rPr>
          <w:i/>
          <w:iCs/>
        </w:rPr>
        <w:t>Study and Entry into IA</w:t>
      </w:r>
      <w:r>
        <w:t>), Seller may need to enter an engineering, procurement, and construction agreement to provide timely notice to proceed.</w:t>
      </w:r>
    </w:p>
    <w:p w:rsidRPr="00F40F9C" w:rsidR="002D54C4" w:rsidP="00C22140" w:rsidRDefault="008B55A2" w14:paraId="31B97321" w14:textId="77777777">
      <w:pPr>
        <w:pStyle w:val="zGTC03"/>
        <w:rPr>
          <w:vanish/>
          <w:specVanish/>
        </w:rPr>
      </w:pPr>
      <w:r>
        <w:t>Interconnection to Southern Company Transmission System.</w:t>
      </w:r>
    </w:p>
    <w:p w:rsidRPr="00F40F9C" w:rsidR="002D54C4" w:rsidRDefault="008B55A2" w14:paraId="32829334" w14:textId="2715A944">
      <w:pPr>
        <w:pStyle w:val="zGNormal"/>
      </w:pPr>
      <w:r>
        <w:rPr>
          <w:b/>
          <w:bCs/>
        </w:rPr>
        <w:t xml:space="preserve"> </w:t>
      </w:r>
      <w:r w:rsidR="00890337">
        <w:t>T</w:t>
      </w:r>
      <w:r>
        <w:t>he IA will be read in conjunction with this Part 8 (</w:t>
      </w:r>
      <w:r>
        <w:rPr>
          <w:i/>
        </w:rPr>
        <w:t>Interconnection and Metering</w:t>
      </w:r>
      <w:r>
        <w:t>) and any contradictory provision related to Facility interconnection will be resolved in favor of the IA.</w:t>
      </w:r>
    </w:p>
    <w:p w:rsidRPr="00F40F9C" w:rsidR="002D54C4" w:rsidP="00EB023B" w:rsidRDefault="008B55A2" w14:paraId="5656000A" w14:textId="77777777">
      <w:pPr>
        <w:pStyle w:val="zGTC02"/>
        <w:rPr>
          <w:specVanish/>
        </w:rPr>
      </w:pPr>
      <w:bookmarkStart w:name="_Toc160749127" w:id="462"/>
      <w:bookmarkStart w:name="_Toc194937490" w:id="463"/>
      <w:bookmarkStart w:name="_Toc174624877" w:id="464"/>
      <w:bookmarkStart w:name="_Toc227451539" w:id="465"/>
      <w:r>
        <w:t>Metering and Telemetry.</w:t>
      </w:r>
      <w:bookmarkStart w:name="_Toc158593210" w:id="466"/>
      <w:bookmarkStart w:name="_Toc158597489" w:id="467"/>
      <w:bookmarkStart w:name="_Toc158720113" w:id="468"/>
      <w:bookmarkStart w:name="_Toc158722867" w:id="469"/>
      <w:bookmarkStart w:name="_Toc158929397" w:id="470"/>
      <w:bookmarkEnd w:id="462"/>
      <w:bookmarkEnd w:id="463"/>
      <w:bookmarkEnd w:id="464"/>
      <w:bookmarkEnd w:id="465"/>
      <w:bookmarkEnd w:id="466"/>
      <w:bookmarkEnd w:id="467"/>
      <w:bookmarkEnd w:id="468"/>
      <w:bookmarkEnd w:id="469"/>
      <w:bookmarkEnd w:id="470"/>
    </w:p>
    <w:p w:rsidRPr="005618E3" w:rsidR="002D54C4" w:rsidP="00C22140" w:rsidRDefault="008B55A2" w14:paraId="3C4C6AC8" w14:textId="77777777">
      <w:pPr>
        <w:pStyle w:val="zGTC03"/>
        <w:rPr>
          <w:vanish/>
          <w:specVanish/>
        </w:rPr>
      </w:pPr>
      <w:r>
        <w:t>Metering System.</w:t>
      </w:r>
    </w:p>
    <w:p w:rsidRPr="005618E3" w:rsidR="002D54C4" w:rsidRDefault="008B55A2" w14:paraId="5AA94AC1" w14:textId="4D62B58B">
      <w:pPr>
        <w:pStyle w:val="zGNormal"/>
      </w:pPr>
      <w:r>
        <w:rPr>
          <w:b/>
          <w:bCs/>
        </w:rPr>
        <w:t xml:space="preserve"> </w:t>
      </w:r>
      <w:r>
        <w:t>Seller must ensure the Metering System is designed, located, constructed, installed, owned, operated, and maintained in accordance with the IA and Prudent Industry Practices to measure and record the energy delivered to the POI from the Facility, and to the Facility from the POI and, if applicable, from  the Renewable Resource, to determine: (i) BESS capacity; and (ii) the measured availability of the BESS in meeting GPC’s AGC Setpoint signals. The Metering System must: (a) continuously measure BESS input/output and report the values at all times; and (b) if the BESS is paired with a Renewable Resource, continuously and separately measure the BESS input/output and Renewable Resource output and report both values at all times. If applicable, the Renewable Resource output must be measured at the low side of the GSU and at the POI. The low side meter output will be reported unadjusted and will also be reported adjusted to the POI to account for all losses, at GPC’s discretion. The Metering System will be of a mutually acceptable accuracy range and type, including audit capabilities. Seller and Seller’s Representatives must not adjust the Metering System without GPC’s written consent. GPC, at its own cost, may install additional meters or other such facilities, equipment, or devices as GPC deems necessary or appropriate to monitor the measurements of the Metering System. Seller must install, at its own expense, all needed metering support equipment on its side of the POI to facilitate GPC’s dispatch of the BESS via AGC Setpoint signals. Seller must also, at Seller’s expense, install or upgrade the Facility control systems to allow GPC’s AGC dispatch of the BESS. GPC will reasonably establish the telemetering equipment and systems that are necessary to dispatch the BESS from the Dispatch Center, and Seller, at Seller’s expense, must install or cause the installation of such telemetering equipment. Seller must deliver to GPC all the telemetered data and any other data GPC requests.</w:t>
      </w:r>
    </w:p>
    <w:p w:rsidRPr="005618E3" w:rsidR="002D54C4" w:rsidP="00C22140" w:rsidRDefault="008B55A2" w14:paraId="2BA5AE9F" w14:textId="77777777">
      <w:pPr>
        <w:pStyle w:val="zGTC03"/>
        <w:rPr>
          <w:vanish/>
          <w:specVanish/>
        </w:rPr>
      </w:pPr>
      <w:r>
        <w:t>Inspection.</w:t>
      </w:r>
    </w:p>
    <w:p w:rsidRPr="005618E3" w:rsidR="002D54C4" w:rsidRDefault="008B55A2" w14:paraId="0E28E1CE" w14:textId="77777777">
      <w:pPr>
        <w:pStyle w:val="zGNormal"/>
      </w:pPr>
      <w:r>
        <w:t xml:space="preserve"> Seller must inspect and test all meters at such times as will conform to Prudent Industry Practices, but not less often than once biennially. Seller will be responsible for all costs and expenses incurred in connection with such inspections or tests. </w:t>
      </w:r>
    </w:p>
    <w:p w:rsidRPr="005618E3" w:rsidR="002D54C4" w:rsidP="00C22140" w:rsidRDefault="008B55A2" w14:paraId="516B5FB8" w14:textId="77777777">
      <w:pPr>
        <w:pStyle w:val="zGTC03"/>
        <w:rPr>
          <w:vanish/>
          <w:specVanish/>
        </w:rPr>
      </w:pPr>
      <w:r>
        <w:t>Adjustments.</w:t>
      </w:r>
    </w:p>
    <w:p w:rsidRPr="005618E3" w:rsidR="002D54C4" w:rsidRDefault="008B55A2" w14:paraId="1F44056A" w14:textId="16224A9C">
      <w:pPr>
        <w:pStyle w:val="zGNormal"/>
      </w:pPr>
      <w:r>
        <w:rPr>
          <w:b/>
          <w:bCs/>
        </w:rPr>
        <w:t xml:space="preserve"> </w:t>
      </w:r>
      <w:r>
        <w:t>If the Metering System</w:t>
      </w:r>
      <w:r w:rsidR="00F9043A">
        <w:t xml:space="preserve">, including any meter </w:t>
      </w:r>
      <w:r w:rsidR="006E581F">
        <w:t>or measuring component</w:t>
      </w:r>
      <w:r w:rsidR="00C253D4">
        <w:t xml:space="preserve"> of the Metering System</w:t>
      </w:r>
      <w:r w:rsidR="00F9043A">
        <w:t xml:space="preserve">, </w:t>
      </w:r>
      <w:r>
        <w:t xml:space="preserve">fails to register, </w:t>
      </w:r>
      <w:r w:rsidR="00C253D4">
        <w:t>has a</w:t>
      </w:r>
      <w:r>
        <w:t xml:space="preserve"> broken</w:t>
      </w:r>
      <w:r w:rsidR="00C253D4">
        <w:t xml:space="preserve"> seal</w:t>
      </w:r>
      <w:r>
        <w:t>, or upon testing</w:t>
      </w:r>
      <w:r w:rsidR="00C253D4">
        <w:t>, provides a measurement that</w:t>
      </w:r>
      <w:r>
        <w:t xml:space="preserve"> var</w:t>
      </w:r>
      <w:r w:rsidR="00C253D4">
        <w:t>ies</w:t>
      </w:r>
      <w:r>
        <w:t xml:space="preserve"> by more than</w:t>
      </w:r>
      <w:r w:rsidR="00C253D4">
        <w:t xml:space="preserve"> the lesser of: (i)</w:t>
      </w:r>
      <w:r>
        <w:t xml:space="preserve"> 0.5% </w:t>
      </w:r>
      <w:r w:rsidR="00C253D4">
        <w:t xml:space="preserve">relative to </w:t>
      </w:r>
      <w:r>
        <w:t xml:space="preserve">the measurement made by the standard meter used in </w:t>
      </w:r>
      <w:r w:rsidDel="00625456">
        <w:t xml:space="preserve">the </w:t>
      </w:r>
      <w:r>
        <w:t>test,</w:t>
      </w:r>
      <w:r w:rsidR="00625456">
        <w:t xml:space="preserve"> or (ii) 1.0% relative to the </w:t>
      </w:r>
      <w:r w:rsidR="00657FA9">
        <w:t>manufacturer’s</w:t>
      </w:r>
      <w:r w:rsidR="00625456">
        <w:t xml:space="preserve"> accuracy specification for the standard meter used in </w:t>
      </w:r>
      <w:r w:rsidR="005D2ACB">
        <w:t>the</w:t>
      </w:r>
      <w:r w:rsidR="00625456">
        <w:t xml:space="preserve"> test, then Seller must, at its sole cost and expense, repair or replace the affected </w:t>
      </w:r>
      <w:r w:rsidR="004352C1">
        <w:t>por</w:t>
      </w:r>
      <w:r w:rsidR="001202FA">
        <w:t xml:space="preserve">tion(s) of the </w:t>
      </w:r>
      <w:r w:rsidR="00625456">
        <w:t xml:space="preserve">Metering System within a reasonable period </w:t>
      </w:r>
      <w:r w:rsidR="001F1DB8">
        <w:t>after</w:t>
      </w:r>
      <w:r w:rsidR="00625456">
        <w:t xml:space="preserve"> </w:t>
      </w:r>
      <w:r w:rsidR="005D2ACB">
        <w:t>the</w:t>
      </w:r>
      <w:r w:rsidR="00625456">
        <w:t xml:space="preserve"> test. Further, if the Metering System or component </w:t>
      </w:r>
      <w:r w:rsidR="00FD2125">
        <w:t>provides a measurement that varies by more than 1.0% relative to the</w:t>
      </w:r>
      <w:r w:rsidR="00F77266">
        <w:t xml:space="preserve"> measurement made by the standard meter used in the test, then</w:t>
      </w:r>
      <w:r>
        <w:t xml:space="preserve"> all measurements of energy made by the Metering System during the Adjustment Period</w:t>
      </w:r>
      <w:r w:rsidR="00F77266">
        <w:t xml:space="preserve"> will be adjusted to </w:t>
      </w:r>
      <w:r w:rsidR="00F21322">
        <w:t>correct</w:t>
      </w:r>
      <w:r w:rsidR="00F77266">
        <w:t xml:space="preserve"> </w:t>
      </w:r>
      <w:r w:rsidR="00F21322">
        <w:t>any inaccuracies</w:t>
      </w:r>
      <w:r w:rsidR="00F77266">
        <w:t>, and all amounts previously invoiced or paid</w:t>
      </w:r>
      <w:r w:rsidR="007576F3">
        <w:t xml:space="preserve"> for </w:t>
      </w:r>
      <w:r w:rsidR="006F624B">
        <w:t>that</w:t>
      </w:r>
      <w:r w:rsidR="007576F3">
        <w:t xml:space="preserve"> energy</w:t>
      </w:r>
      <w:r w:rsidR="006F624B">
        <w:t xml:space="preserve"> will be reconciled</w:t>
      </w:r>
      <w:r>
        <w:t>. “</w:t>
      </w:r>
      <w:r>
        <w:rPr>
          <w:b/>
          <w:bCs/>
        </w:rPr>
        <w:t>Adjustment Period</w:t>
      </w:r>
      <w:r>
        <w:t>” means either: (</w:t>
      </w:r>
      <w:r w:rsidR="00510E1D">
        <w:t>a</w:t>
      </w:r>
      <w:r>
        <w:t>) the actual period when inaccurate measurements were made by the Metering System, if that period can be determined to the mutual satisfaction of the Parties; or (</w:t>
      </w:r>
      <w:r w:rsidR="00842865">
        <w:t>b</w:t>
      </w:r>
      <w:r>
        <w:t xml:space="preserve">) if the actual period cannot be determined to the mutual satisfaction of the Parties, the second half of the period from the date of the last test of the Metering System to the date the failure is discovered or the test is made. If the Parties are unable to agree on the adjustment to be applied to the Adjustment Period, </w:t>
      </w:r>
      <w:r>
        <w:lastRenderedPageBreak/>
        <w:t>the adjustment will be determined: (</w:t>
      </w:r>
      <w:r w:rsidR="00510E1D">
        <w:t>I</w:t>
      </w:r>
      <w:r>
        <w:t>) by correcting the error if the percentage of error is ascertainable by calibration, test, or mathematical calculation; or (</w:t>
      </w:r>
      <w:r w:rsidR="00510E1D">
        <w:t>II</w:t>
      </w:r>
      <w:r>
        <w:t>) if not so ascertainable, by estimating based on deliveries made under similar conditions during the period since the last test. Within 30 Days after the determination of any adjustment, GPC will pay Seller any additional amount then due or GPC will be entitled to a credit against any subsequent Monthly Capacity Payment.</w:t>
      </w:r>
    </w:p>
    <w:p w:rsidRPr="005618E3" w:rsidR="002D54C4" w:rsidP="00C22140" w:rsidRDefault="008B55A2" w14:paraId="0F9078BF" w14:textId="77777777">
      <w:pPr>
        <w:pStyle w:val="zGTC03"/>
        <w:rPr>
          <w:vanish/>
          <w:specVanish/>
        </w:rPr>
      </w:pPr>
      <w:r>
        <w:t>Notice of Testing.</w:t>
      </w:r>
    </w:p>
    <w:p w:rsidRPr="005618E3" w:rsidR="002D54C4" w:rsidRDefault="008B55A2" w14:paraId="3474E492" w14:textId="3C95110C">
      <w:pPr>
        <w:pStyle w:val="zGNormal"/>
      </w:pPr>
      <w:r>
        <w:t xml:space="preserve"> GPC and its Representatives may be present at any test, inspection, maintenance, adjustment, or replacement of any part of the Metering System relating to obligations under this PPA. Seller must provide GPC with reasonable prior notice regarding an activity described in the preceding sentence. </w:t>
      </w:r>
    </w:p>
    <w:p w:rsidRPr="005618E3" w:rsidR="001A2947" w:rsidP="00C22140" w:rsidRDefault="008B55A2" w14:paraId="03717CD3" w14:textId="77777777">
      <w:pPr>
        <w:pStyle w:val="zGTC03"/>
        <w:rPr>
          <w:vanish/>
          <w:szCs w:val="20"/>
          <w:specVanish/>
        </w:rPr>
      </w:pPr>
      <w:r>
        <w:t>Loss Factor Adjustment</w:t>
      </w:r>
      <w:r>
        <w:rPr>
          <w:szCs w:val="20"/>
        </w:rPr>
        <w:t>.</w:t>
      </w:r>
    </w:p>
    <w:p w:rsidRPr="005618E3" w:rsidR="002323E1" w:rsidP="005B6C19" w:rsidRDefault="008B55A2" w14:paraId="33CE5E94" w14:textId="77777777">
      <w:pPr>
        <w:pStyle w:val="zGNormal"/>
      </w:pPr>
      <w:r>
        <w:rPr>
          <w:b/>
          <w:bCs/>
        </w:rPr>
        <w:t xml:space="preserve"> </w:t>
      </w:r>
      <w:r>
        <w:t xml:space="preserve">If, and to the extent, the Metering System is not measuring deliveries of energy physically at the POI, the metered energy quantity will be adjusted for losses to or from the POI by a loss factor determined by GPC, in accordance with Prudent Industry Practices. </w:t>
      </w:r>
    </w:p>
    <w:p w:rsidRPr="005618E3" w:rsidR="002D54C4" w:rsidP="004B0BBF" w:rsidRDefault="008B55A2" w14:paraId="0F0F28E3" w14:textId="6819D28A">
      <w:pPr>
        <w:pStyle w:val="zGTC01"/>
        <w:tabs>
          <w:tab w:val="clear" w:pos="3762"/>
        </w:tabs>
        <w:ind w:left="1080"/>
      </w:pPr>
      <w:bookmarkStart w:name="_Toc156309781" w:id="471"/>
      <w:bookmarkStart w:name="_Toc160749128" w:id="472"/>
      <w:bookmarkStart w:name="_Toc194937491" w:id="473"/>
      <w:bookmarkStart w:name="_Toc174624878" w:id="474"/>
      <w:bookmarkStart w:name="_Toc227451540" w:id="475"/>
      <w:r>
        <w:t>BESS Capacity and Performance Tests</w:t>
      </w:r>
      <w:bookmarkEnd w:id="471"/>
      <w:bookmarkEnd w:id="472"/>
      <w:bookmarkEnd w:id="473"/>
      <w:bookmarkEnd w:id="474"/>
      <w:bookmarkEnd w:id="475"/>
    </w:p>
    <w:p w:rsidRPr="005618E3" w:rsidR="003070F9" w:rsidP="003070F9" w:rsidRDefault="008B55A2" w14:paraId="53A04D21" w14:textId="77777777">
      <w:pPr>
        <w:pStyle w:val="zGTC02"/>
        <w:rPr>
          <w:vanish/>
          <w:specVanish/>
        </w:rPr>
      </w:pPr>
      <w:bookmarkStart w:name="_Toc156309782" w:id="476"/>
      <w:bookmarkStart w:name="_Toc160749129" w:id="477"/>
      <w:bookmarkStart w:name="_Toc194937492" w:id="478"/>
      <w:bookmarkStart w:name="_Toc174624879" w:id="479"/>
      <w:bookmarkStart w:name="_Toc227451541" w:id="480"/>
      <w:r>
        <w:t>Tested Storage Capacity and Contracted Capacity.</w:t>
      </w:r>
      <w:bookmarkStart w:name="_Toc158593214" w:id="481"/>
      <w:bookmarkStart w:name="_Toc158597493" w:id="482"/>
      <w:bookmarkStart w:name="_Toc158720117" w:id="483"/>
      <w:bookmarkStart w:name="_Toc158722871" w:id="484"/>
      <w:bookmarkStart w:name="_Toc158929401" w:id="485"/>
      <w:bookmarkEnd w:id="476"/>
      <w:bookmarkEnd w:id="477"/>
      <w:bookmarkEnd w:id="478"/>
      <w:bookmarkEnd w:id="479"/>
      <w:bookmarkEnd w:id="480"/>
      <w:bookmarkEnd w:id="481"/>
      <w:bookmarkEnd w:id="482"/>
      <w:bookmarkEnd w:id="483"/>
      <w:bookmarkEnd w:id="484"/>
      <w:bookmarkEnd w:id="485"/>
    </w:p>
    <w:p w:rsidRPr="00F40F9C" w:rsidR="00BD2E75" w:rsidP="003070F9" w:rsidRDefault="008B55A2" w14:paraId="47BBBB76" w14:textId="76F203DE">
      <w:pPr>
        <w:pStyle w:val="zGNormal"/>
      </w:pPr>
      <w:r>
        <w:t xml:space="preserve"> </w:t>
      </w:r>
      <w:r w:rsidR="00C5791F">
        <w:t>Before</w:t>
      </w:r>
      <w:r>
        <w:t xml:space="preserve"> Commercial Operation, Seller must conduct, at its expense, Performance Testing as detailed in Section 1.2 (</w:t>
      </w:r>
      <w:r>
        <w:rPr>
          <w:i/>
        </w:rPr>
        <w:t>Tested Storage Capacity; Performance Testing</w:t>
      </w:r>
      <w:r>
        <w:t>) of Exhibit B (</w:t>
      </w:r>
      <w:r>
        <w:rPr>
          <w:i/>
          <w:iCs/>
        </w:rPr>
        <w:t>Capacity; Capacity Payments and Payment Reductions; Buydown</w:t>
      </w:r>
      <w:r>
        <w:t xml:space="preserve">). </w:t>
      </w:r>
      <w:r>
        <w:rPr>
          <w:bCs/>
        </w:rPr>
        <w:t xml:space="preserve">Seller must notify GPC Representatives in advance of Seller’s Performance Testing and allow GPC to witness and participate in the Performance Testing as GPC desires. </w:t>
      </w:r>
      <w:r w:rsidR="00D4516C">
        <w:rPr>
          <w:bCs/>
        </w:rPr>
        <w:t>Subject to Seller</w:t>
      </w:r>
      <w:r w:rsidR="003F7FBF">
        <w:rPr>
          <w:bCs/>
        </w:rPr>
        <w:t>’s compliance with the previous sentence</w:t>
      </w:r>
      <w:r w:rsidR="00D4516C">
        <w:rPr>
          <w:bCs/>
        </w:rPr>
        <w:t xml:space="preserve">, Seller will not be required to delay or reschedule Performance Testing solely due to GPC’s unavailability. </w:t>
      </w:r>
      <w:r>
        <w:rPr>
          <w:bCs/>
        </w:rPr>
        <w:t xml:space="preserve">Upon Seller’s completion of any Performance Test, Seller must promptly provide to GPC a complete written report, in accordance with </w:t>
      </w:r>
      <w:r>
        <w:t xml:space="preserve">Exhibit </w:t>
      </w:r>
      <w:r>
        <w:rPr>
          <w:bCs/>
        </w:rPr>
        <w:t>E</w:t>
      </w:r>
      <w:r>
        <w:t xml:space="preserve"> (</w:t>
      </w:r>
      <w:r>
        <w:rPr>
          <w:i/>
        </w:rPr>
        <w:t>Performance Testing Procedures</w:t>
      </w:r>
      <w:r>
        <w:t>)</w:t>
      </w:r>
      <w:r>
        <w:rPr>
          <w:bCs/>
        </w:rPr>
        <w:t>, of the Performance Test, certified by a responsible officer of Seller, for GPC’s review and verification. Following the Delivery Commencement Date,</w:t>
      </w:r>
      <w:r>
        <w:t xml:space="preserve"> Seller must cooperate with GPC’s request for information concerning Facility performance that GPC may reasonably request from time to time. </w:t>
      </w:r>
    </w:p>
    <w:p w:rsidRPr="00F40F9C" w:rsidR="002D54C4" w:rsidRDefault="008B55A2" w14:paraId="08137ADB" w14:textId="77777777">
      <w:pPr>
        <w:pStyle w:val="zGTC02"/>
        <w:rPr>
          <w:vanish/>
          <w:specVanish/>
        </w:rPr>
      </w:pPr>
      <w:bookmarkStart w:name="_Toc156309783" w:id="486"/>
      <w:bookmarkStart w:name="_Toc160749130" w:id="487"/>
      <w:bookmarkStart w:name="_Toc194937493" w:id="488"/>
      <w:bookmarkStart w:name="_Toc174624880" w:id="489"/>
      <w:bookmarkStart w:name="_Toc227451542" w:id="490"/>
      <w:r>
        <w:t>Disputes Concerning Capacity Tests.</w:t>
      </w:r>
      <w:bookmarkStart w:name="_Toc158593215" w:id="491"/>
      <w:bookmarkStart w:name="_Toc158597494" w:id="492"/>
      <w:bookmarkStart w:name="_Toc158720118" w:id="493"/>
      <w:bookmarkStart w:name="_Toc158722872" w:id="494"/>
      <w:bookmarkStart w:name="_Toc158929402" w:id="495"/>
      <w:bookmarkEnd w:id="486"/>
      <w:bookmarkEnd w:id="487"/>
      <w:bookmarkEnd w:id="488"/>
      <w:bookmarkEnd w:id="489"/>
      <w:bookmarkEnd w:id="490"/>
      <w:bookmarkEnd w:id="491"/>
      <w:bookmarkEnd w:id="492"/>
      <w:bookmarkEnd w:id="493"/>
      <w:bookmarkEnd w:id="494"/>
      <w:bookmarkEnd w:id="495"/>
    </w:p>
    <w:p w:rsidRPr="00F40F9C" w:rsidR="002D54C4" w:rsidRDefault="008B55A2" w14:paraId="6E5CE6FE" w14:textId="54EB0898">
      <w:pPr>
        <w:pStyle w:val="zGNormal"/>
      </w:pPr>
      <w:r>
        <w:t xml:space="preserve"> If the Parties disagree regarding the Performance Test results, the Parties will resolve the dispute in accordance with Section 19.2 (</w:t>
      </w:r>
      <w:r>
        <w:rPr>
          <w:i/>
        </w:rPr>
        <w:t>Expert Arbitration</w:t>
      </w:r>
      <w:r>
        <w:t>). If the dispute is not resolved by the first Day of any Annual Period, the relevant Tested Storage Capacity from the most recent undisputed Performance Test will be used by GPC for the Monthly Capacity Fee calculation until the dispute is resolved. After the dispute is resolved, an adjustment may be made to Monthly Capacity Payments made regarding the Annual Period to account for any difference between the SDDC and the preceding Tested Storage Capacity from the most recent Performance Test.</w:t>
      </w:r>
    </w:p>
    <w:p w:rsidRPr="00F40F9C" w:rsidR="002D54C4" w:rsidP="004B0BBF" w:rsidRDefault="008B55A2" w14:paraId="7D168A64" w14:textId="77777777">
      <w:pPr>
        <w:pStyle w:val="zGTC01"/>
        <w:tabs>
          <w:tab w:val="clear" w:pos="3762"/>
        </w:tabs>
        <w:ind w:left="1080"/>
        <w:rPr>
          <w:szCs w:val="20"/>
        </w:rPr>
      </w:pPr>
      <w:bookmarkStart w:name="_Toc160749131" w:id="496"/>
      <w:bookmarkStart w:name="_Toc194937494" w:id="497"/>
      <w:bookmarkStart w:name="_Toc174624881" w:id="498"/>
      <w:bookmarkStart w:name="_Toc227451543" w:id="499"/>
      <w:r>
        <w:t xml:space="preserve">Operation and </w:t>
      </w:r>
      <w:r w:rsidRPr="004B0BBF">
        <w:rPr>
          <w:rFonts w:ascii="Arial" w:hAnsi="Arial"/>
        </w:rPr>
        <w:t>Maintenance</w:t>
      </w:r>
      <w:bookmarkEnd w:id="496"/>
      <w:bookmarkEnd w:id="497"/>
      <w:bookmarkEnd w:id="498"/>
      <w:bookmarkEnd w:id="499"/>
    </w:p>
    <w:p w:rsidRPr="00F40F9C" w:rsidR="002D54C4" w:rsidRDefault="008B55A2" w14:paraId="64C822B9" w14:textId="77777777">
      <w:pPr>
        <w:pStyle w:val="zGTC02"/>
        <w:rPr>
          <w:specVanish/>
        </w:rPr>
      </w:pPr>
      <w:bookmarkStart w:name="_Toc156309785" w:id="500"/>
      <w:bookmarkStart w:name="_Toc160749132" w:id="501"/>
      <w:bookmarkStart w:name="_Toc194937495" w:id="502"/>
      <w:bookmarkStart w:name="_Toc174624882" w:id="503"/>
      <w:bookmarkStart w:name="_Toc227451544" w:id="504"/>
      <w:r>
        <w:t>Operation and Maintenance.</w:t>
      </w:r>
      <w:bookmarkStart w:name="_Toc158593217" w:id="505"/>
      <w:bookmarkStart w:name="_Toc158597496" w:id="506"/>
      <w:bookmarkStart w:name="_Toc158720120" w:id="507"/>
      <w:bookmarkStart w:name="_Toc158722874" w:id="508"/>
      <w:bookmarkStart w:name="_Toc158929404" w:id="509"/>
      <w:bookmarkEnd w:id="500"/>
      <w:bookmarkEnd w:id="501"/>
      <w:bookmarkEnd w:id="502"/>
      <w:bookmarkEnd w:id="503"/>
      <w:bookmarkEnd w:id="504"/>
      <w:bookmarkEnd w:id="505"/>
      <w:bookmarkEnd w:id="506"/>
      <w:bookmarkEnd w:id="507"/>
      <w:bookmarkEnd w:id="508"/>
      <w:bookmarkEnd w:id="509"/>
    </w:p>
    <w:p w:rsidRPr="00F40F9C" w:rsidR="002D54C4" w:rsidP="00C22140" w:rsidRDefault="008B55A2" w14:paraId="6CE911E9" w14:textId="1809728C">
      <w:pPr>
        <w:pStyle w:val="zGTC03"/>
        <w:rPr>
          <w:vanish/>
          <w:specVanish/>
        </w:rPr>
      </w:pPr>
      <w:r>
        <w:t>General Standards.</w:t>
      </w:r>
    </w:p>
    <w:p w:rsidRPr="005618E3" w:rsidR="002D54C4" w:rsidRDefault="008B55A2" w14:paraId="4460F767" w14:textId="3D7C1AE2">
      <w:pPr>
        <w:pStyle w:val="zGNormal"/>
      </w:pPr>
      <w:r>
        <w:t xml:space="preserve"> Seller must manage, control, operate, and maintain all parts of the Facility in a manner consistent with Prudent Industry Practices, considering GPC’s right to dispatch the BESS and, if applicable, the Renewable Resource, in accordance with applicable planning standards and operating policies of SERC and NERC, and in accordance with the Operating Procedures </w:t>
      </w:r>
      <w:r w:rsidR="00A34FFD">
        <w:t>to be</w:t>
      </w:r>
      <w:r>
        <w:t xml:space="preserve"> developed by the Operating Committee. The requirements of this Section 10.1.1 will not be interpreted to limit GPC’s dispatch rights as provided for elsewhere in this PPA.</w:t>
      </w:r>
    </w:p>
    <w:p w:rsidRPr="005618E3" w:rsidR="002D54C4" w:rsidP="00C22140" w:rsidRDefault="008B55A2" w14:paraId="570009A7" w14:textId="5D202884">
      <w:pPr>
        <w:pStyle w:val="zGTC03"/>
        <w:rPr>
          <w:vanish/>
          <w:specVanish/>
        </w:rPr>
      </w:pPr>
      <w:r>
        <w:t>Written Operating Procedures.</w:t>
      </w:r>
    </w:p>
    <w:p w:rsidRPr="00F40F9C" w:rsidR="002D54C4" w:rsidRDefault="008B55A2" w14:paraId="377F2056" w14:textId="699C5D75">
      <w:pPr>
        <w:pStyle w:val="zGNormal"/>
      </w:pPr>
      <w:r>
        <w:t xml:space="preserve"> Seller and GPC will mutually develop and agree upon written Operating Procedures no later than six Months before the Delivery Commencement Date. Topics covered will include: (i) Performance Tests procedures, deliveries of energy during start</w:t>
      </w:r>
      <w:r>
        <w:noBreakHyphen/>
        <w:t>up, and testing of the Facility; (ii) the method of Day</w:t>
      </w:r>
      <w:r>
        <w:noBreakHyphen/>
        <w:t>to</w:t>
      </w:r>
      <w:r>
        <w:noBreakHyphen/>
        <w:t>Day communications; (iii) clearance and switching practices; (iv) daily capacity availability and energy reports; (v) Facility operations log; (vi) reactive power output; (vii) Technical Limits regarding Facility operation (including maximum ramp rates</w:t>
      </w:r>
      <w:r w:rsidR="0053214C">
        <w:t xml:space="preserve"> </w:t>
      </w:r>
      <w:r>
        <w:t>and other limits specified in Exhibit F (</w:t>
      </w:r>
      <w:r>
        <w:rPr>
          <w:i/>
        </w:rPr>
        <w:t>Facility Operating and Dispatching Requirements</w:t>
      </w:r>
      <w:r>
        <w:t xml:space="preserve">)); (viii) ramp rates for the delivery of power to the POI; (ix) coordination of maintenance scheduling; (x) designation of </w:t>
      </w:r>
      <w:r w:rsidR="00831619">
        <w:t>C</w:t>
      </w:r>
      <w:r>
        <w:t xml:space="preserve">onfidential </w:t>
      </w:r>
      <w:r w:rsidR="00831619">
        <w:t>I</w:t>
      </w:r>
      <w:r>
        <w:t xml:space="preserve">nformation; and (xi) any other matters as the Operating Representatives agree are appropriate. The Operating Representatives will be responsible for modifying, from time </w:t>
      </w:r>
      <w:r>
        <w:lastRenderedPageBreak/>
        <w:t xml:space="preserve">to time, these Operating Procedures in writing to reflect agreed changes. In the event of inconsistency or conflict between the Operating Procedures and specific terms of this PPA, the specific terms of this PPA will take precedence. If the Facility is paired with a Renewable Resource, the Operating Procedures </w:t>
      </w:r>
      <w:r>
        <w:rPr>
          <w:rFonts w:eastAsiaTheme="minorHAnsi"/>
          <w:kern w:val="0"/>
        </w:rPr>
        <w:t>must align with and be complementary to the operating procedures for the Renewable Resource developed under the Renewable Resource PPA.</w:t>
      </w:r>
    </w:p>
    <w:p w:rsidRPr="00F40F9C" w:rsidR="002D54C4" w:rsidP="00C22140" w:rsidRDefault="008B55A2" w14:paraId="230866D3" w14:textId="77777777">
      <w:pPr>
        <w:pStyle w:val="zGTC03"/>
      </w:pPr>
      <w:r>
        <w:t xml:space="preserve">Safety Devices, Safety Practices, and Records. </w:t>
      </w:r>
      <w:r>
        <w:rPr>
          <w:b w:val="0"/>
        </w:rPr>
        <w:t>Seller must employ at the Facility all safety devices and safety practices required by Prudent Industry Practices. Seller must keep accurate records of any accident or other occurrence at the Site that results in injury to persons or damage to property. Seller must provide to GPC reasonable access to these records upon at least seven Days’ notice during normal business Hours, but Seller will not be required to provide access to employment records regarding Facility personnel.</w:t>
      </w:r>
    </w:p>
    <w:p w:rsidRPr="00F40F9C" w:rsidR="002D54C4" w:rsidP="00C22140" w:rsidRDefault="008B55A2" w14:paraId="145D6F7E" w14:textId="77777777">
      <w:pPr>
        <w:pStyle w:val="zGTC03"/>
        <w:rPr>
          <w:vanish/>
          <w:specVanish/>
        </w:rPr>
      </w:pPr>
      <w:r>
        <w:t>Facility Personnel.</w:t>
      </w:r>
    </w:p>
    <w:p w:rsidRPr="00564BE1" w:rsidR="00BB7776" w:rsidP="004B0BBF" w:rsidRDefault="008B55A2" w14:paraId="5F8AE926" w14:textId="77777777">
      <w:pPr>
        <w:pStyle w:val="zGTC03"/>
        <w:ind w:left="648"/>
      </w:pPr>
      <w:r w:rsidRPr="00FE32A1">
        <w:t xml:space="preserve"> </w:t>
      </w:r>
      <w:r w:rsidRPr="004B0BBF">
        <w:rPr>
          <w:b w:val="0"/>
        </w:rPr>
        <w:t>During the Term, Seller must employ qualified and trained personnel for management, operation, and maintenance of the Facility.</w:t>
      </w:r>
    </w:p>
    <w:p w:rsidRPr="00F40F9C" w:rsidR="002D54C4" w:rsidP="009F6D59" w:rsidRDefault="008B55A2" w14:paraId="6F1F2F5E" w14:textId="77777777">
      <w:pPr>
        <w:pStyle w:val="zGTC02"/>
        <w:keepNext/>
        <w:rPr>
          <w:specVanish/>
        </w:rPr>
      </w:pPr>
      <w:bookmarkStart w:name="_Toc156309786" w:id="510"/>
      <w:bookmarkStart w:name="_Toc160749133" w:id="511"/>
      <w:bookmarkStart w:name="_Toc194937496" w:id="512"/>
      <w:bookmarkStart w:name="_Toc174624883" w:id="513"/>
      <w:bookmarkStart w:name="_Toc227451545" w:id="514"/>
      <w:r>
        <w:t>Maintenance Scheduling.</w:t>
      </w:r>
      <w:bookmarkStart w:name="_Toc158593218" w:id="515"/>
      <w:bookmarkStart w:name="_Toc158597497" w:id="516"/>
      <w:bookmarkStart w:name="_Toc158720121" w:id="517"/>
      <w:bookmarkStart w:name="_Toc158722875" w:id="518"/>
      <w:bookmarkStart w:name="_Toc158929405" w:id="519"/>
      <w:bookmarkEnd w:id="510"/>
      <w:bookmarkEnd w:id="511"/>
      <w:bookmarkEnd w:id="512"/>
      <w:bookmarkEnd w:id="513"/>
      <w:bookmarkEnd w:id="514"/>
      <w:bookmarkEnd w:id="515"/>
      <w:bookmarkEnd w:id="516"/>
      <w:bookmarkEnd w:id="517"/>
      <w:bookmarkEnd w:id="518"/>
      <w:bookmarkEnd w:id="519"/>
    </w:p>
    <w:p w:rsidRPr="00F40F9C" w:rsidR="002D54C4" w:rsidP="00C22140" w:rsidRDefault="008B55A2" w14:paraId="1A691DD0" w14:textId="77777777">
      <w:pPr>
        <w:pStyle w:val="zGTC03"/>
        <w:rPr>
          <w:vanish/>
          <w:specVanish/>
        </w:rPr>
      </w:pPr>
      <w:r>
        <w:t>Maintenance Schedule Reporting and Approvals.</w:t>
      </w:r>
    </w:p>
    <w:p w:rsidRPr="00F40F9C" w:rsidR="002D54C4" w:rsidRDefault="008B55A2" w14:paraId="4DA9875C" w14:textId="25DFB79E">
      <w:pPr>
        <w:pStyle w:val="zGNormal"/>
      </w:pPr>
      <w:r>
        <w:rPr>
          <w:b/>
          <w:bCs/>
        </w:rPr>
        <w:t xml:space="preserve"> </w:t>
      </w:r>
      <w:r>
        <w:t xml:space="preserve">Commencing in the year before the year of the Delivery Commencement Date, and continuing throughout the Term, Seller must submit to GPC before September 1 Maintenance Schedules covering the next four Annual Periods or the number of Annual Periods remaining in the Term, whichever is less. Seller must not schedule any maintenance of the Facility during any On Peak Season of any Annual Period that would decrease the BESS: (i) capacity output below the SDDC; (ii) energy storage capability below the SDOE; </w:t>
      </w:r>
      <w:r w:rsidR="00B13575">
        <w:t xml:space="preserve">or </w:t>
      </w:r>
      <w:r>
        <w:t>(iii) rate of charge capability below the ROC, without the prior written consent of GPC. The proposed Maintenance Schedules are subject to the approval of GPC, which approval GPC will not unreasonably withhold or delay. GPC will have 30 Days to review the proposed Maintenance Schedules and may approve or reject (in whole or in part) the Maintenance Schedules. If any portion of a Maintenance Schedule is rejected by GPC, Seller must resubmit a revised Maintenance Schedule to GPC within 30 Days of GPC’s rejection and GPC and Seller agree to use best efforts to promptly develop Maintenance Schedules that are mutually acceptable, considering the burdens that GPC’s changes impose on Seller compared to the burdens avoided by GPC because of such changes. Any dispute concerning this Section 10.2.1 will be resolved in accordance with</w:t>
      </w:r>
      <w:r w:rsidR="00C21183">
        <w:t xml:space="preserve"> the provisions of</w:t>
      </w:r>
      <w:r>
        <w:t xml:space="preserve"> Part 19 (</w:t>
      </w:r>
      <w:r>
        <w:rPr>
          <w:i/>
        </w:rPr>
        <w:t>Dispute Resolution</w:t>
      </w:r>
      <w:r>
        <w:t>) applicable to Maintenance Schedule disputes. The outages included in the final, approved Maintenance Schedule for the current Annual Period will be the Scheduled Outages for that Annual Period. GPC will exclude Scheduled Outages from its calculation of Performance Metrics under Exhibit C (</w:t>
      </w:r>
      <w:r>
        <w:rPr>
          <w:i/>
          <w:iCs/>
        </w:rPr>
        <w:t>Monthly Capacity Payments; Monthly Capacity Reductions; AGC Performance Metrics and Requirements</w:t>
      </w:r>
      <w:r>
        <w:t>).</w:t>
      </w:r>
    </w:p>
    <w:p w:rsidRPr="00F40F9C" w:rsidR="002D54C4" w:rsidP="00C22140" w:rsidRDefault="008B55A2" w14:paraId="7BBAA33E" w14:textId="77777777">
      <w:pPr>
        <w:pStyle w:val="zGTC03"/>
        <w:rPr>
          <w:vanish/>
          <w:specVanish/>
        </w:rPr>
      </w:pPr>
      <w:r>
        <w:t xml:space="preserve">Maintenance Outages. </w:t>
      </w:r>
    </w:p>
    <w:p w:rsidRPr="00F40F9C" w:rsidR="002D54C4" w:rsidRDefault="008B55A2" w14:paraId="42158506" w14:textId="459255E5">
      <w:pPr>
        <w:pStyle w:val="zGNormal"/>
      </w:pPr>
      <w:r>
        <w:t xml:space="preserve">In addition to Scheduled Outages, Seller may request Maintenance Outages during any Annual Period. Seller must notify GPC (in writing, electronically, or orally) of each Maintenance Outage no less than 24 Hours in advance and at least one Business Day in advance of Seller’s proposed commencement of the Maintenance Outage. In Seller’s request, Seller must identify the equipment and the percentage of SDDC and SDOE that will not be available for delivery at the POI and the proposed start time and duration of the Maintenance Outage. GPC will respond to Seller’s request as soon as reasonably practicable. Seller must not take a Maintenance Outage </w:t>
      </w:r>
      <w:r w:rsidR="003233BF">
        <w:t>that would impair the Facility’s ability to meet the SDDC or SDOE</w:t>
      </w:r>
      <w:r w:rsidRPr="002D2A8F" w:rsidR="003233BF">
        <w:t xml:space="preserve"> </w:t>
      </w:r>
      <w:r>
        <w:t>without GPC’s prior written or telephonic consent, and GPC’ will not unreasonably withhold, condition, or delay its consent. Despite the preceding sentence, each Party acknowledges that it will be reasonable for GPC to deny any request for a Maintenance Outage if GPC reasonably believes that it may need the BESS during the requested time period. GPC will have the right to revoke its consent to a Maintenance Outage if any changed condition requires the availability of the BESS. If GPC requests Seller to return to full Availability status all or part of that portion of the BESS that is affected by the Maintenance Outage, Seller must comply as soon as reasonably practical. GPC will not dispatch the BESS to the extent that the BESS is not capable of receiving or delivering energy as a direct result of a Scheduled Outage or a Maintenance Outage approved by GPC. GPC’s calculation of Performance Metrics under Exhibit C (</w:t>
      </w:r>
      <w:r>
        <w:rPr>
          <w:i/>
        </w:rPr>
        <w:t xml:space="preserve">Monthly Capacity Payments; Monthly Capacity Reductions; AGC Performance </w:t>
      </w:r>
      <w:r>
        <w:rPr>
          <w:i/>
        </w:rPr>
        <w:lastRenderedPageBreak/>
        <w:t>Metrics and Requirements</w:t>
      </w:r>
      <w:r>
        <w:t>) will exclude approved Maintenance Outages.</w:t>
      </w:r>
      <w:r w:rsidR="00855113">
        <w:t xml:space="preserve"> </w:t>
      </w:r>
      <w:r w:rsidRPr="000C0B43" w:rsidR="00855113">
        <w:t>For avoidance of doubt, GPC’s advance</w:t>
      </w:r>
      <w:r w:rsidR="00855113">
        <w:t>d</w:t>
      </w:r>
      <w:r w:rsidRPr="000C0B43" w:rsidR="00855113">
        <w:t xml:space="preserve"> consent is not required for Seller to take any action that Seller reasonably believes is necessary to prevent damage to person or property, but (i) any resulting outage or derate will not be considered a Maintenance Outage or Scheduled Outage; and (ii) Seller must notify GPC of any resulting outage or derate as soon as practicable.</w:t>
      </w:r>
    </w:p>
    <w:p w:rsidRPr="00F40F9C" w:rsidR="002D54C4" w:rsidP="00C22140" w:rsidRDefault="008B55A2" w14:paraId="4E9D08A0" w14:textId="77777777">
      <w:pPr>
        <w:pStyle w:val="zGTC03"/>
        <w:rPr>
          <w:vanish/>
          <w:specVanish/>
        </w:rPr>
      </w:pPr>
      <w:r>
        <w:t>Reporting of Forced Outages and Derates.</w:t>
      </w:r>
    </w:p>
    <w:p w:rsidRPr="00F40F9C" w:rsidR="002D54C4" w:rsidRDefault="008B55A2" w14:paraId="7960CCF8" w14:textId="757B02A3">
      <w:pPr>
        <w:pStyle w:val="zGNormal6"/>
      </w:pPr>
      <w:r>
        <w:t xml:space="preserve"> Through the method required by the Operating Procedures, Seller must notify GPC promptly upon the occurrence of any Forced Outage or Forced Derate, except that Seller will not be required to notify GPC of any Forced Derate that: (i) is less than 0.5 MW; (ii) falls within the rounding requirements specified in the Operating Procedures</w:t>
      </w:r>
      <w:r w:rsidR="00135BEF">
        <w:t xml:space="preserve">; or (iii) </w:t>
      </w:r>
      <w:r w:rsidR="00B0172F">
        <w:t>does not reduce the Facility’s ability to meet the SDDC or SDOE</w:t>
      </w:r>
      <w:r>
        <w:t xml:space="preserve">. As soon as practicable, but in any event not later than </w:t>
      </w:r>
      <w:r w:rsidR="00735261">
        <w:t xml:space="preserve">one Business Day after </w:t>
      </w:r>
      <w:r>
        <w:t>the beginning of the period of the Forced Outage or Forced Derate, Seller must notify GPC of: (i) the cause of the outage or derate; (ii) the amount of SDDC and SDOE affected by the outage or derate; (iii) the proposed corrective action to address the outage or derate; and (iv) Seller’s reasonable estimate of the expected duration of the Forced Outage or Forced Derate and expected return to full operation.</w:t>
      </w:r>
    </w:p>
    <w:p w:rsidRPr="00F40F9C" w:rsidR="002D54C4" w:rsidP="00C22140" w:rsidRDefault="008B55A2" w14:paraId="11A4470C" w14:textId="77777777">
      <w:pPr>
        <w:pStyle w:val="zGTC03"/>
        <w:rPr>
          <w:vanish/>
          <w:specVanish/>
        </w:rPr>
      </w:pPr>
      <w:r>
        <w:t>System Emergencies.</w:t>
      </w:r>
    </w:p>
    <w:p w:rsidRPr="002D2A8F" w:rsidR="00246016" w:rsidP="00246016" w:rsidRDefault="008B55A2" w14:paraId="541F8BD7" w14:textId="77777777">
      <w:pPr>
        <w:pStyle w:val="zGNormal"/>
      </w:pPr>
      <w:r>
        <w:rPr>
          <w:b/>
          <w:bCs/>
        </w:rPr>
        <w:t xml:space="preserve"> </w:t>
      </w:r>
      <w:r>
        <w:t>If Seller has a Scheduled Outage or Maintenance Outage, and the Scheduled Outage or Maintenance Outage occurs or would occur coincident with a System Emergency, GPC will notify Seller of the System Emergency. GPC may, because of the System Emergency, request Seller to reschedule the Scheduled Outage or Maintenance Outage or, if the Scheduled Outage or Maintenance Outage has begun, to expedite its completion, and Seller must comply with GPC’s request as soon as reasonably practical</w:t>
      </w:r>
      <w:r w:rsidR="00246016">
        <w:t xml:space="preserve"> subject to Prudent Industry Practices and any limitation or coordination requirement outlined in the Operating Procedures as necessary for Seller to preserve its equipment warranties</w:t>
      </w:r>
      <w:r w:rsidRPr="002D2A8F" w:rsidR="00246016">
        <w:t>.</w:t>
      </w:r>
    </w:p>
    <w:p w:rsidRPr="005618E3" w:rsidR="00B64191" w:rsidP="00B64191" w:rsidRDefault="008B55A2" w14:paraId="352CDD53" w14:textId="621B29A1">
      <w:pPr>
        <w:pStyle w:val="zGTC02"/>
      </w:pPr>
      <w:bookmarkStart w:name="_Toc194937497" w:id="520"/>
      <w:bookmarkStart w:name="_Toc174624884" w:id="521"/>
      <w:bookmarkStart w:name="_Toc227451546" w:id="522"/>
      <w:r>
        <w:t>Reserved.</w:t>
      </w:r>
      <w:bookmarkEnd w:id="520"/>
      <w:bookmarkEnd w:id="521"/>
      <w:bookmarkEnd w:id="522"/>
      <w:r w:rsidR="00246016">
        <w:t xml:space="preserve"> </w:t>
      </w:r>
    </w:p>
    <w:p w:rsidRPr="005618E3" w:rsidR="002D54C4" w:rsidRDefault="008B55A2" w14:paraId="15338701" w14:textId="77777777">
      <w:pPr>
        <w:pStyle w:val="zGTC02"/>
        <w:rPr>
          <w:vanish/>
          <w:specVanish/>
        </w:rPr>
      </w:pPr>
      <w:bookmarkStart w:name="_Toc156309788" w:id="523"/>
      <w:bookmarkStart w:name="_Toc160749134" w:id="524"/>
      <w:bookmarkStart w:name="_Toc194937498" w:id="525"/>
      <w:bookmarkStart w:name="_Toc174624885" w:id="526"/>
      <w:bookmarkStart w:name="_Toc227451547" w:id="527"/>
      <w:r>
        <w:t>Access to the Site and the Facility.</w:t>
      </w:r>
      <w:bookmarkStart w:name="_Toc158593220" w:id="528"/>
      <w:bookmarkStart w:name="_Toc158597499" w:id="529"/>
      <w:bookmarkStart w:name="_Toc158720123" w:id="530"/>
      <w:bookmarkStart w:name="_Toc158722877" w:id="531"/>
      <w:bookmarkStart w:name="_Toc158929407" w:id="532"/>
      <w:bookmarkEnd w:id="523"/>
      <w:bookmarkEnd w:id="524"/>
      <w:bookmarkEnd w:id="525"/>
      <w:bookmarkEnd w:id="526"/>
      <w:bookmarkEnd w:id="527"/>
      <w:bookmarkEnd w:id="528"/>
      <w:bookmarkEnd w:id="529"/>
      <w:bookmarkEnd w:id="530"/>
      <w:bookmarkEnd w:id="531"/>
      <w:bookmarkEnd w:id="532"/>
    </w:p>
    <w:p w:rsidR="002D54C4" w:rsidRDefault="008B55A2" w14:paraId="74CF00A2" w14:textId="16279225">
      <w:pPr>
        <w:pStyle w:val="zGNormal"/>
      </w:pPr>
      <w:r>
        <w:t xml:space="preserve"> Seller grants to GPC or GPC’s designated Representatives, with reasonable prior notice to Seller, the right to enter the Site at reasonable times (including nights and weekends) to: (i) inspect, maintain, or test meters and other GPC equipment; (ii) monitor or measure energy received or d</w:t>
      </w:r>
      <w:r w:rsidR="00B75B53">
        <w:t>ischarged</w:t>
      </w:r>
      <w:r>
        <w:t xml:space="preserve"> by the BESS in accordance with this PPA and Prudent Industry Practices; (iii) monitor Performance Tests; or (iv) inspect the Facility. Seller must cooperate in the physical inspection of the Facility as GPC may reasonably require, so long as: (a) the inspection will not materially interfere with the Facility’s testing or operations; and (b) GPC complies with rules and regulations of Governmental Authorities having jurisdiction regarding the Facility and with Seller’s reasonable policies and procedures applicable to the Facility, including those regarding safety</w:t>
      </w:r>
      <w:r w:rsidRPr="00AC2D41" w:rsidR="00212AB0">
        <w:t xml:space="preserve"> and any requirement that Seller Representatives accompany GPC Representatives during Site visits</w:t>
      </w:r>
      <w:r>
        <w:t xml:space="preserve">. </w:t>
      </w:r>
      <w:r>
        <w:rPr>
          <w:b/>
          <w:bCs/>
          <w:u w:val="single"/>
        </w:rPr>
        <w:t>GPC’s technical review or inspection of the Facility will not be construed as endorsing Facility design or construction or as any warranty of the safety, durability, or reliability of the Facility.</w:t>
      </w:r>
      <w:r>
        <w:t xml:space="preserve"> Seller must cooperate, and must cause its Representatives to cooperate, in: (I) providing the information GPC </w:t>
      </w:r>
      <w:r w:rsidR="004A5BC6">
        <w:t xml:space="preserve">reasonably </w:t>
      </w:r>
      <w:r>
        <w:t xml:space="preserve">requests; and (II) the physical inspection of the Facility as GPC may reasonably request during and after completion of construction. </w:t>
      </w:r>
    </w:p>
    <w:p w:rsidRPr="005618E3" w:rsidR="002D54C4" w:rsidRDefault="008B55A2" w14:paraId="44584DCC" w14:textId="77777777">
      <w:pPr>
        <w:pStyle w:val="zGTC02"/>
        <w:rPr>
          <w:vanish/>
          <w:specVanish/>
        </w:rPr>
      </w:pPr>
      <w:bookmarkStart w:name="_Toc156309789" w:id="533"/>
      <w:bookmarkStart w:name="_Toc160749135" w:id="534"/>
      <w:bookmarkStart w:name="_Toc194937499" w:id="535"/>
      <w:bookmarkStart w:name="_Toc174624886" w:id="536"/>
      <w:bookmarkStart w:name="_Toc227451548" w:id="537"/>
      <w:r>
        <w:t>Availability of Records.</w:t>
      </w:r>
      <w:bookmarkStart w:name="_Toc158593221" w:id="538"/>
      <w:bookmarkStart w:name="_Toc158597500" w:id="539"/>
      <w:bookmarkStart w:name="_Toc158720124" w:id="540"/>
      <w:bookmarkStart w:name="_Toc158722878" w:id="541"/>
      <w:bookmarkStart w:name="_Toc158929408" w:id="542"/>
      <w:bookmarkEnd w:id="533"/>
      <w:bookmarkEnd w:id="534"/>
      <w:bookmarkEnd w:id="535"/>
      <w:bookmarkEnd w:id="536"/>
      <w:bookmarkEnd w:id="537"/>
      <w:bookmarkEnd w:id="538"/>
      <w:bookmarkEnd w:id="539"/>
      <w:bookmarkEnd w:id="540"/>
      <w:bookmarkEnd w:id="541"/>
      <w:bookmarkEnd w:id="542"/>
    </w:p>
    <w:p w:rsidRPr="005618E3" w:rsidR="002D54C4" w:rsidRDefault="008B55A2" w14:paraId="0AAD6A32" w14:textId="77777777">
      <w:pPr>
        <w:pStyle w:val="zGNormal"/>
      </w:pPr>
      <w:r>
        <w:t xml:space="preserve"> Seller must keep complete and accurate records and all other data necessary for the purpose of proper PPA administration in accordance with the following guidelines:</w:t>
      </w:r>
    </w:p>
    <w:p w:rsidRPr="005618E3" w:rsidR="002D54C4" w:rsidP="00C22140" w:rsidRDefault="008B55A2" w14:paraId="39CFC6E6" w14:textId="77777777">
      <w:pPr>
        <w:pStyle w:val="zGTC03"/>
        <w:rPr>
          <w:vanish/>
          <w:specVanish/>
        </w:rPr>
      </w:pPr>
      <w:r>
        <w:t>Holding Period.</w:t>
      </w:r>
    </w:p>
    <w:p w:rsidRPr="005618E3" w:rsidR="002D54C4" w:rsidRDefault="008B55A2" w14:paraId="730E2B03" w14:textId="361997EB">
      <w:pPr>
        <w:pStyle w:val="zGNormal"/>
      </w:pPr>
      <w:r>
        <w:rPr>
          <w:b/>
          <w:bCs/>
        </w:rPr>
        <w:t xml:space="preserve"> </w:t>
      </w:r>
      <w:r>
        <w:t>Seller must maintain all records related to the Facility and Seller’s performance under this PPA for a minimum of five years after the creation of the record or data and for any additional time period required by applicable law or a Governmental Authority. However, the records must be kept for as long as is necessary to complete any audit that began or was announced during the five-year period.</w:t>
      </w:r>
      <w:r>
        <w:rPr>
          <w:rFonts w:eastAsia="Calibri"/>
        </w:rPr>
        <w:t xml:space="preserve"> Despite any other PPA provision, </w:t>
      </w:r>
      <w:r w:rsidR="00FB24B5">
        <w:rPr>
          <w:rFonts w:eastAsia="Calibri"/>
        </w:rPr>
        <w:t xml:space="preserve">during the </w:t>
      </w:r>
      <w:r w:rsidR="000660FC">
        <w:rPr>
          <w:rFonts w:eastAsia="Calibri"/>
        </w:rPr>
        <w:t xml:space="preserve">Term and for </w:t>
      </w:r>
      <w:r w:rsidR="00355BE5">
        <w:rPr>
          <w:rFonts w:eastAsia="Calibri"/>
        </w:rPr>
        <w:t>six</w:t>
      </w:r>
      <w:r w:rsidR="000660FC">
        <w:rPr>
          <w:rFonts w:eastAsia="Calibri"/>
        </w:rPr>
        <w:t xml:space="preserve"> </w:t>
      </w:r>
      <w:r w:rsidR="00FB24B5">
        <w:rPr>
          <w:rFonts w:eastAsia="Calibri"/>
        </w:rPr>
        <w:t>year</w:t>
      </w:r>
      <w:r w:rsidR="000660FC">
        <w:rPr>
          <w:rFonts w:eastAsia="Calibri"/>
        </w:rPr>
        <w:t>s</w:t>
      </w:r>
      <w:r w:rsidR="00FB24B5">
        <w:rPr>
          <w:rFonts w:eastAsia="Calibri"/>
        </w:rPr>
        <w:t xml:space="preserve"> </w:t>
      </w:r>
      <w:r w:rsidR="000660FC">
        <w:rPr>
          <w:rFonts w:eastAsia="Calibri"/>
        </w:rPr>
        <w:t>after the Term</w:t>
      </w:r>
      <w:r w:rsidRPr="002D2A8F" w:rsidR="00FB24B5">
        <w:rPr>
          <w:rFonts w:eastAsia="Calibri"/>
        </w:rPr>
        <w:t>,</w:t>
      </w:r>
      <w:r w:rsidR="00FB24B5">
        <w:rPr>
          <w:rFonts w:eastAsia="Calibri"/>
        </w:rPr>
        <w:t xml:space="preserve"> </w:t>
      </w:r>
      <w:r>
        <w:rPr>
          <w:rFonts w:eastAsia="Calibri"/>
        </w:rPr>
        <w:t xml:space="preserve">, Seller must provide </w:t>
      </w:r>
      <w:r>
        <w:t>GPC</w:t>
      </w:r>
      <w:r>
        <w:rPr>
          <w:rFonts w:eastAsia="Calibri"/>
        </w:rPr>
        <w:t xml:space="preserve"> with 30 Days’ prior notice</w:t>
      </w:r>
      <w:r w:rsidR="000E346E">
        <w:rPr>
          <w:rFonts w:eastAsia="Calibri"/>
        </w:rPr>
        <w:t xml:space="preserve"> before disposing of or destroying any record or data</w:t>
      </w:r>
      <w:r w:rsidR="004C6187">
        <w:rPr>
          <w:rFonts w:eastAsia="Calibri"/>
        </w:rPr>
        <w:t xml:space="preserve"> related to the Facility or Seller’s performance under this PPA</w:t>
      </w:r>
      <w:r>
        <w:rPr>
          <w:rFonts w:eastAsia="Calibri"/>
        </w:rPr>
        <w:t>.</w:t>
      </w:r>
    </w:p>
    <w:p w:rsidRPr="005618E3" w:rsidR="002D54C4" w:rsidP="00C22140" w:rsidRDefault="008B55A2" w14:paraId="0194FA8B" w14:textId="77777777">
      <w:pPr>
        <w:pStyle w:val="zGTC03"/>
        <w:rPr>
          <w:vanish/>
          <w:specVanish/>
        </w:rPr>
      </w:pPr>
      <w:r>
        <w:t>Operating Logs.</w:t>
      </w:r>
    </w:p>
    <w:p w:rsidRPr="005618E3" w:rsidR="002D54C4" w:rsidRDefault="008B55A2" w14:paraId="4B5C6210" w14:textId="4BEBDE87">
      <w:pPr>
        <w:pStyle w:val="zGNormal"/>
      </w:pPr>
      <w:r>
        <w:t xml:space="preserve"> Seller must maintain at the Facility an accurate and up-to-date operating log with records of: (i) real and reactive power production for each Hour; (ii) changes in operating status and scheduled maintenance; (iii) Scheduled Outages, Maintenance Outages, Forced Outages, </w:t>
      </w:r>
      <w:r w:rsidR="00FB7EEC">
        <w:t xml:space="preserve">Forced Derates, </w:t>
      </w:r>
      <w:r>
        <w:t>and Force Majeure Events; (iv) any unusual condition found during an inspection; and (v) any significant event related to the operation of the Facility.</w:t>
      </w:r>
    </w:p>
    <w:p w:rsidRPr="005618E3" w:rsidR="002D54C4" w:rsidP="00C22140" w:rsidRDefault="008B55A2" w14:paraId="322AE92A" w14:textId="77777777">
      <w:pPr>
        <w:pStyle w:val="zGTC03"/>
        <w:rPr>
          <w:vanish/>
          <w:specVanish/>
        </w:rPr>
      </w:pPr>
      <w:r>
        <w:lastRenderedPageBreak/>
        <w:t>GPC’s Access to Facility and PPA Records.</w:t>
      </w:r>
    </w:p>
    <w:p w:rsidRPr="005618E3" w:rsidR="002D54C4" w:rsidRDefault="008B55A2" w14:paraId="333FBE09" w14:textId="77777777">
      <w:pPr>
        <w:pStyle w:val="zGNormal"/>
      </w:pPr>
      <w:r>
        <w:rPr>
          <w:b/>
          <w:bCs/>
        </w:rPr>
        <w:t xml:space="preserve"> </w:t>
      </w:r>
      <w:r>
        <w:t>Upon reasonable advance notice and during normal business Hours, GPC will have the right from time to time to examine at the Facility, or at a location mutually agreed to by the Parties, the records and data relating to the Facility and this PPA, including all historical test records relating to the Facility.</w:t>
      </w:r>
    </w:p>
    <w:p w:rsidRPr="005618E3" w:rsidR="002D54C4" w:rsidP="00C22140" w:rsidRDefault="008B55A2" w14:paraId="2F6A2794" w14:textId="77777777">
      <w:pPr>
        <w:pStyle w:val="zGTC03"/>
        <w:rPr>
          <w:vanish/>
          <w:specVanish/>
        </w:rPr>
      </w:pPr>
      <w:r>
        <w:rPr>
          <w:rFonts w:eastAsia="MS Mincho"/>
          <w:lang w:eastAsia="zh-CN"/>
        </w:rPr>
        <w:t>G</w:t>
      </w:r>
      <w:r>
        <w:t>PC’s Access to Financial and Business Information.</w:t>
      </w:r>
    </w:p>
    <w:p w:rsidRPr="00F40F9C" w:rsidR="002D54C4" w:rsidRDefault="008B55A2" w14:paraId="167D171C" w14:textId="245ED3E8">
      <w:pPr>
        <w:pStyle w:val="zGNormal"/>
        <w:rPr>
          <w:rFonts w:eastAsia="Calibri"/>
        </w:rPr>
      </w:pPr>
      <w:r>
        <w:rPr>
          <w:rFonts w:eastAsia="MS Mincho"/>
          <w:lang w:eastAsia="zh-CN"/>
        </w:rPr>
        <w:t xml:space="preserve"> At GPC’s request, throughout the Term, Seller </w:t>
      </w:r>
      <w:r>
        <w:t>must</w:t>
      </w:r>
      <w:r>
        <w:rPr>
          <w:rFonts w:eastAsia="MS Mincho"/>
          <w:lang w:eastAsia="zh-CN"/>
        </w:rPr>
        <w:t xml:space="preserve"> provide to </w:t>
      </w:r>
      <w:r>
        <w:t>GPC</w:t>
      </w:r>
      <w:r>
        <w:rPr>
          <w:rFonts w:eastAsia="MS Mincho"/>
          <w:lang w:eastAsia="zh-CN"/>
        </w:rPr>
        <w:t xml:space="preserve"> public and non-public financial and business information reasonably necessary for </w:t>
      </w:r>
      <w:r>
        <w:t>GPC</w:t>
      </w:r>
      <w:r>
        <w:rPr>
          <w:rFonts w:eastAsia="MS Mincho"/>
          <w:lang w:eastAsia="zh-CN"/>
        </w:rPr>
        <w:t xml:space="preserve"> to make accounting determinations. Without limiting the preceding sentence, u</w:t>
      </w:r>
      <w:r>
        <w:rPr>
          <w:rFonts w:eastAsia="Calibri"/>
        </w:rPr>
        <w:t xml:space="preserve">pon reasonable notice to Seller, </w:t>
      </w:r>
      <w:r>
        <w:t>GPC</w:t>
      </w:r>
      <w:r>
        <w:rPr>
          <w:rFonts w:eastAsia="Calibri"/>
        </w:rPr>
        <w:t xml:space="preserve"> and GPC’s independent auditor will have the right to inspect, from time to time, Seller’s books and records as are reasonably necessary for </w:t>
      </w:r>
      <w:r>
        <w:t>GPC</w:t>
      </w:r>
      <w:r>
        <w:rPr>
          <w:rFonts w:eastAsia="Calibri"/>
        </w:rPr>
        <w:t xml:space="preserve"> to determine whether Seller constitutes a VIE or this PPA represents a VI. To the extent the inspection requires access to Seller’s </w:t>
      </w:r>
      <w:r w:rsidR="00FB7EEC">
        <w:rPr>
          <w:rFonts w:eastAsia="Calibri"/>
        </w:rPr>
        <w:t>C</w:t>
      </w:r>
      <w:r>
        <w:rPr>
          <w:rFonts w:eastAsia="Calibri"/>
        </w:rPr>
        <w:t xml:space="preserve">onfidential </w:t>
      </w:r>
      <w:r w:rsidR="00FB7EEC">
        <w:rPr>
          <w:rFonts w:eastAsia="Calibri"/>
        </w:rPr>
        <w:t>I</w:t>
      </w:r>
      <w:r>
        <w:rPr>
          <w:rFonts w:eastAsia="Calibri"/>
        </w:rPr>
        <w:t>nformation, the information will constitute Confidential Information subject to Section 20.16 (</w:t>
      </w:r>
      <w:r>
        <w:rPr>
          <w:rFonts w:eastAsia="Calibri"/>
          <w:i/>
        </w:rPr>
        <w:t>Confidentiality</w:t>
      </w:r>
      <w:r>
        <w:rPr>
          <w:rFonts w:eastAsia="Calibri"/>
        </w:rPr>
        <w:t>).</w:t>
      </w:r>
    </w:p>
    <w:p w:rsidRPr="00F40F9C" w:rsidR="00F367BD" w:rsidP="00C22140" w:rsidRDefault="008B55A2" w14:paraId="57EC4571" w14:textId="33B6733B">
      <w:pPr>
        <w:pStyle w:val="zGTC03"/>
        <w:rPr>
          <w:szCs w:val="20"/>
        </w:rPr>
      </w:pPr>
      <w:r>
        <w:rPr>
          <w:szCs w:val="20"/>
        </w:rPr>
        <w:t>GADS Data.</w:t>
      </w:r>
      <w:r w:rsidRPr="004B0BBF">
        <w:rPr>
          <w:b w:val="0"/>
        </w:rPr>
        <w:t xml:space="preserve"> </w:t>
      </w:r>
      <w:r w:rsidRPr="008A2809" w:rsidR="008A2809">
        <w:rPr>
          <w:b w:val="0"/>
          <w:bCs/>
        </w:rPr>
        <w:t>Seller must provide to GPC, by no later than the 10</w:t>
      </w:r>
      <w:r w:rsidR="003F73B5">
        <w:rPr>
          <w:b w:val="0"/>
          <w:bCs/>
        </w:rPr>
        <w:t>th</w:t>
      </w:r>
      <w:r w:rsidRPr="008A2809" w:rsidR="008A2809">
        <w:rPr>
          <w:b w:val="0"/>
          <w:bCs/>
        </w:rPr>
        <w:t xml:space="preserve"> Day of each Month, all data for the preceding Month relating to the Facility that is required by applicable law to be reported to the NERC Generation Availability Data System (GADS) (or any successor system or other applicable system). Without limiting the previous sentence, Seller must use commercially reasonable efforts to obtain and provide to GPC any data not in Seller’s possession or control.</w:t>
      </w:r>
    </w:p>
    <w:p w:rsidRPr="00F40F9C" w:rsidR="002D54C4" w:rsidRDefault="008B55A2" w14:paraId="1E30E9B4" w14:textId="77777777">
      <w:pPr>
        <w:pStyle w:val="zGTC02"/>
        <w:rPr>
          <w:vanish/>
          <w:specVanish/>
        </w:rPr>
      </w:pPr>
      <w:bookmarkStart w:name="_Toc156309790" w:id="543"/>
      <w:bookmarkStart w:name="_Toc160749136" w:id="544"/>
      <w:bookmarkStart w:name="_Toc194937500" w:id="545"/>
      <w:bookmarkStart w:name="_Toc174624887" w:id="546"/>
      <w:bookmarkStart w:name="_Toc227451549" w:id="547"/>
      <w:r>
        <w:t>Effect of GPC Action.</w:t>
      </w:r>
      <w:bookmarkStart w:name="_Toc158593222" w:id="548"/>
      <w:bookmarkStart w:name="_Toc158597501" w:id="549"/>
      <w:bookmarkStart w:name="_Toc158720125" w:id="550"/>
      <w:bookmarkStart w:name="_Toc158722879" w:id="551"/>
      <w:bookmarkStart w:name="_Toc158929409" w:id="552"/>
      <w:bookmarkEnd w:id="543"/>
      <w:bookmarkEnd w:id="544"/>
      <w:bookmarkEnd w:id="545"/>
      <w:bookmarkEnd w:id="546"/>
      <w:bookmarkEnd w:id="547"/>
      <w:bookmarkEnd w:id="548"/>
      <w:bookmarkEnd w:id="549"/>
      <w:bookmarkEnd w:id="550"/>
      <w:bookmarkEnd w:id="551"/>
      <w:bookmarkEnd w:id="552"/>
    </w:p>
    <w:p w:rsidRPr="00F10071" w:rsidR="002D54C4" w:rsidRDefault="008B55A2" w14:paraId="55825636" w14:textId="77777777">
      <w:pPr>
        <w:pStyle w:val="zGNormal"/>
      </w:pPr>
      <w:r>
        <w:t xml:space="preserve"> Seller understands and agrees that GPC’s receipt and review of any material related to the Project or any physical inspection of the Facility GPC conducts under any PPA provision is solely for GPC’s own information. By conducting the review or inspection, GPC makes no endorsement of the design or representation or warranty of the safety, durability, or reliability of the Facility, all of which are the sole responsibility of Seller in accordance with the terms of this PPA, and GPC will not be deemed to have accepted any condition of the Facility that is not in full compliance with the terms of this PPA. Seller must not represent to any third party that, because of GPC’s receipt or review of any material or any inspection, GPC is in any way responsible for the engineering or construction soundness or operational practice of the Facility.</w:t>
      </w:r>
    </w:p>
    <w:p w:rsidRPr="00F10071" w:rsidR="002D54C4" w:rsidRDefault="008B55A2" w14:paraId="04323BD3" w14:textId="77777777">
      <w:pPr>
        <w:pStyle w:val="zGTC02"/>
        <w:rPr>
          <w:specVanish/>
        </w:rPr>
      </w:pPr>
      <w:bookmarkStart w:name="_Toc156309791" w:id="553"/>
      <w:bookmarkStart w:name="_Toc160749137" w:id="554"/>
      <w:bookmarkStart w:name="_Toc194937501" w:id="555"/>
      <w:bookmarkStart w:name="_Toc174624888" w:id="556"/>
      <w:bookmarkStart w:name="_Toc227451550" w:id="557"/>
      <w:r>
        <w:t>Operating Committee.</w:t>
      </w:r>
      <w:bookmarkStart w:name="_Toc158593223" w:id="558"/>
      <w:bookmarkStart w:name="_Toc158597502" w:id="559"/>
      <w:bookmarkStart w:name="_Toc158720126" w:id="560"/>
      <w:bookmarkStart w:name="_Toc158722880" w:id="561"/>
      <w:bookmarkStart w:name="_Toc158929410" w:id="562"/>
      <w:bookmarkEnd w:id="553"/>
      <w:bookmarkEnd w:id="554"/>
      <w:bookmarkEnd w:id="555"/>
      <w:bookmarkEnd w:id="556"/>
      <w:bookmarkEnd w:id="557"/>
      <w:bookmarkEnd w:id="558"/>
      <w:bookmarkEnd w:id="559"/>
      <w:bookmarkEnd w:id="560"/>
      <w:bookmarkEnd w:id="561"/>
      <w:bookmarkEnd w:id="562"/>
    </w:p>
    <w:p w:rsidRPr="007C7A69" w:rsidR="002D54C4" w:rsidP="00C22140" w:rsidRDefault="008B55A2" w14:paraId="162DB7D7" w14:textId="77777777">
      <w:pPr>
        <w:pStyle w:val="zGTC03"/>
        <w:rPr>
          <w:vanish/>
          <w:specVanish/>
        </w:rPr>
      </w:pPr>
      <w:r>
        <w:t xml:space="preserve">Appointments. </w:t>
      </w:r>
    </w:p>
    <w:p w:rsidRPr="00F40F9C" w:rsidR="002D54C4" w:rsidRDefault="008B55A2" w14:paraId="72F270B2" w14:textId="1C39744E">
      <w:pPr>
        <w:pStyle w:val="zGNormal"/>
      </w:pPr>
      <w:r>
        <w:t>The Parties will establish an Operating Committee comprised of two Operating Representatives, one appointed by each of Seller and GPC. Each Party will provide notice of the appointment to the other Party. Each Party may change its Operating Representative appointment at any time by notice</w:t>
      </w:r>
      <w:r w:rsidR="00532D2C">
        <w:t xml:space="preserve"> to the other Party</w:t>
      </w:r>
      <w:r>
        <w:t>. The Operating Representatives will meet as necessary, but not less often than once each calendar year, at a mutually agreeable time and place upon prior notice. The Operating Representatives will represent the Parties in all matters arising under this PPA that are delegated to them by mutual agreement of the Parties, but the Operating Representatives will not have any authority to modify or amend the terms of this PPA. The Parties, by mutual consent, may combine one or more Operating Committee meetings with the operating committee meetings (or functional equivalent) held under the Renewable Resource PPA, if applicable per Exhibit A (</w:t>
      </w:r>
      <w:r>
        <w:rPr>
          <w:i/>
        </w:rPr>
        <w:t xml:space="preserve">Facility Description and </w:t>
      </w:r>
      <w:r>
        <w:rPr>
          <w:i/>
          <w:iCs/>
        </w:rPr>
        <w:t xml:space="preserve">Additional </w:t>
      </w:r>
      <w:r>
        <w:rPr>
          <w:i/>
        </w:rPr>
        <w:t>Details</w:t>
      </w:r>
      <w:r>
        <w:t>).</w:t>
      </w:r>
    </w:p>
    <w:p w:rsidRPr="00F40F9C" w:rsidR="002D54C4" w:rsidP="00C22140" w:rsidRDefault="008B55A2" w14:paraId="59DA4257" w14:textId="77777777">
      <w:pPr>
        <w:pStyle w:val="zGTC03"/>
        <w:rPr>
          <w:vanish/>
          <w:specVanish/>
        </w:rPr>
      </w:pPr>
      <w:r>
        <w:t xml:space="preserve">Cooperation. </w:t>
      </w:r>
    </w:p>
    <w:p w:rsidRPr="004B0BBF" w:rsidR="00AE51F9" w:rsidP="004B0BBF" w:rsidRDefault="00AE51F9" w14:paraId="252FF02E" w14:textId="77777777">
      <w:pPr>
        <w:pStyle w:val="zGTC031"/>
        <w:rPr>
          <w:vanish/>
          <w:specVanish/>
        </w:rPr>
      </w:pPr>
    </w:p>
    <w:p w:rsidRPr="00564BE1" w:rsidR="002D54C4" w:rsidP="004B0BBF" w:rsidRDefault="008B55A2" w14:paraId="3B1DCFC1" w14:textId="77777777">
      <w:pPr>
        <w:pStyle w:val="zGTC03"/>
        <w:numPr>
          <w:ilvl w:val="0"/>
          <w:numId w:val="0"/>
        </w:numPr>
      </w:pPr>
      <w:r>
        <w:t xml:space="preserve"> </w:t>
      </w:r>
      <w:r w:rsidRPr="004B0BBF">
        <w:rPr>
          <w:b w:val="0"/>
        </w:rPr>
        <w:t>Each Party will cooperate in providing the Operating Representatives all information required in the performance of their duties. If the Operating Representatives are unable to agree on any matter falling under their jurisdiction, the Operating Representatives will submit the matter to senior officers for discussion and resolution. All decisions and agreements made by the Operating Representatives or their principals must be evidenced in writing.</w:t>
      </w:r>
    </w:p>
    <w:p w:rsidRPr="00F40F9C" w:rsidR="002D54C4" w:rsidP="0044099B" w:rsidRDefault="008B55A2" w14:paraId="01B7FE0D" w14:textId="77777777">
      <w:pPr>
        <w:pStyle w:val="zGTC02"/>
        <w:keepNext/>
        <w:rPr>
          <w:specVanish/>
        </w:rPr>
      </w:pPr>
      <w:bookmarkStart w:name="_Toc153987045" w:id="563"/>
      <w:bookmarkStart w:name="_Toc160749138" w:id="564"/>
      <w:bookmarkStart w:name="_Toc194937502" w:id="565"/>
      <w:bookmarkStart w:name="_Toc174624889" w:id="566"/>
      <w:bookmarkStart w:name="_Toc227451551" w:id="567"/>
      <w:r>
        <w:t>AGC.</w:t>
      </w:r>
      <w:bookmarkStart w:name="_Toc158593224" w:id="568"/>
      <w:bookmarkStart w:name="_Toc158597503" w:id="569"/>
      <w:bookmarkStart w:name="_Toc158720127" w:id="570"/>
      <w:bookmarkStart w:name="_Toc158722881" w:id="571"/>
      <w:bookmarkStart w:name="_Toc158929411" w:id="572"/>
      <w:bookmarkEnd w:id="563"/>
      <w:bookmarkEnd w:id="564"/>
      <w:bookmarkEnd w:id="565"/>
      <w:bookmarkEnd w:id="566"/>
      <w:bookmarkEnd w:id="567"/>
      <w:bookmarkEnd w:id="568"/>
      <w:bookmarkEnd w:id="569"/>
      <w:bookmarkEnd w:id="570"/>
      <w:bookmarkEnd w:id="571"/>
      <w:bookmarkEnd w:id="572"/>
    </w:p>
    <w:p w:rsidRPr="00F40F9C" w:rsidR="0031481C" w:rsidP="00C22140" w:rsidRDefault="008B55A2" w14:paraId="0A99F186" w14:textId="77777777">
      <w:pPr>
        <w:pStyle w:val="zGTC03"/>
        <w:rPr>
          <w:specVanish/>
        </w:rPr>
      </w:pPr>
      <w:r>
        <w:t>Reserved.</w:t>
      </w:r>
    </w:p>
    <w:p w:rsidRPr="00F40F9C" w:rsidR="002D54C4" w:rsidP="00C22140" w:rsidRDefault="008B55A2" w14:paraId="4ED34905" w14:textId="77777777">
      <w:pPr>
        <w:pStyle w:val="zGTC03"/>
        <w:rPr>
          <w:vanish/>
          <w:specVanish/>
        </w:rPr>
      </w:pPr>
      <w:r>
        <w:t xml:space="preserve">Operation on AGC. </w:t>
      </w:r>
    </w:p>
    <w:p w:rsidRPr="00F40F9C" w:rsidR="002D54C4" w:rsidRDefault="008B55A2" w14:paraId="1AA51D26" w14:textId="1724A8BA">
      <w:pPr>
        <w:pStyle w:val="zGNormal"/>
      </w:pPr>
      <w:r>
        <w:rPr>
          <w:b/>
          <w:bCs/>
        </w:rPr>
        <w:t xml:space="preserve"> </w:t>
      </w:r>
      <w:r>
        <w:t>Seller must operate the BESS and charge or discharge in compliance with GPC‘s AGC Setpoint signals as further described in Section 10.8.3 (</w:t>
      </w:r>
      <w:r>
        <w:rPr>
          <w:i/>
          <w:iCs/>
        </w:rPr>
        <w:t>AGC</w:t>
      </w:r>
      <w:r>
        <w:t xml:space="preserve"> </w:t>
      </w:r>
      <w:r>
        <w:rPr>
          <w:i/>
        </w:rPr>
        <w:t>Setpoint Signals</w:t>
      </w:r>
      <w:r>
        <w:t xml:space="preserve">). During periods when the AGC Setpoint is zero MW, the BESS must be controlled so that the BESS does not discharge (e.g., is in idle state). </w:t>
      </w:r>
      <w:r w:rsidR="0027336F">
        <w:t xml:space="preserve">At any time during the Term, if the Facility cannot operate on AGC, in whole or in part, GPC can dispatch the BESS using scheduling instructions from the </w:t>
      </w:r>
      <w:r w:rsidR="0027336F">
        <w:lastRenderedPageBreak/>
        <w:t>Dispatch Center, as further described in the Operating Procedures. Seller must comply with any scheduling instruction given by the Dispatch Center, subject to the Technical Limits and scheduling procedures stated in the Operating Procedures.</w:t>
      </w:r>
    </w:p>
    <w:p w:rsidRPr="00F40F9C" w:rsidR="002D54C4" w:rsidP="00C22140" w:rsidRDefault="008B55A2" w14:paraId="4B5C0B47" w14:textId="77777777">
      <w:pPr>
        <w:pStyle w:val="zGTC03"/>
        <w:rPr>
          <w:vanish/>
          <w:specVanish/>
        </w:rPr>
      </w:pPr>
      <w:r>
        <w:t>AGC Setpoint Signals.</w:t>
      </w:r>
    </w:p>
    <w:p w:rsidRPr="00F40F9C" w:rsidR="002D54C4" w:rsidRDefault="008B55A2" w14:paraId="25297FC8" w14:textId="7188B3C5">
      <w:pPr>
        <w:pStyle w:val="zGNormal"/>
      </w:pPr>
      <w:r>
        <w:t xml:space="preserve"> At Seller’s sole expense, Seller will install, operate, and maintain AGC equipment and systems at the Facility as necessary to enable the Facility to respond to and follow GPC’s AGC Setpoint signals in compliance with this PPA</w:t>
      </w:r>
      <w:r w:rsidR="00092E19">
        <w:t xml:space="preserve"> but subject to any IA limitation, including the interconnection service limit</w:t>
      </w:r>
      <w:r>
        <w:t>. The Facility must be capable of remaining on AGC at all times while Available. The Facility’s AGC system will include all necessary connections to GPC’s AGC equipment (to GPC ’s satisfaction) to enable GPC to send AGC Setpoint signals to the Facility and to measure, record, and control energy input/output from the Facility at all times. The Facility’s AGC system must conform to Prudent Industry Practices and be configured to interface with GPC’s AGC RTU(s) to send and receive data for AGC that satisfies the minimum data requirements in Exhibit G (</w:t>
      </w:r>
      <w:r>
        <w:rPr>
          <w:i/>
        </w:rPr>
        <w:t>AGC and Facility Minimum Data Requirements</w:t>
      </w:r>
      <w:r>
        <w:t xml:space="preserve">). </w:t>
      </w:r>
    </w:p>
    <w:p w:rsidRPr="004B0BBF" w:rsidR="00685615" w:rsidP="00685615" w:rsidRDefault="008B55A2" w14:paraId="4417DF17" w14:textId="7B134F22">
      <w:pPr>
        <w:pStyle w:val="zGTC02"/>
        <w:rPr>
          <w:rFonts w:ascii="Arial" w:hAnsi="Arial"/>
          <w:vanish/>
          <w:specVanish/>
        </w:rPr>
      </w:pPr>
      <w:bookmarkStart w:name="_Toc153987046" w:id="573"/>
      <w:bookmarkStart w:name="_Toc160749139" w:id="574"/>
      <w:bookmarkStart w:name="_Toc194937503" w:id="575"/>
      <w:bookmarkStart w:name="_Toc174624890" w:id="576"/>
      <w:bookmarkStart w:name="_Toc227451552" w:id="577"/>
      <w:r>
        <w:t>AGC Performance Requirements.</w:t>
      </w:r>
      <w:bookmarkStart w:name="_Toc158593225" w:id="578"/>
      <w:bookmarkStart w:name="_Toc158597504" w:id="579"/>
      <w:bookmarkStart w:name="_Toc158720128" w:id="580"/>
      <w:bookmarkStart w:name="_Toc158722882" w:id="581"/>
      <w:bookmarkStart w:name="_Toc158929412" w:id="582"/>
      <w:bookmarkEnd w:id="573"/>
      <w:bookmarkEnd w:id="574"/>
      <w:bookmarkEnd w:id="575"/>
      <w:bookmarkEnd w:id="576"/>
      <w:bookmarkEnd w:id="577"/>
      <w:bookmarkEnd w:id="578"/>
      <w:bookmarkEnd w:id="579"/>
      <w:bookmarkEnd w:id="580"/>
      <w:bookmarkEnd w:id="581"/>
      <w:bookmarkEnd w:id="582"/>
    </w:p>
    <w:p w:rsidR="001C12F0" w:rsidP="004B0BBF" w:rsidRDefault="008B55A2" w14:paraId="62D6617A" w14:textId="36658DC8">
      <w:pPr>
        <w:pStyle w:val="zGNormal"/>
      </w:pPr>
      <w:r>
        <w:t xml:space="preserve">  Part 3 (</w:t>
      </w:r>
      <w:r>
        <w:rPr>
          <w:i/>
        </w:rPr>
        <w:t>AGC Performance Metrics and Requirements</w:t>
      </w:r>
      <w:r>
        <w:t xml:space="preserve">) of Exhibit C </w:t>
      </w:r>
      <w:r w:rsidRPr="004B0BBF">
        <w:rPr>
          <w:i/>
        </w:rPr>
        <w:t>(</w:t>
      </w:r>
      <w:r>
        <w:rPr>
          <w:i/>
          <w:iCs/>
        </w:rPr>
        <w:t>Monthly Capacity Payments; Monthly Capacity Reductions; AGC Performance Metrics and Requirements</w:t>
      </w:r>
      <w:r w:rsidRPr="004B0BBF">
        <w:rPr>
          <w:i/>
        </w:rPr>
        <w:t>)</w:t>
      </w:r>
      <w:r>
        <w:t xml:space="preserve"> establishes the AGC Performance Requirements. Seller must comply with the AGC Status Performance Requirement and the AGC Setpoint Response Performance Requirement for each Month of each Annual Period. If, at any time during the Term, the Facility’s performance deviates from the AGC Status Performance Requirement or the AGC Setpoint Response Performance Requirement, Seller must promptly: (i) communicate to GPC the cause of the deviation; and (ii) take action to correct any deficiency and regain compliance with the AGC Performance Requirements, if applicable. If Seller fails to achieve the AGC Status Performance Requirement or the AGC Setpoint Response Performance Requirement for any three consecutive Months or for six non-consecutive Months in any 12-Month period (each, a “</w:t>
      </w:r>
      <w:r>
        <w:rPr>
          <w:b/>
        </w:rPr>
        <w:t>Triggering Failure</w:t>
      </w:r>
      <w:r>
        <w:t>”), Seller must perform an analysis of the reasons for the failure within five Business Days after notice of a Triggering Failure</w:t>
      </w:r>
      <w:r w:rsidR="00C220C9">
        <w:t xml:space="preserve"> from GPC</w:t>
      </w:r>
      <w:r>
        <w:t xml:space="preserve">. Within 15 Business Days after </w:t>
      </w:r>
      <w:r w:rsidR="00210259">
        <w:t>receipt</w:t>
      </w:r>
      <w:r>
        <w:t xml:space="preserve"> of a Triggering Failure</w:t>
      </w:r>
      <w:r w:rsidR="00210259">
        <w:t xml:space="preserve"> notice</w:t>
      </w:r>
      <w:r>
        <w:t>, Seller must provide GPC with its analysis and a reasonable plan that explains the steps Seller will take to remedy the reason(s) for the failure and to regain compliance with the AGC Status Performance Requirement and the AGC Setpoint Response Performance Requirement (“</w:t>
      </w:r>
      <w:r w:rsidRPr="006F4036">
        <w:rPr>
          <w:b/>
          <w:bCs/>
        </w:rPr>
        <w:t>AGC Plan</w:t>
      </w:r>
      <w:r>
        <w:t xml:space="preserve">”). If GPC has comments or recommendations to Seller’s AGC Plan, Seller must address GPC’s comments, incorporate GPC’s </w:t>
      </w:r>
      <w:r w:rsidR="001C20D1">
        <w:t xml:space="preserve">commercially reasonable </w:t>
      </w:r>
      <w:r>
        <w:t>recommendations, and resubmit the AGC Plan to GPC within 15 Business Days after receiving GPC’s comments. After GPC approves the AGC Plan, which approval will not be unreasonably withheld, Seller must diligently implement the AGC Plan. If Seller: (a) does not timely perform an analysis of a failure; (b) does not timely present the AGC Plan to GPC</w:t>
      </w:r>
      <w:r w:rsidR="00E3516D">
        <w:t xml:space="preserve"> or respond to any comments or recommendations of GPC to Seller’s AGC Plan</w:t>
      </w:r>
      <w:r>
        <w:t>; or (c) fails to diligently implement the AGC Plan approved by GPC, GPC may declare an Event of Default by Seller pursuant to Section 16.1.10 (</w:t>
      </w:r>
      <w:r>
        <w:rPr>
          <w:i/>
          <w:iCs/>
        </w:rPr>
        <w:t>Failure to Meet AGC Performance Requirements</w:t>
      </w:r>
      <w:r>
        <w:t>).</w:t>
      </w:r>
    </w:p>
    <w:p w:rsidRPr="003D0838" w:rsidR="00515D27" w:rsidP="00C731BB" w:rsidRDefault="008B55A2" w14:paraId="55666348" w14:textId="369AFC41">
      <w:pPr>
        <w:pStyle w:val="zGTC03"/>
        <w:ind w:left="648"/>
        <w:rPr>
          <w:b w:val="0"/>
          <w:bCs/>
        </w:rPr>
      </w:pPr>
      <w:r>
        <w:t>AGC Plan Dispute.</w:t>
      </w:r>
      <w:r>
        <w:rPr>
          <w:b w:val="0"/>
          <w:bCs/>
        </w:rPr>
        <w:t xml:space="preserve"> If the Parties </w:t>
      </w:r>
      <w:r w:rsidR="00AE5E12">
        <w:rPr>
          <w:b w:val="0"/>
          <w:bCs/>
        </w:rPr>
        <w:t>cannot</w:t>
      </w:r>
      <w:r>
        <w:rPr>
          <w:b w:val="0"/>
          <w:bCs/>
        </w:rPr>
        <w:t xml:space="preserve"> reach agreement on the proposed AGC Plan, either Party may submit the proposed AGC Plan to the Operating Committee for review. Within 15 Business Days after receipt of the AGC Plan, the Operating Committee must issue a report and recommendation regarding Seller’s proposed AGC Plan as last presented to GPC and any recommended modification. The Parties must consider the Operating Committee’s report and recommendation. If the AGC Plan is not resolved after considering the Operating Committee’s report, the dispute must be resolved in accordance with Part 19 (</w:t>
      </w:r>
      <w:r>
        <w:rPr>
          <w:b w:val="0"/>
          <w:bCs/>
          <w:i/>
          <w:iCs/>
        </w:rPr>
        <w:t>Dispute Resolution</w:t>
      </w:r>
      <w:r>
        <w:rPr>
          <w:b w:val="0"/>
          <w:bCs/>
        </w:rPr>
        <w:t>).</w:t>
      </w:r>
    </w:p>
    <w:p w:rsidRPr="00F40F9C" w:rsidR="0011190D" w:rsidP="004B0BBF" w:rsidRDefault="008B55A2" w14:paraId="53FB9274" w14:textId="67A6F1D9">
      <w:pPr>
        <w:pStyle w:val="zGTC02"/>
        <w:keepNext/>
        <w:keepLines/>
        <w:tabs>
          <w:tab w:val="num" w:pos="1980"/>
        </w:tabs>
      </w:pPr>
      <w:bookmarkStart w:name="_Toc174624891" w:id="583"/>
      <w:bookmarkStart w:name="_Toc194937504" w:id="584"/>
      <w:bookmarkStart w:name="_Toc227451553" w:id="585"/>
      <w:r>
        <w:t>Reserved</w:t>
      </w:r>
      <w:bookmarkEnd w:id="583"/>
      <w:r>
        <w:t>.</w:t>
      </w:r>
      <w:bookmarkEnd w:id="584"/>
      <w:bookmarkEnd w:id="585"/>
    </w:p>
    <w:p w:rsidRPr="00F40F9C" w:rsidR="0063771C" w:rsidP="0063771C" w:rsidRDefault="008B55A2" w14:paraId="752E490C" w14:textId="24657A43">
      <w:pPr>
        <w:pStyle w:val="zGTC02"/>
        <w:rPr>
          <w:rFonts w:ascii="Arial" w:hAnsi="Arial" w:cs="Arial"/>
          <w:vanish/>
          <w:specVanish/>
        </w:rPr>
      </w:pPr>
      <w:bookmarkStart w:name="_Toc153987048" w:id="586"/>
      <w:bookmarkStart w:name="_Toc160749140" w:id="587"/>
      <w:bookmarkStart w:name="_Toc194937505" w:id="588"/>
      <w:bookmarkStart w:name="_Toc174624892" w:id="589"/>
      <w:bookmarkStart w:name="_Toc227451554" w:id="590"/>
      <w:r>
        <w:rPr>
          <w:rFonts w:ascii="Arial" w:hAnsi="Arial" w:cs="Arial"/>
        </w:rPr>
        <w:t xml:space="preserve">Performance </w:t>
      </w:r>
      <w:bookmarkStart w:name="_Toc158593227" w:id="591"/>
      <w:bookmarkStart w:name="_Toc158597506" w:id="592"/>
      <w:bookmarkStart w:name="_Toc158720130" w:id="593"/>
      <w:bookmarkStart w:name="_Toc158722884" w:id="594"/>
      <w:bookmarkStart w:name="_Toc158929414" w:id="595"/>
      <w:bookmarkEnd w:id="586"/>
      <w:bookmarkEnd w:id="587"/>
      <w:bookmarkEnd w:id="591"/>
      <w:bookmarkEnd w:id="592"/>
      <w:bookmarkEnd w:id="593"/>
      <w:bookmarkEnd w:id="594"/>
      <w:bookmarkEnd w:id="595"/>
      <w:r>
        <w:rPr>
          <w:rFonts w:ascii="Arial" w:hAnsi="Arial" w:cs="Arial"/>
        </w:rPr>
        <w:t>Metrics.</w:t>
      </w:r>
      <w:bookmarkEnd w:id="588"/>
      <w:bookmarkEnd w:id="589"/>
      <w:bookmarkEnd w:id="590"/>
    </w:p>
    <w:p w:rsidRPr="00F40F9C" w:rsidR="002D54C4" w:rsidP="0063771C" w:rsidRDefault="008B55A2" w14:paraId="0BB55A8E" w14:textId="39589AD1">
      <w:pPr>
        <w:pStyle w:val="zGNormal"/>
      </w:pPr>
      <w:r>
        <w:t xml:space="preserve"> Exhibit C (</w:t>
      </w:r>
      <w:r>
        <w:rPr>
          <w:i/>
        </w:rPr>
        <w:t>Monthly Capacity Payments; Monthly Capacity Reductions; AGC Performance Metrics and Requirements</w:t>
      </w:r>
      <w:r>
        <w:t xml:space="preserve">) details the Performance Metrics that Seller must achieve each Month of each Annual Period during the Term. If Seller fails to achieve </w:t>
      </w:r>
      <w:r w:rsidR="00151215">
        <w:t xml:space="preserve">certain </w:t>
      </w:r>
      <w:r>
        <w:t>required Performance Metric</w:t>
      </w:r>
      <w:r w:rsidR="00151215">
        <w:t>s</w:t>
      </w:r>
      <w:r>
        <w:t xml:space="preserve"> in a given Month, Seller’s Monthly Capacity Payment will be reduced</w:t>
      </w:r>
      <w:r w:rsidR="00B9417B">
        <w:t xml:space="preserve"> </w:t>
      </w:r>
      <w:r w:rsidR="0085789D">
        <w:t>as described in Exhibit C</w:t>
      </w:r>
      <w:r>
        <w:t>.</w:t>
      </w:r>
    </w:p>
    <w:p w:rsidRPr="00F40F9C" w:rsidR="002D54C4" w:rsidRDefault="008B55A2" w14:paraId="475FC38A" w14:textId="77777777">
      <w:pPr>
        <w:pStyle w:val="zGTC02"/>
        <w:rPr>
          <w:vanish/>
          <w:specVanish/>
        </w:rPr>
      </w:pPr>
      <w:bookmarkStart w:name="_Toc140854466" w:id="596"/>
      <w:bookmarkStart w:name="_Toc140854467" w:id="597"/>
      <w:bookmarkStart w:name="_Toc140854468" w:id="598"/>
      <w:bookmarkStart w:name="_Toc140320065" w:id="599"/>
      <w:bookmarkStart w:name="_Toc153987049" w:id="600"/>
      <w:bookmarkStart w:name="_Toc160749141" w:id="601"/>
      <w:bookmarkStart w:name="_Toc194937506" w:id="602"/>
      <w:bookmarkStart w:name="_Toc174624893" w:id="603"/>
      <w:bookmarkStart w:name="_Toc227451555" w:id="604"/>
      <w:bookmarkEnd w:id="596"/>
      <w:bookmarkEnd w:id="597"/>
      <w:bookmarkEnd w:id="598"/>
      <w:r>
        <w:t>Reactive Power.</w:t>
      </w:r>
      <w:bookmarkStart w:name="_Toc141101515" w:id="605"/>
      <w:bookmarkStart w:name="_Toc158593228" w:id="606"/>
      <w:bookmarkStart w:name="_Toc158597507" w:id="607"/>
      <w:bookmarkStart w:name="_Toc158720131" w:id="608"/>
      <w:bookmarkStart w:name="_Toc158722885" w:id="609"/>
      <w:bookmarkStart w:name="_Toc158929415" w:id="610"/>
      <w:bookmarkEnd w:id="599"/>
      <w:bookmarkEnd w:id="600"/>
      <w:bookmarkEnd w:id="601"/>
      <w:bookmarkEnd w:id="602"/>
      <w:bookmarkEnd w:id="603"/>
      <w:bookmarkEnd w:id="604"/>
      <w:bookmarkEnd w:id="605"/>
      <w:bookmarkEnd w:id="606"/>
      <w:bookmarkEnd w:id="607"/>
      <w:bookmarkEnd w:id="608"/>
      <w:bookmarkEnd w:id="609"/>
      <w:bookmarkEnd w:id="610"/>
    </w:p>
    <w:p w:rsidRPr="00F40F9C" w:rsidR="002D54C4" w:rsidRDefault="008B55A2" w14:paraId="3FDD69B0" w14:textId="17380E42">
      <w:pPr>
        <w:pStyle w:val="zGNormal"/>
        <w:widowControl w:val="0"/>
        <w:tabs>
          <w:tab w:val="num" w:pos="2070"/>
        </w:tabs>
        <w:ind w:left="1350"/>
        <w:rPr>
          <w:rFonts w:eastAsia="Times New Roman"/>
        </w:rPr>
      </w:pPr>
      <w:r>
        <w:rPr>
          <w:rFonts w:eastAsia="Times New Roman"/>
        </w:rPr>
        <w:t xml:space="preserve"> During the Term, the Facility must be capable of providing, and upon GPC’s request Seller must cause the Facility to provide, reactive power </w:t>
      </w:r>
      <w:r>
        <w:t>support (i.e., to produce and absorb reactive power)</w:t>
      </w:r>
      <w:r>
        <w:rPr>
          <w:rFonts w:eastAsia="Times New Roman"/>
        </w:rPr>
        <w:t xml:space="preserve"> to meet the Interconnection Provider’s voltage schedule requirements outlined in Southern Company Bulk Power Operation’s BPO-01 – Attachment A, as well as meeting the operational requirements  </w:t>
      </w:r>
      <w:r>
        <w:rPr>
          <w:rFonts w:eastAsia="Times New Roman"/>
        </w:rPr>
        <w:lastRenderedPageBreak/>
        <w:t>as specified in The Southern Company Bulk Power Operations Procedure BPO-01 at all real power levels (pushing and pulling), including zero real power.</w:t>
      </w:r>
      <w:bookmarkStart w:name="_Toc140320066" w:id="611"/>
      <w:r>
        <w:rPr>
          <w:rFonts w:eastAsia="Times New Roman"/>
        </w:rPr>
        <w:t xml:space="preserve"> </w:t>
      </w:r>
      <w:bookmarkStart w:name="_Hlk142680440" w:id="612"/>
      <w:r>
        <w:rPr>
          <w:rFonts w:eastAsia="Times New Roman"/>
        </w:rPr>
        <w:t>In the case of a</w:t>
      </w:r>
      <w:r>
        <w:t xml:space="preserve"> BESS</w:t>
      </w:r>
      <w:r>
        <w:rPr>
          <w:rFonts w:eastAsia="Times New Roman"/>
        </w:rPr>
        <w:t xml:space="preserve"> comprised of technology other than inverter-based technology, such requirements will apply only when the</w:t>
      </w:r>
      <w:r>
        <w:t xml:space="preserve"> BESS</w:t>
      </w:r>
      <w:r>
        <w:rPr>
          <w:rFonts w:eastAsia="Times New Roman"/>
        </w:rPr>
        <w:t xml:space="preserve"> is charging or discharging. For any</w:t>
      </w:r>
      <w:r>
        <w:t xml:space="preserve"> BESS</w:t>
      </w:r>
      <w:r>
        <w:rPr>
          <w:rFonts w:eastAsia="Times New Roman"/>
        </w:rPr>
        <w:t xml:space="preserve"> comprised of inverter-based technology, such requirements will apply at </w:t>
      </w:r>
      <w:r>
        <w:rPr>
          <w:rFonts w:eastAsia="Times New Roman"/>
          <w:u w:val="single"/>
        </w:rPr>
        <w:t>all</w:t>
      </w:r>
      <w:r>
        <w:rPr>
          <w:rFonts w:eastAsia="Times New Roman"/>
        </w:rPr>
        <w:t xml:space="preserve"> times</w:t>
      </w:r>
      <w:r w:rsidR="00376693">
        <w:rPr>
          <w:rFonts w:eastAsia="Times New Roman"/>
        </w:rPr>
        <w:t xml:space="preserve"> when the Facility is </w:t>
      </w:r>
      <w:r w:rsidR="00013E72">
        <w:rPr>
          <w:rFonts w:eastAsia="Times New Roman"/>
        </w:rPr>
        <w:t>A</w:t>
      </w:r>
      <w:r w:rsidR="00376693">
        <w:rPr>
          <w:rFonts w:eastAsia="Times New Roman"/>
        </w:rPr>
        <w:t>vailable</w:t>
      </w:r>
      <w:r>
        <w:rPr>
          <w:rFonts w:eastAsia="Times New Roman"/>
        </w:rPr>
        <w:t>, regardless of whether the Facility is delivering real power.</w:t>
      </w:r>
      <w:bookmarkEnd w:id="612"/>
    </w:p>
    <w:p w:rsidRPr="00F40F9C" w:rsidR="002D54C4" w:rsidRDefault="008B55A2" w14:paraId="2C2C55A3" w14:textId="634F66B1">
      <w:pPr>
        <w:pStyle w:val="zGTC02"/>
        <w:rPr>
          <w:vanish/>
          <w:specVanish/>
        </w:rPr>
      </w:pPr>
      <w:bookmarkStart w:name="_Toc153987050" w:id="613"/>
      <w:bookmarkStart w:name="_Toc160749142" w:id="614"/>
      <w:bookmarkStart w:name="_Toc194937507" w:id="615"/>
      <w:bookmarkStart w:name="_Toc174624894" w:id="616"/>
      <w:bookmarkStart w:name="_Toc227451556" w:id="617"/>
      <w:r>
        <w:t>Cyber Security.</w:t>
      </w:r>
      <w:bookmarkStart w:name="_Toc158593229" w:id="618"/>
      <w:bookmarkStart w:name="_Toc158597508" w:id="619"/>
      <w:bookmarkStart w:name="_Toc158720132" w:id="620"/>
      <w:bookmarkStart w:name="_Toc158722886" w:id="621"/>
      <w:bookmarkStart w:name="_Toc158929416" w:id="622"/>
      <w:bookmarkEnd w:id="613"/>
      <w:bookmarkEnd w:id="614"/>
      <w:bookmarkEnd w:id="615"/>
      <w:bookmarkEnd w:id="616"/>
      <w:bookmarkEnd w:id="617"/>
      <w:bookmarkEnd w:id="618"/>
      <w:bookmarkEnd w:id="619"/>
      <w:bookmarkEnd w:id="620"/>
      <w:bookmarkEnd w:id="621"/>
      <w:bookmarkEnd w:id="622"/>
    </w:p>
    <w:p w:rsidRPr="00F40F9C" w:rsidR="002D54C4" w:rsidP="00B61501" w:rsidRDefault="008B55A2" w14:paraId="3BDE19BE" w14:textId="48452DDE">
      <w:pPr>
        <w:pStyle w:val="zGNormal"/>
      </w:pPr>
      <w:r>
        <w:t xml:space="preserve"> </w:t>
      </w:r>
      <w:bookmarkEnd w:id="611"/>
      <w:r>
        <w:t xml:space="preserve">The </w:t>
      </w:r>
      <w:r>
        <w:rPr>
          <w:rStyle w:val="ui-provider"/>
        </w:rPr>
        <w:t xml:space="preserve">Facility must comply with </w:t>
      </w:r>
      <w:r>
        <w:t>the requirements for Bulk Electric System generation facilities in North America set forth in the NERC reliability standards (</w:t>
      </w:r>
      <w:r>
        <w:rPr>
          <w:i/>
          <w:iCs/>
        </w:rPr>
        <w:t>Cyber Security Standards</w:t>
      </w:r>
      <w:r>
        <w:t>) created pursuant to FERC Order 706 (</w:t>
      </w:r>
      <w:r>
        <w:rPr>
          <w:i/>
          <w:iCs/>
        </w:rPr>
        <w:t>Mandatory Reliability Standards for Critical Infrastructure Protection</w:t>
      </w:r>
      <w:r>
        <w:t>), other applicable law, or Prudent Industry Practices</w:t>
      </w:r>
      <w:r>
        <w:rPr>
          <w:rStyle w:val="ui-provider"/>
        </w:rPr>
        <w:t xml:space="preserve">. </w:t>
      </w:r>
      <w:r>
        <w:t xml:space="preserve">With respect to any actual or suspected cyber security incident that compromises, disrupts, or constitutes an attempt to compromise or disrupt: (i) Seller’s cyber security or physical security at the Facility; (ii) the performance of Seller’s obligations regarding the operation of the Facility; or (iii) products, software, </w:t>
      </w:r>
      <w:r w:rsidR="009D27D2">
        <w:t xml:space="preserve">hardware, </w:t>
      </w:r>
      <w:r>
        <w:t xml:space="preserve">or systems provided or to be provided </w:t>
      </w:r>
      <w:r w:rsidR="00B965D7">
        <w:t>by Seller</w:t>
      </w:r>
      <w:r>
        <w:t xml:space="preserve"> under this PPA (a “</w:t>
      </w:r>
      <w:r>
        <w:rPr>
          <w:b/>
        </w:rPr>
        <w:t>Cyber Security Incident</w:t>
      </w:r>
      <w:r>
        <w:t xml:space="preserve">”), Seller must report any Cyber Security Incident to GPC within 24 Hours after discovery. </w:t>
      </w:r>
      <w:bookmarkStart w:name="_Hlk198699758" w:id="623"/>
      <w:r w:rsidR="00983F7E">
        <w:rPr>
          <w:rFonts w:eastAsia="Times New Roman"/>
        </w:rPr>
        <w:t>Seller must take immediate steps to address any Cyber Security Incident and to mitigate any impact to the Facility and GPC as a result of a Cyber Security Incident, up to and including the replacement of any affected equipment</w:t>
      </w:r>
      <w:r w:rsidR="0066653B">
        <w:rPr>
          <w:rFonts w:eastAsia="Times New Roman"/>
        </w:rPr>
        <w:t>, if applicable</w:t>
      </w:r>
      <w:r w:rsidR="00983F7E">
        <w:rPr>
          <w:rFonts w:eastAsia="Times New Roman"/>
        </w:rPr>
        <w:t>.</w:t>
      </w:r>
      <w:bookmarkEnd w:id="623"/>
    </w:p>
    <w:p w:rsidRPr="00F40F9C" w:rsidR="002B188C" w:rsidP="00344663" w:rsidRDefault="008B55A2" w14:paraId="528E6B75" w14:textId="77777777">
      <w:pPr>
        <w:pStyle w:val="zGTC03"/>
        <w:rPr>
          <w:b w:val="0"/>
          <w:bCs/>
        </w:rPr>
      </w:pPr>
      <w:r>
        <w:t xml:space="preserve">Sourcing Restrictions. </w:t>
      </w:r>
      <w:r>
        <w:rPr>
          <w:b w:val="0"/>
          <w:bCs/>
        </w:rPr>
        <w:t>Programmable electronic components of the: (i) Battery Management System (BMS); (ii) BESS Controller; and (iii) Site Controller (including controls, hardware and software) must not be sourced from or manufactured by Foreign Entities of Concern (“FEOC”) as defined in 42 U.S.C. § 18741(5) and subsequently interpreted in “Interpretation of Foreign Entity of Concern,” 89 Fed. Reg. 37085 (May 6, 2024) or sourced from or manufactured in one of the following countries: China, Russia, North Korea, Saudi Arabia, Serbia, Algeria, Venezuela, Iran, Iraq, Belarus, Kazakhstan, Kyrgyzstan, Uzbekistan, Syria, Lebanon, South Sudan, Pakistan, or Cuba. For purposes of this provision, the terms Battery Management System, BESS Controller, and Site Controller are defined as follows:</w:t>
      </w:r>
    </w:p>
    <w:p w:rsidRPr="00F40F9C" w:rsidR="00816190" w:rsidP="00816190" w:rsidRDefault="008B55A2" w14:paraId="3CBD54C0" w14:textId="77777777">
      <w:pPr>
        <w:pStyle w:val="zGTC04"/>
      </w:pPr>
      <w:r>
        <w:rPr>
          <w:rFonts w:eastAsiaTheme="minorHAnsi"/>
          <w:b/>
          <w:bCs/>
          <w:kern w:val="0"/>
          <w:u w:val="single"/>
        </w:rPr>
        <w:t>Battery Management System (BMS)</w:t>
      </w:r>
      <w:r>
        <w:rPr>
          <w:rFonts w:eastAsiaTheme="minorHAnsi"/>
          <w:b/>
          <w:bCs/>
          <w:kern w:val="0"/>
        </w:rPr>
        <w:t>: </w:t>
      </w:r>
      <w:r>
        <w:rPr>
          <w:rFonts w:eastAsiaTheme="minorHAnsi"/>
          <w:kern w:val="0"/>
        </w:rPr>
        <w:t>A control system used to protect the battery and to provide key parameters, such as state of charge, battery health, and temperature.</w:t>
      </w:r>
    </w:p>
    <w:p w:rsidRPr="00F40F9C" w:rsidR="00BC4FB0" w:rsidP="00816190" w:rsidRDefault="008B55A2" w14:paraId="46691D25" w14:textId="77777777">
      <w:pPr>
        <w:pStyle w:val="zGTC04"/>
      </w:pPr>
      <w:r>
        <w:rPr>
          <w:rFonts w:eastAsiaTheme="minorHAnsi"/>
          <w:b/>
          <w:bCs/>
          <w:kern w:val="0"/>
          <w:u w:val="single"/>
        </w:rPr>
        <w:t>BESS Controller</w:t>
      </w:r>
      <w:r>
        <w:rPr>
          <w:rFonts w:eastAsiaTheme="minorHAnsi"/>
          <w:b/>
          <w:bCs/>
          <w:kern w:val="0"/>
        </w:rPr>
        <w:t>:</w:t>
      </w:r>
      <w:r>
        <w:rPr>
          <w:rFonts w:eastAsiaTheme="minorHAnsi"/>
          <w:kern w:val="0"/>
        </w:rPr>
        <w:t xml:space="preserve"> A controller used to manage multiple stacks or arrays of batteries. This controller manages the balancing of the batteries.</w:t>
      </w:r>
    </w:p>
    <w:p w:rsidRPr="00F40F9C" w:rsidR="00C6189E" w:rsidP="00816190" w:rsidRDefault="008B55A2" w14:paraId="498FF4A6" w14:textId="77777777">
      <w:pPr>
        <w:pStyle w:val="zGTC04"/>
      </w:pPr>
      <w:r>
        <w:rPr>
          <w:rFonts w:eastAsiaTheme="minorHAnsi"/>
          <w:b/>
          <w:bCs/>
          <w:kern w:val="0"/>
          <w:u w:val="single"/>
        </w:rPr>
        <w:t>Site Controller</w:t>
      </w:r>
      <w:r>
        <w:rPr>
          <w:rFonts w:eastAsiaTheme="minorHAnsi"/>
          <w:b/>
          <w:bCs/>
          <w:kern w:val="0"/>
        </w:rPr>
        <w:t>:</w:t>
      </w:r>
      <w:r>
        <w:rPr>
          <w:rFonts w:eastAsiaTheme="minorHAnsi"/>
          <w:kern w:val="0"/>
        </w:rPr>
        <w:t xml:space="preserve"> A control system used to manage one or more sources (Photovoltaic solar, batteries, etc.) to achieve facility level control.</w:t>
      </w:r>
    </w:p>
    <w:p w:rsidRPr="00F40F9C" w:rsidR="002D54C4" w:rsidP="004B0BBF" w:rsidRDefault="008B55A2" w14:paraId="32A966D6" w14:textId="6DBFC7F7">
      <w:pPr>
        <w:pStyle w:val="zGTC01"/>
        <w:tabs>
          <w:tab w:val="clear" w:pos="3762"/>
        </w:tabs>
        <w:ind w:left="1080"/>
        <w:rPr>
          <w:szCs w:val="20"/>
        </w:rPr>
      </w:pPr>
      <w:bookmarkStart w:name="_Toc156309792" w:id="624"/>
      <w:bookmarkStart w:name="_Toc160749143" w:id="625"/>
      <w:bookmarkStart w:name="_Toc174624895" w:id="626"/>
      <w:bookmarkStart w:name="_Toc194937508" w:id="627"/>
      <w:bookmarkStart w:name="_Toc227451557" w:id="628"/>
      <w:r>
        <w:t>BESS; Grid Charging</w:t>
      </w:r>
      <w:bookmarkStart w:name="_Toc148829410" w:id="629"/>
      <w:bookmarkEnd w:id="624"/>
      <w:bookmarkEnd w:id="625"/>
      <w:bookmarkEnd w:id="626"/>
      <w:r>
        <w:t>; Renewable Resource Charging</w:t>
      </w:r>
      <w:bookmarkEnd w:id="627"/>
      <w:bookmarkEnd w:id="628"/>
    </w:p>
    <w:p w:rsidRPr="00F40F9C" w:rsidR="002D54C4" w:rsidRDefault="008B55A2" w14:paraId="27DAF41D" w14:textId="71674C3C">
      <w:pPr>
        <w:pStyle w:val="zGTC02"/>
        <w:rPr>
          <w:vanish/>
          <w:specVanish/>
        </w:rPr>
      </w:pPr>
      <w:bookmarkStart w:name="_Toc148829409" w:id="630"/>
      <w:bookmarkStart w:name="_Toc156309793" w:id="631"/>
      <w:bookmarkStart w:name="_Toc160749144" w:id="632"/>
      <w:bookmarkStart w:name="_Toc194937509" w:id="633"/>
      <w:bookmarkStart w:name="_Toc174624896" w:id="634"/>
      <w:bookmarkStart w:name="_Toc227451558" w:id="635"/>
      <w:r>
        <w:t>Use of</w:t>
      </w:r>
      <w:r w:rsidRPr="004B0BBF">
        <w:rPr>
          <w:b w:val="0"/>
        </w:rPr>
        <w:t xml:space="preserve"> </w:t>
      </w:r>
      <w:r>
        <w:rPr>
          <w:b w:val="0"/>
          <w:bCs/>
        </w:rPr>
        <w:t>BESS</w:t>
      </w:r>
      <w:r>
        <w:t>.</w:t>
      </w:r>
      <w:bookmarkStart w:name="_Toc158593231" w:id="636"/>
      <w:bookmarkStart w:name="_Toc158597510" w:id="637"/>
      <w:bookmarkStart w:name="_Toc158720134" w:id="638"/>
      <w:bookmarkStart w:name="_Toc158722888" w:id="639"/>
      <w:bookmarkStart w:name="_Toc158929418" w:id="640"/>
      <w:bookmarkEnd w:id="630"/>
      <w:bookmarkEnd w:id="631"/>
      <w:bookmarkEnd w:id="632"/>
      <w:bookmarkEnd w:id="633"/>
      <w:bookmarkEnd w:id="634"/>
      <w:bookmarkEnd w:id="635"/>
      <w:bookmarkEnd w:id="636"/>
      <w:bookmarkEnd w:id="637"/>
      <w:bookmarkEnd w:id="638"/>
      <w:bookmarkEnd w:id="639"/>
      <w:bookmarkEnd w:id="640"/>
    </w:p>
    <w:p w:rsidRPr="00F40F9C" w:rsidR="007017B9" w:rsidRDefault="008B55A2" w14:paraId="15D3C43F" w14:textId="285D6AAD">
      <w:pPr>
        <w:pStyle w:val="zGNormal"/>
      </w:pPr>
      <w:r>
        <w:t xml:space="preserve"> Seller acknowledges and agrees that the exclusive purpose and use of the BESS </w:t>
      </w:r>
      <w:r w:rsidR="00732037">
        <w:t xml:space="preserve">during the Term </w:t>
      </w:r>
      <w:r>
        <w:t>is to satisfy Seller’s capacity obligations under this PPA and to satisfy Seller’s obligations under this PPA to charge the BESS or discharge energy to the POI in accordance with GPC’s dispatch instructions.</w:t>
      </w:r>
    </w:p>
    <w:p w:rsidRPr="00F40F9C" w:rsidR="002D54C4" w:rsidP="007017B9" w:rsidRDefault="008B55A2" w14:paraId="781C51D7" w14:textId="77777777">
      <w:pPr>
        <w:pStyle w:val="zGTC02"/>
      </w:pPr>
      <w:bookmarkStart w:name="_Toc194937510" w:id="641"/>
      <w:bookmarkStart w:name="_Toc174624897" w:id="642"/>
      <w:bookmarkStart w:name="_Toc227451559" w:id="643"/>
      <w:r>
        <w:t>Reserved.</w:t>
      </w:r>
      <w:bookmarkEnd w:id="629"/>
      <w:bookmarkEnd w:id="641"/>
      <w:bookmarkEnd w:id="642"/>
      <w:bookmarkEnd w:id="643"/>
      <w:r>
        <w:t xml:space="preserve"> </w:t>
      </w:r>
    </w:p>
    <w:p w:rsidRPr="00F40F9C" w:rsidR="002D54C4" w:rsidRDefault="008B55A2" w14:paraId="717CA4B5" w14:textId="04795F4B">
      <w:pPr>
        <w:pStyle w:val="zGTC02"/>
        <w:rPr>
          <w:vanish/>
          <w:specVanish/>
        </w:rPr>
      </w:pPr>
      <w:bookmarkStart w:name="_Toc174624898" w:id="644"/>
      <w:bookmarkStart w:name="_Toc148829413" w:id="645"/>
      <w:bookmarkStart w:name="_Toc156309797" w:id="646"/>
      <w:bookmarkStart w:name="_Toc160749145" w:id="647"/>
      <w:bookmarkStart w:name="_Toc194937511" w:id="648"/>
      <w:bookmarkStart w:name="_Toc227451560" w:id="649"/>
      <w:r>
        <w:t>Grid Charging</w:t>
      </w:r>
      <w:bookmarkEnd w:id="644"/>
      <w:r>
        <w:t>; Renewable Resource Charging.</w:t>
      </w:r>
      <w:bookmarkEnd w:id="645"/>
      <w:bookmarkEnd w:id="646"/>
      <w:bookmarkEnd w:id="647"/>
      <w:bookmarkEnd w:id="648"/>
      <w:bookmarkEnd w:id="649"/>
      <w:r>
        <w:t xml:space="preserve"> </w:t>
      </w:r>
      <w:bookmarkStart w:name="_Toc158593234" w:id="650"/>
      <w:bookmarkStart w:name="_Toc158597513" w:id="651"/>
      <w:bookmarkStart w:name="_Toc158720137" w:id="652"/>
      <w:bookmarkStart w:name="_Toc158722891" w:id="653"/>
      <w:bookmarkStart w:name="_Toc158929421" w:id="654"/>
      <w:bookmarkEnd w:id="650"/>
      <w:bookmarkEnd w:id="651"/>
      <w:bookmarkEnd w:id="652"/>
      <w:bookmarkEnd w:id="653"/>
      <w:bookmarkEnd w:id="654"/>
    </w:p>
    <w:p w:rsidRPr="00F40F9C" w:rsidR="002D54C4" w:rsidP="00817D05" w:rsidRDefault="008B55A2" w14:paraId="55C79A7B" w14:textId="5BBAA9DD">
      <w:pPr>
        <w:pStyle w:val="zGNormal"/>
      </w:pPr>
      <w:r>
        <w:t xml:space="preserve"> At GPC’s discretion, GPC may direct Grid Charging or, if a Renewable Resource is identified in Exhibit A (</w:t>
      </w:r>
      <w:r>
        <w:rPr>
          <w:i/>
        </w:rPr>
        <w:t>Facility Description and Additional Details</w:t>
      </w:r>
      <w:r>
        <w:t>), Renewable Resource Charging at any time after COD and in any amount within BESS operating limits. Any Charging Energy will be counted against the Cycle Limits when discharged.</w:t>
      </w:r>
    </w:p>
    <w:p w:rsidRPr="00F40F9C" w:rsidR="002D54C4" w:rsidP="004B0BBF" w:rsidRDefault="008B55A2" w14:paraId="657E3BB8" w14:textId="23136A04">
      <w:pPr>
        <w:pStyle w:val="zGTC01"/>
        <w:tabs>
          <w:tab w:val="clear" w:pos="3762"/>
        </w:tabs>
        <w:ind w:left="1080"/>
      </w:pPr>
      <w:bookmarkStart w:name="_Toc156309798" w:id="655"/>
      <w:bookmarkStart w:name="_Toc174624899" w:id="656"/>
      <w:bookmarkStart w:name="_Toc160749146" w:id="657"/>
      <w:bookmarkStart w:name="_Toc194937512" w:id="658"/>
      <w:bookmarkStart w:name="_Toc227451561" w:id="659"/>
      <w:r>
        <w:t xml:space="preserve">Energy </w:t>
      </w:r>
      <w:bookmarkEnd w:id="655"/>
      <w:bookmarkEnd w:id="656"/>
      <w:r>
        <w:t>Dispatch</w:t>
      </w:r>
      <w:bookmarkEnd w:id="657"/>
      <w:bookmarkEnd w:id="658"/>
      <w:bookmarkEnd w:id="659"/>
    </w:p>
    <w:p w:rsidRPr="00F40F9C" w:rsidR="002D54C4" w:rsidRDefault="008B55A2" w14:paraId="36C5F648" w14:textId="77777777">
      <w:pPr>
        <w:pStyle w:val="zGTC02"/>
        <w:rPr>
          <w:vanish/>
          <w:specVanish/>
        </w:rPr>
      </w:pPr>
      <w:bookmarkStart w:name="_Toc158593236" w:id="660"/>
      <w:bookmarkStart w:name="_Toc158597515" w:id="661"/>
      <w:bookmarkStart w:name="_Toc158720139" w:id="662"/>
      <w:bookmarkStart w:name="_Toc158722893" w:id="663"/>
      <w:bookmarkStart w:name="_Toc158929423" w:id="664"/>
      <w:bookmarkStart w:name="_Toc156309799" w:id="665"/>
      <w:bookmarkStart w:name="_Toc160749147" w:id="666"/>
      <w:bookmarkStart w:name="_Toc194937513" w:id="667"/>
      <w:bookmarkStart w:name="_Toc174624900" w:id="668"/>
      <w:bookmarkStart w:name="_Toc227451562" w:id="669"/>
      <w:bookmarkEnd w:id="660"/>
      <w:bookmarkEnd w:id="661"/>
      <w:bookmarkEnd w:id="662"/>
      <w:bookmarkEnd w:id="663"/>
      <w:bookmarkEnd w:id="664"/>
      <w:r>
        <w:t>Energy Dispatch.</w:t>
      </w:r>
      <w:bookmarkEnd w:id="665"/>
      <w:bookmarkEnd w:id="666"/>
      <w:bookmarkEnd w:id="667"/>
      <w:bookmarkEnd w:id="668"/>
      <w:bookmarkEnd w:id="669"/>
    </w:p>
    <w:p w:rsidRPr="00F40F9C" w:rsidR="002D54C4" w:rsidRDefault="008B55A2" w14:paraId="63860C55" w14:textId="06C394D9">
      <w:pPr>
        <w:pStyle w:val="zGNormal"/>
      </w:pPr>
      <w:r>
        <w:t xml:space="preserve"> GPC will issue dispatch instructions via six-second AGC Setpoint signals for the BESS electrical input and output committed under this PPA. If the AGC capability of the BESS is unavailable, GPC may utilize non-AGC dispatching and Seller, at Seller’s expense, must use commercially reasonable efforts to re-establish AGC capability.</w:t>
      </w:r>
    </w:p>
    <w:p w:rsidRPr="00F40F9C" w:rsidR="002D54C4" w:rsidRDefault="008B55A2" w14:paraId="28941377" w14:textId="77777777">
      <w:pPr>
        <w:pStyle w:val="zGTC02"/>
        <w:rPr>
          <w:specVanish/>
        </w:rPr>
      </w:pPr>
      <w:bookmarkStart w:name="_Toc156309800" w:id="670"/>
      <w:bookmarkStart w:name="_Toc160749148" w:id="671"/>
      <w:bookmarkStart w:name="_Toc194937514" w:id="672"/>
      <w:bookmarkStart w:name="_Toc174624901" w:id="673"/>
      <w:bookmarkStart w:name="_Toc227451563" w:id="674"/>
      <w:r>
        <w:t>Coordination and Dispatch.</w:t>
      </w:r>
      <w:bookmarkStart w:name="_Toc158593237" w:id="675"/>
      <w:bookmarkStart w:name="_Toc158597516" w:id="676"/>
      <w:bookmarkStart w:name="_Toc158720140" w:id="677"/>
      <w:bookmarkStart w:name="_Toc158722894" w:id="678"/>
      <w:bookmarkStart w:name="_Toc158929424" w:id="679"/>
      <w:bookmarkEnd w:id="670"/>
      <w:bookmarkEnd w:id="671"/>
      <w:bookmarkEnd w:id="672"/>
      <w:bookmarkEnd w:id="673"/>
      <w:bookmarkEnd w:id="674"/>
      <w:bookmarkEnd w:id="675"/>
      <w:bookmarkEnd w:id="676"/>
      <w:bookmarkEnd w:id="677"/>
      <w:bookmarkEnd w:id="678"/>
      <w:bookmarkEnd w:id="679"/>
    </w:p>
    <w:p w:rsidRPr="00F40F9C" w:rsidR="002D54C4" w:rsidP="00C22140" w:rsidRDefault="008B55A2" w14:paraId="53BB7600" w14:textId="77777777">
      <w:pPr>
        <w:pStyle w:val="zGTC03"/>
        <w:rPr>
          <w:vanish/>
          <w:specVanish/>
        </w:rPr>
      </w:pPr>
      <w:r>
        <w:lastRenderedPageBreak/>
        <w:t>Electrical Input and Output; Dispatch Instructions; IA Compliance.</w:t>
      </w:r>
    </w:p>
    <w:p w:rsidRPr="00F40F9C" w:rsidR="002D54C4" w:rsidRDefault="008B55A2" w14:paraId="59AAB990" w14:textId="79226F49">
      <w:pPr>
        <w:pStyle w:val="zGNormal"/>
      </w:pPr>
      <w:r>
        <w:rPr>
          <w:b/>
          <w:bCs/>
        </w:rPr>
        <w:t xml:space="preserve"> </w:t>
      </w:r>
      <w:r>
        <w:t>The electrical input and output of the BESS committed under this PPA will be subject to AGC Setpoint signals issued by GPC. Seller must comply with these signals when received</w:t>
      </w:r>
      <w:r w:rsidR="00882D74">
        <w:t xml:space="preserve">, subject to the Interconnection Limit, Technical Limits, </w:t>
      </w:r>
      <w:r w:rsidR="00D3345F">
        <w:t xml:space="preserve">and </w:t>
      </w:r>
      <w:r w:rsidR="00882D74">
        <w:t>dispatch procedures set forth in Exhibit F (</w:t>
      </w:r>
      <w:r w:rsidRPr="00FB5D75" w:rsidR="00882D74">
        <w:rPr>
          <w:i/>
          <w:iCs/>
        </w:rPr>
        <w:t>Facility Operating and Dispatching Requirements</w:t>
      </w:r>
      <w:r w:rsidR="00882D74">
        <w:t>)</w:t>
      </w:r>
      <w:r>
        <w:t xml:space="preserve">.  </w:t>
      </w:r>
    </w:p>
    <w:p w:rsidRPr="00F40F9C" w:rsidR="002D54C4" w:rsidP="00C22140" w:rsidRDefault="008B55A2" w14:paraId="059DA1CF" w14:textId="77777777">
      <w:pPr>
        <w:pStyle w:val="zGTC03"/>
        <w:rPr>
          <w:vanish/>
          <w:specVanish/>
        </w:rPr>
      </w:pPr>
      <w:r>
        <w:t xml:space="preserve">Records and Energy Dispatch. </w:t>
      </w:r>
    </w:p>
    <w:p w:rsidRPr="00F40F9C" w:rsidR="002D54C4" w:rsidRDefault="008B55A2" w14:paraId="0B55232C" w14:textId="77777777">
      <w:pPr>
        <w:pStyle w:val="zGNormal"/>
      </w:pPr>
      <w:r>
        <w:t>GPC and Seller will maintain electronic records of the quantities of energy delivered or received each six-second period and Hour during the Term.</w:t>
      </w:r>
    </w:p>
    <w:p w:rsidRPr="00F40F9C" w:rsidR="002D54C4" w:rsidP="00C22140" w:rsidRDefault="008B55A2" w14:paraId="5C32FF76" w14:textId="77777777">
      <w:pPr>
        <w:pStyle w:val="zGTC03"/>
      </w:pPr>
      <w:r>
        <w:t xml:space="preserve">System Emergency. </w:t>
      </w:r>
    </w:p>
    <w:p w:rsidRPr="00F40F9C" w:rsidR="002D54C4" w:rsidP="00236AED" w:rsidRDefault="008B55A2" w14:paraId="2B7F3FB7" w14:textId="77777777">
      <w:pPr>
        <w:pStyle w:val="zGTC04"/>
        <w:numPr>
          <w:ilvl w:val="3"/>
          <w:numId w:val="18"/>
        </w:numPr>
      </w:pPr>
      <w:r>
        <w:rPr>
          <w:b/>
          <w:bCs/>
        </w:rPr>
        <w:t xml:space="preserve">General System Emergency Procedure. </w:t>
      </w:r>
      <w:r>
        <w:t>The Parties recognize that GPC is a FERC jurisdictional entity subject to the reliability authority of NERC and that, to ensure continuous and reliable electric service, GPC operates its system in accordance with the operating criteria and guidelines of NERC. If a System Emergency is declared and AGC dispatch is not available, GPC may require Seller’s personnel to operate the Facility manually, including potential start-up or shutdown situations, to maintain safe and reliable load levels and voltages on the Electric System. To the extent Seller is required, under this Section 12.2.3 (</w:t>
      </w:r>
      <w:r>
        <w:rPr>
          <w:i/>
          <w:iCs/>
        </w:rPr>
        <w:t>System Emergency</w:t>
      </w:r>
      <w:r>
        <w:t>), to take any action, or GPC takes any action, which will adversely affect Seller’s ability to meet the Performance Metrics, including dispatch modified in accordance with Section 12.2.3(ii) (</w:t>
      </w:r>
      <w:r>
        <w:rPr>
          <w:i/>
          <w:iCs/>
        </w:rPr>
        <w:t>Cooperation During System Emergency</w:t>
      </w:r>
      <w:r>
        <w:t>), Seller may be excused from meeting GPC’s AGC Setpoint signals for purposes of the Performance Metrics calculations.</w:t>
      </w:r>
    </w:p>
    <w:p w:rsidRPr="00F40F9C" w:rsidR="002D54C4" w:rsidP="000907B6" w:rsidRDefault="008B55A2" w14:paraId="4BBC0DE5" w14:textId="77777777">
      <w:pPr>
        <w:pStyle w:val="zGTC04"/>
        <w:numPr>
          <w:ilvl w:val="3"/>
          <w:numId w:val="39"/>
        </w:numPr>
      </w:pPr>
      <w:r>
        <w:rPr>
          <w:b/>
          <w:bCs/>
        </w:rPr>
        <w:t xml:space="preserve">Cooperation During System Emergency. </w:t>
      </w:r>
      <w:r>
        <w:t>Seller must cooperate with GPC in establishing System Emergency plans, including recovery from a local or widespread electrical blackout, voltage reduction to effect load curtailment, or other plans that may be necessary or appropriate under the circumstances.</w:t>
      </w:r>
    </w:p>
    <w:p w:rsidRPr="00F40F9C" w:rsidR="002D54C4" w:rsidRDefault="008B55A2" w14:paraId="086DEFCC" w14:textId="77777777">
      <w:pPr>
        <w:pStyle w:val="zGTC02"/>
        <w:rPr>
          <w:vanish/>
          <w:specVanish/>
        </w:rPr>
      </w:pPr>
      <w:bookmarkStart w:name="_Toc160749149" w:id="680"/>
      <w:bookmarkStart w:name="_Toc194937515" w:id="681"/>
      <w:bookmarkStart w:name="_Toc174624902" w:id="682"/>
      <w:bookmarkStart w:name="_Toc227451564" w:id="683"/>
      <w:r>
        <w:t>Effect of Grid Emergencies.</w:t>
      </w:r>
      <w:bookmarkStart w:name="_Toc158593239" w:id="684"/>
      <w:bookmarkStart w:name="_Toc158597518" w:id="685"/>
      <w:bookmarkStart w:name="_Toc158720142" w:id="686"/>
      <w:bookmarkStart w:name="_Toc158722896" w:id="687"/>
      <w:bookmarkStart w:name="_Toc158929426" w:id="688"/>
      <w:bookmarkEnd w:id="680"/>
      <w:bookmarkEnd w:id="681"/>
      <w:bookmarkEnd w:id="682"/>
      <w:bookmarkEnd w:id="683"/>
      <w:bookmarkEnd w:id="684"/>
      <w:bookmarkEnd w:id="685"/>
      <w:bookmarkEnd w:id="686"/>
      <w:bookmarkEnd w:id="687"/>
      <w:bookmarkEnd w:id="688"/>
    </w:p>
    <w:p w:rsidRPr="00F40F9C" w:rsidR="002D54C4" w:rsidRDefault="008B55A2" w14:paraId="7C952445" w14:textId="07DED726">
      <w:pPr>
        <w:pStyle w:val="zGNormal"/>
      </w:pPr>
      <w:r>
        <w:t xml:space="preserve"> The Parties recognize that, </w:t>
      </w:r>
      <w:r>
        <w:rPr>
          <w:rFonts w:eastAsia="Times New Roman"/>
        </w:rPr>
        <w:t>in accordance with</w:t>
      </w:r>
      <w:r>
        <w:t xml:space="preserve"> the IA, Seller may be required to reduce the Facility’s operational capability or take other actions during a </w:t>
      </w:r>
      <w:r w:rsidR="00945152">
        <w:t>g</w:t>
      </w:r>
      <w:r>
        <w:t xml:space="preserve">rid </w:t>
      </w:r>
      <w:r w:rsidR="00945152">
        <w:t>e</w:t>
      </w:r>
      <w:r>
        <w:t>mergency, including disconnection of the Facility from the Southern Company Transmission System, to allow mitigation of system problems and repair or maintenance of the Interconnection Facilities or the Southern Company Transmission System.</w:t>
      </w:r>
      <w:r>
        <w:rPr>
          <w:bCs/>
        </w:rPr>
        <w:t xml:space="preserve"> To the extent Seller is required under the IA to take any action, other than instances where Seller’s acts or omissions are the cause for the required actions, which will adversely affect Seller’s ability to meet GPC’s </w:t>
      </w:r>
      <w:r>
        <w:t>AGC Setpoint signals</w:t>
      </w:r>
      <w:r>
        <w:rPr>
          <w:bCs/>
        </w:rPr>
        <w:t xml:space="preserve">, Seller </w:t>
      </w:r>
      <w:r>
        <w:t>will</w:t>
      </w:r>
      <w:r>
        <w:rPr>
          <w:bCs/>
        </w:rPr>
        <w:t xml:space="preserve"> be excused from meeting GPC’s </w:t>
      </w:r>
      <w:r>
        <w:t>AGC Setpoint signals</w:t>
      </w:r>
      <w:r>
        <w:rPr>
          <w:bCs/>
        </w:rPr>
        <w:t xml:space="preserve"> and, for </w:t>
      </w:r>
      <w:r>
        <w:t>the purposes of Performance Metrics calculations, such AGC intervals will be removed as appropriate.</w:t>
      </w:r>
    </w:p>
    <w:p w:rsidRPr="00F40F9C" w:rsidR="002D54C4" w:rsidRDefault="008B55A2" w14:paraId="009D6FFE" w14:textId="77777777">
      <w:pPr>
        <w:pStyle w:val="zGTC02"/>
        <w:rPr>
          <w:vanish/>
          <w:specVanish/>
        </w:rPr>
      </w:pPr>
      <w:bookmarkStart w:name="_Toc156309803" w:id="689"/>
      <w:bookmarkStart w:name="_Toc160749150" w:id="690"/>
      <w:bookmarkStart w:name="_Toc194937516" w:id="691"/>
      <w:bookmarkStart w:name="_Toc174624903" w:id="692"/>
      <w:bookmarkStart w:name="_Toc227451565" w:id="693"/>
      <w:r>
        <w:t>Effect of Insufficient Capability in the Transmission System.</w:t>
      </w:r>
      <w:bookmarkStart w:name="_Toc158593240" w:id="694"/>
      <w:bookmarkStart w:name="_Toc158597519" w:id="695"/>
      <w:bookmarkStart w:name="_Toc158720143" w:id="696"/>
      <w:bookmarkStart w:name="_Toc158722897" w:id="697"/>
      <w:bookmarkStart w:name="_Toc158929427" w:id="698"/>
      <w:bookmarkEnd w:id="689"/>
      <w:bookmarkEnd w:id="690"/>
      <w:bookmarkEnd w:id="691"/>
      <w:bookmarkEnd w:id="692"/>
      <w:bookmarkEnd w:id="693"/>
      <w:bookmarkEnd w:id="694"/>
      <w:bookmarkEnd w:id="695"/>
      <w:bookmarkEnd w:id="696"/>
      <w:bookmarkEnd w:id="697"/>
      <w:bookmarkEnd w:id="698"/>
    </w:p>
    <w:p w:rsidRPr="00F40F9C" w:rsidR="002D54C4" w:rsidRDefault="008B55A2" w14:paraId="32DE1FBE" w14:textId="77777777">
      <w:pPr>
        <w:pStyle w:val="zGNormal"/>
      </w:pPr>
      <w:r>
        <w:t xml:space="preserve"> If the Southern Company Transmission System is unable to receive Discharging Energy from the Facility, Seller will be excused from meeting GPC’s AGC Setpoint signals. For purposes of Performance Metrics calculations, the AGC intervals during which the Southern Company Transmission System was unable to receive Discharging Energy will be removed. </w:t>
      </w:r>
    </w:p>
    <w:p w:rsidRPr="00F40F9C" w:rsidR="002D54C4" w:rsidP="004B0BBF" w:rsidRDefault="008B55A2" w14:paraId="0E7485E8" w14:textId="77777777">
      <w:pPr>
        <w:pStyle w:val="zGTC01"/>
        <w:tabs>
          <w:tab w:val="clear" w:pos="3762"/>
        </w:tabs>
        <w:ind w:left="1080"/>
      </w:pPr>
      <w:bookmarkStart w:name="_Toc160749151" w:id="699"/>
      <w:bookmarkStart w:name="_Toc194937517" w:id="700"/>
      <w:bookmarkStart w:name="_Toc174624904" w:id="701"/>
      <w:bookmarkStart w:name="_Toc227451566" w:id="702"/>
      <w:r>
        <w:t>Insurance</w:t>
      </w:r>
      <w:bookmarkEnd w:id="699"/>
      <w:bookmarkEnd w:id="700"/>
      <w:bookmarkEnd w:id="701"/>
      <w:bookmarkEnd w:id="702"/>
    </w:p>
    <w:p w:rsidRPr="00F40F9C" w:rsidR="002D54C4" w:rsidRDefault="008B55A2" w14:paraId="2741D802" w14:textId="77777777">
      <w:pPr>
        <w:pStyle w:val="zGTC02"/>
        <w:rPr>
          <w:vanish/>
          <w:specVanish/>
        </w:rPr>
      </w:pPr>
      <w:bookmarkStart w:name="_Toc160749152" w:id="703"/>
      <w:bookmarkStart w:name="_Toc194937518" w:id="704"/>
      <w:bookmarkStart w:name="_Toc174624905" w:id="705"/>
      <w:bookmarkStart w:name="_Toc227451567" w:id="706"/>
      <w:r>
        <w:t>Insurance Required of Seller.</w:t>
      </w:r>
      <w:bookmarkStart w:name="_Toc158593242" w:id="707"/>
      <w:bookmarkStart w:name="_Toc158597521" w:id="708"/>
      <w:bookmarkStart w:name="_Toc158720145" w:id="709"/>
      <w:bookmarkStart w:name="_Toc158722899" w:id="710"/>
      <w:bookmarkStart w:name="_Toc158929429" w:id="711"/>
      <w:bookmarkEnd w:id="703"/>
      <w:bookmarkEnd w:id="704"/>
      <w:bookmarkEnd w:id="705"/>
      <w:bookmarkEnd w:id="706"/>
      <w:bookmarkEnd w:id="707"/>
      <w:bookmarkEnd w:id="708"/>
      <w:bookmarkEnd w:id="709"/>
      <w:bookmarkEnd w:id="710"/>
      <w:bookmarkEnd w:id="711"/>
    </w:p>
    <w:p w:rsidRPr="00F40F9C" w:rsidR="002D54C4" w:rsidRDefault="008B55A2" w14:paraId="240881D5" w14:textId="77777777">
      <w:pPr>
        <w:pStyle w:val="zGNormal"/>
      </w:pPr>
      <w:r>
        <w:t xml:space="preserve"> Throughout the Term, Seller must acquire and maintain in effect without interruption, at its sole cost and expense, the types and amounts of insurance coverage as are consistent with Prudent Industry Practices, but in no event less than the types and amounts described in this Part 13 (</w:t>
      </w:r>
      <w:r>
        <w:rPr>
          <w:i/>
        </w:rPr>
        <w:t>Insurance</w:t>
      </w:r>
      <w:r>
        <w:t>). All insurance must be with insurers: (i) holding an AM Best rating of at least A- VII or equivalent; (ii) whose financial condition and policy forms are acceptable to GPC (Seller must not unreasonably withhold requested documents); and (iii) authorized to transact insurance in the state where the Facility is located.</w:t>
      </w:r>
    </w:p>
    <w:p w:rsidRPr="00F40F9C" w:rsidR="002D54C4" w:rsidRDefault="008B55A2" w14:paraId="756993F1" w14:textId="77777777">
      <w:pPr>
        <w:pStyle w:val="zGTC02"/>
        <w:rPr>
          <w:vanish/>
          <w:specVanish/>
        </w:rPr>
      </w:pPr>
      <w:bookmarkStart w:name="_Toc160749153" w:id="712"/>
      <w:bookmarkStart w:name="_Toc194937519" w:id="713"/>
      <w:bookmarkStart w:name="_Toc174624906" w:id="714"/>
      <w:bookmarkStart w:name="_Toc227451568" w:id="715"/>
      <w:r>
        <w:t>Proof of Insurance.</w:t>
      </w:r>
      <w:bookmarkStart w:name="_Toc158593243" w:id="716"/>
      <w:bookmarkStart w:name="_Toc158597522" w:id="717"/>
      <w:bookmarkStart w:name="_Toc158720146" w:id="718"/>
      <w:bookmarkStart w:name="_Toc158722900" w:id="719"/>
      <w:bookmarkStart w:name="_Toc158929430" w:id="720"/>
      <w:bookmarkEnd w:id="712"/>
      <w:bookmarkEnd w:id="713"/>
      <w:bookmarkEnd w:id="714"/>
      <w:bookmarkEnd w:id="715"/>
      <w:bookmarkEnd w:id="716"/>
      <w:bookmarkEnd w:id="717"/>
      <w:bookmarkEnd w:id="718"/>
      <w:bookmarkEnd w:id="719"/>
      <w:bookmarkEnd w:id="720"/>
    </w:p>
    <w:p w:rsidRPr="00F40F9C" w:rsidR="002D54C4" w:rsidRDefault="008B55A2" w14:paraId="6E5D78A6" w14:textId="77777777">
      <w:pPr>
        <w:pStyle w:val="zGNormal"/>
      </w:pPr>
      <w:r>
        <w:t xml:space="preserve"> Before the Effective Date and annually after the Effective Date on the COD anniversary, Seller must provide to GPC a certificate of insurance certifying Seller’s coverage under insurance policy(ies) issued by an insurance company or insurance companies meeting the requirements of Section 13.1 (</w:t>
      </w:r>
      <w:r>
        <w:rPr>
          <w:i/>
        </w:rPr>
        <w:t>Insurance Required of Seller</w:t>
      </w:r>
      <w:r>
        <w:t xml:space="preserve">). GPC’s receipt or acceptance, without objection, of a </w:t>
      </w:r>
      <w:r>
        <w:lastRenderedPageBreak/>
        <w:t>certificate of insurance that does not comply with this Part 13 (</w:t>
      </w:r>
      <w:r>
        <w:rPr>
          <w:i/>
        </w:rPr>
        <w:t>Insurance</w:t>
      </w:r>
      <w:r>
        <w:t xml:space="preserve">) does not operate as GPC’s waiver of Seller’s obligations under the requirements of this Part 13. </w:t>
      </w:r>
    </w:p>
    <w:p w:rsidRPr="00F40F9C" w:rsidR="002D54C4" w:rsidRDefault="008B55A2" w14:paraId="12EA76B6" w14:textId="77777777">
      <w:pPr>
        <w:pStyle w:val="zGTC02"/>
        <w:rPr>
          <w:vanish/>
          <w:specVanish/>
        </w:rPr>
      </w:pPr>
      <w:bookmarkStart w:name="_Toc160749154" w:id="721"/>
      <w:bookmarkStart w:name="_Toc194937520" w:id="722"/>
      <w:bookmarkStart w:name="_Toc174624907" w:id="723"/>
      <w:bookmarkStart w:name="_Toc227451569" w:id="724"/>
      <w:r>
        <w:t>General Terms.</w:t>
      </w:r>
      <w:bookmarkStart w:name="_Toc158593244" w:id="725"/>
      <w:bookmarkStart w:name="_Toc158597523" w:id="726"/>
      <w:bookmarkStart w:name="_Toc158720147" w:id="727"/>
      <w:bookmarkStart w:name="_Toc158722901" w:id="728"/>
      <w:bookmarkStart w:name="_Toc158929431" w:id="729"/>
      <w:bookmarkEnd w:id="721"/>
      <w:bookmarkEnd w:id="722"/>
      <w:bookmarkEnd w:id="723"/>
      <w:bookmarkEnd w:id="724"/>
      <w:bookmarkEnd w:id="725"/>
      <w:bookmarkEnd w:id="726"/>
      <w:bookmarkEnd w:id="727"/>
      <w:bookmarkEnd w:id="728"/>
      <w:bookmarkEnd w:id="729"/>
    </w:p>
    <w:p w:rsidRPr="00F40F9C" w:rsidR="002D54C4" w:rsidRDefault="008B55A2" w14:paraId="47D8E814" w14:textId="59FAD914">
      <w:pPr>
        <w:pStyle w:val="zGNormal"/>
        <w:rPr>
          <w:b/>
          <w:bCs/>
          <w:u w:val="single"/>
        </w:rPr>
      </w:pPr>
      <w:r>
        <w:t xml:space="preserve"> Upon commencement of operation of the Facility, the required insurance coverage must contain a broad form contractual endorsement specifically covering liabilities arising out of or caused by the operation of the Facility or by Seller’s failure to maintain the Facility in satisfactory and safe operating condition. Seller’s insurance must be primary for any activity arising out of this PPA. Insurance or self-insurance maintained by GPC or other additional insureds is in excess of Seller’s insurance, contingent and non-contributory. To the extent allowed by applicable law, </w:t>
      </w:r>
      <w:r w:rsidR="007C1F7B">
        <w:t>the GPC-Related Parties</w:t>
      </w:r>
      <w:r>
        <w:t xml:space="preserve"> must be additional insureds under the commercial general liability policy, auto liability policy and, if applicable, excess/umbrella policy. </w:t>
      </w:r>
      <w:r>
        <w:rPr>
          <w:b/>
          <w:u w:val="single"/>
        </w:rPr>
        <w:t>T</w:t>
      </w:r>
      <w:r>
        <w:rPr>
          <w:b/>
          <w:bCs/>
          <w:u w:val="single"/>
        </w:rPr>
        <w:t xml:space="preserve">o the extent allowed by applicable law, Seller waives, and must require its insurers to waive, a right of subrogation against </w:t>
      </w:r>
      <w:r w:rsidR="007C1F7B">
        <w:rPr>
          <w:b/>
          <w:bCs/>
          <w:u w:val="single"/>
        </w:rPr>
        <w:t>the GPC-Related Parties</w:t>
      </w:r>
      <w:r>
        <w:rPr>
          <w:b/>
          <w:bCs/>
          <w:u w:val="single"/>
        </w:rPr>
        <w:t xml:space="preserve"> for the commercial general liability policy, auto liability policy, umbrella policy, </w:t>
      </w:r>
      <w:r w:rsidR="00ED2904">
        <w:rPr>
          <w:b/>
          <w:bCs/>
          <w:u w:val="single"/>
        </w:rPr>
        <w:t xml:space="preserve">if applicable, </w:t>
      </w:r>
      <w:r>
        <w:rPr>
          <w:b/>
          <w:bCs/>
          <w:u w:val="single"/>
        </w:rPr>
        <w:t>and the workers’ compensation policy.</w:t>
      </w:r>
    </w:p>
    <w:p w:rsidRPr="00F40F9C" w:rsidR="002D54C4" w:rsidRDefault="008B55A2" w14:paraId="674C1770" w14:textId="77777777">
      <w:pPr>
        <w:pStyle w:val="zGTC02"/>
        <w:rPr>
          <w:rFonts w:ascii="Arial" w:hAnsi="Arial" w:cs="Arial"/>
          <w:vanish/>
          <w:szCs w:val="20"/>
          <w:specVanish/>
        </w:rPr>
      </w:pPr>
      <w:bookmarkStart w:name="_Toc160749155" w:id="730"/>
      <w:bookmarkStart w:name="_Toc194937521" w:id="731"/>
      <w:bookmarkStart w:name="_Toc174624908" w:id="732"/>
      <w:bookmarkStart w:name="_Toc227451570" w:id="733"/>
      <w:r>
        <w:t>Required Insurance.</w:t>
      </w:r>
      <w:bookmarkStart w:name="_Toc158593245" w:id="734"/>
      <w:bookmarkStart w:name="_Toc158597524" w:id="735"/>
      <w:bookmarkStart w:name="_Toc158720148" w:id="736"/>
      <w:bookmarkStart w:name="_Toc158722902" w:id="737"/>
      <w:bookmarkStart w:name="_Toc158929432" w:id="738"/>
      <w:bookmarkEnd w:id="730"/>
      <w:bookmarkEnd w:id="731"/>
      <w:bookmarkEnd w:id="732"/>
      <w:bookmarkEnd w:id="733"/>
      <w:bookmarkEnd w:id="734"/>
      <w:bookmarkEnd w:id="735"/>
      <w:bookmarkEnd w:id="736"/>
      <w:bookmarkEnd w:id="737"/>
      <w:bookmarkEnd w:id="738"/>
    </w:p>
    <w:p w:rsidRPr="00F40F9C" w:rsidR="008A6F86" w:rsidRDefault="008B55A2" w14:paraId="6D2C0B29" w14:textId="51EE2101">
      <w:pPr>
        <w:pStyle w:val="zGNormal6"/>
      </w:pPr>
      <w:r>
        <w:rPr>
          <w:rFonts w:eastAsia="PMingLiU"/>
        </w:rPr>
        <w:t xml:space="preserve"> </w:t>
      </w:r>
      <w:r>
        <w:t>Seller must acquire and maintain throughout the Term, the following types of insurance:</w:t>
      </w:r>
    </w:p>
    <w:p w:rsidRPr="00F40F9C" w:rsidR="002D54C4" w:rsidP="00C22140" w:rsidRDefault="008B55A2" w14:paraId="4DB51E2D" w14:textId="77777777">
      <w:pPr>
        <w:pStyle w:val="zGTC03"/>
        <w:rPr>
          <w:rFonts w:eastAsia="PMingLiU"/>
          <w:vanish/>
          <w:specVanish/>
        </w:rPr>
      </w:pPr>
      <w:r>
        <w:t>Commercial General Liability Insurance.</w:t>
      </w:r>
      <w:bookmarkStart w:name="_Hlk34375558" w:id="739"/>
    </w:p>
    <w:p w:rsidRPr="00F40F9C" w:rsidR="002D54C4" w:rsidP="000907B6" w:rsidRDefault="008B55A2" w14:paraId="46F8B812" w14:textId="2ED52E57">
      <w:pPr>
        <w:pStyle w:val="zGTC04"/>
        <w:numPr>
          <w:ilvl w:val="3"/>
          <w:numId w:val="43"/>
        </w:numPr>
      </w:pPr>
      <w:r>
        <w:t xml:space="preserve"> </w:t>
      </w:r>
      <w:r w:rsidRPr="004B0BBF">
        <w:t>Commercial General Liability insurance providing the following coverage, which can be exceeded by Seller and may be met through a combination of primary insurance and following form excess or umbrella insurance, so long as the combined limits meet requirements of this PPA:</w:t>
      </w:r>
      <w:bookmarkStart w:name="_Hlk34375577" w:id="740"/>
      <w:bookmarkEnd w:id="739"/>
      <w:r>
        <w:rPr>
          <w:b/>
          <w:bCs/>
        </w:rPr>
        <w:t xml:space="preserve">General Requirements. </w:t>
      </w:r>
      <w:r>
        <w:t>Commercial general liability insurance in an “occurrence” form with bodily injury and property damage combined liability limits of not less than twenty million dollars ($20,000,000.00) per occurrence</w:t>
      </w:r>
      <w:r w:rsidR="00EC30E8">
        <w:t xml:space="preserve"> and in the aggregate</w:t>
      </w:r>
      <w:r>
        <w:t>, except that: (i) Seller may use any combination of primary or excess policies to satisfy the overall limit requirements; and (ii) if Seller uses a “claims-made” policy, it must maintain continuous coverage in effect for at least five years beyond termination of this PPA, through continuous renewal of the original policy or by purchasing extended discovery period or retroactive insurance dated back to the Effective Date of this PPA.</w:t>
      </w:r>
      <w:bookmarkEnd w:id="740"/>
    </w:p>
    <w:p w:rsidRPr="00F40F9C" w:rsidR="002D54C4" w:rsidP="00236AED" w:rsidRDefault="008B55A2" w14:paraId="4EBA6008" w14:textId="77777777">
      <w:pPr>
        <w:pStyle w:val="zGTC04"/>
        <w:numPr>
          <w:ilvl w:val="3"/>
          <w:numId w:val="20"/>
        </w:numPr>
      </w:pPr>
      <w:r>
        <w:rPr>
          <w:b/>
          <w:bCs/>
        </w:rPr>
        <w:t xml:space="preserve">Additional Requirements. </w:t>
      </w:r>
      <w:r>
        <w:t>Specific coverage for broad form contractual liability and a separation of insureds provision.</w:t>
      </w:r>
    </w:p>
    <w:p w:rsidRPr="007F5D78" w:rsidR="00E11EDA" w:rsidP="007E745C" w:rsidRDefault="008B55A2" w14:paraId="5F02F669" w14:textId="77777777">
      <w:pPr>
        <w:pStyle w:val="zGTC03"/>
        <w:numPr>
          <w:ilvl w:val="2"/>
          <w:numId w:val="58"/>
        </w:numPr>
        <w:rPr>
          <w:rFonts w:cs="Arial"/>
          <w:vanish/>
          <w:szCs w:val="20"/>
          <w:specVanish/>
        </w:rPr>
      </w:pPr>
      <w:bookmarkStart w:name="_Toc160749156" w:id="741"/>
      <w:bookmarkStart w:name="_Toc194937522" w:id="742"/>
      <w:bookmarkStart w:name="_Toc174624909" w:id="743"/>
      <w:r w:rsidRPr="007F5D78">
        <w:rPr>
          <w:rFonts w:cs="Arial"/>
          <w:szCs w:val="20"/>
        </w:rPr>
        <w:t>Additional Insurance.</w:t>
      </w:r>
      <w:bookmarkEnd w:id="741"/>
      <w:bookmarkEnd w:id="742"/>
      <w:bookmarkEnd w:id="743"/>
      <w:r w:rsidRPr="007F5D78">
        <w:rPr>
          <w:rFonts w:cs="Arial"/>
          <w:szCs w:val="20"/>
        </w:rPr>
        <w:t xml:space="preserve"> </w:t>
      </w:r>
    </w:p>
    <w:p w:rsidRPr="00F40F9C" w:rsidR="002D54C4" w:rsidP="00E11EDA" w:rsidRDefault="008B55A2" w14:paraId="0FB3FC61" w14:textId="6787AD4C">
      <w:pPr>
        <w:pStyle w:val="zGNormal"/>
      </w:pPr>
      <w:r>
        <w:t xml:space="preserve"> In addition to the </w:t>
      </w:r>
      <w:r w:rsidR="00147C94">
        <w:t xml:space="preserve">other </w:t>
      </w:r>
      <w:r>
        <w:t>requirements in Sections 13.1 (</w:t>
      </w:r>
      <w:r>
        <w:rPr>
          <w:i/>
          <w:iCs/>
        </w:rPr>
        <w:t>Insurance Required of Seller</w:t>
      </w:r>
      <w:r>
        <w:t xml:space="preserve">) through 13.4 </w:t>
      </w:r>
      <w:r w:rsidR="0032691F">
        <w:t>(</w:t>
      </w:r>
      <w:r w:rsidDel="00FB3B24" w:rsidR="00C12398">
        <w:rPr>
          <w:i/>
          <w:iCs/>
        </w:rPr>
        <w:t>Required</w:t>
      </w:r>
      <w:r w:rsidR="00C12398">
        <w:rPr>
          <w:i/>
          <w:iCs/>
        </w:rPr>
        <w:t xml:space="preserve"> Insurance</w:t>
      </w:r>
      <w:r w:rsidR="0032691F">
        <w:t>)</w:t>
      </w:r>
      <w:r w:rsidDel="0032691F">
        <w:t xml:space="preserve">, </w:t>
      </w:r>
      <w:r>
        <w:t>Seller must acquire and maintain throughout the Term, the following additional types of insurance:</w:t>
      </w:r>
      <w:bookmarkStart w:name="_Toc158593246" w:id="744"/>
      <w:bookmarkStart w:name="_Toc158597525" w:id="745"/>
      <w:bookmarkStart w:name="_Toc158720149" w:id="746"/>
      <w:bookmarkStart w:name="_Toc158722903" w:id="747"/>
      <w:bookmarkStart w:name="_Toc158929433" w:id="748"/>
      <w:bookmarkEnd w:id="744"/>
      <w:bookmarkEnd w:id="745"/>
      <w:bookmarkEnd w:id="746"/>
      <w:bookmarkEnd w:id="747"/>
      <w:bookmarkEnd w:id="748"/>
    </w:p>
    <w:p w:rsidRPr="007F5D78" w:rsidR="002D54C4" w:rsidP="007E745C" w:rsidRDefault="008B55A2" w14:paraId="06E5CDBD" w14:textId="77777777">
      <w:pPr>
        <w:pStyle w:val="zGTC04"/>
        <w:numPr>
          <w:ilvl w:val="3"/>
          <w:numId w:val="59"/>
        </w:numPr>
        <w:rPr>
          <w:b/>
          <w:bCs/>
          <w:vanish/>
          <w:specVanish/>
        </w:rPr>
      </w:pPr>
      <w:r w:rsidRPr="007F5D78">
        <w:rPr>
          <w:b/>
          <w:bCs/>
        </w:rPr>
        <w:t>Workers’ Compensation.</w:t>
      </w:r>
      <w:bookmarkStart w:name="_Hlk34375646" w:id="749"/>
    </w:p>
    <w:p w:rsidRPr="00F40F9C" w:rsidR="002D54C4" w:rsidRDefault="008B55A2" w14:paraId="39127D7D" w14:textId="77777777">
      <w:pPr>
        <w:pStyle w:val="zGNormal"/>
      </w:pPr>
      <w:r>
        <w:rPr>
          <w:b/>
          <w:bCs/>
        </w:rPr>
        <w:t xml:space="preserve"> </w:t>
      </w:r>
      <w:r>
        <w:t>Workers’ compensation insurance in accordance with statutory requirements, including employer’s liability insurance, with limits not less than one million dollars ($1,000,000.00) per occurrence and in the aggregate, and endorsement providing insurance for obligations under the U.S. Longshoremen’s and Harbor Worker’s Compensation Act and the Jones Act, where applicable.</w:t>
      </w:r>
      <w:bookmarkEnd w:id="749"/>
    </w:p>
    <w:p w:rsidRPr="007F5D78" w:rsidR="002D54C4" w:rsidP="007E745C" w:rsidRDefault="008B55A2" w14:paraId="1564F63C" w14:textId="77777777">
      <w:pPr>
        <w:pStyle w:val="zGTC04"/>
        <w:numPr>
          <w:ilvl w:val="3"/>
          <w:numId w:val="59"/>
        </w:numPr>
        <w:rPr>
          <w:b/>
          <w:bCs/>
          <w:vanish/>
          <w:specVanish/>
        </w:rPr>
      </w:pPr>
      <w:r w:rsidRPr="007F5D78">
        <w:rPr>
          <w:b/>
          <w:bCs/>
        </w:rPr>
        <w:t>Auto Liability.</w:t>
      </w:r>
      <w:bookmarkStart w:name="_Hlk34375667" w:id="750"/>
    </w:p>
    <w:p w:rsidRPr="00F40F9C" w:rsidR="002D54C4" w:rsidRDefault="008B55A2" w14:paraId="5D471CC2" w14:textId="77777777">
      <w:pPr>
        <w:pStyle w:val="zGNormal"/>
      </w:pPr>
      <w:r>
        <w:rPr>
          <w:b/>
          <w:bCs/>
        </w:rPr>
        <w:t xml:space="preserve"> </w:t>
      </w:r>
      <w:r>
        <w:t>Automobile liability insurance including owned, non-owned, and hired automobiles with combined bodily injury and property damage limits of at least two million dollars ($2,000,000.00).</w:t>
      </w:r>
      <w:bookmarkEnd w:id="750"/>
    </w:p>
    <w:p w:rsidRPr="007F5D78" w:rsidR="002D54C4" w:rsidP="007E745C" w:rsidRDefault="008B55A2" w14:paraId="0C272AD4" w14:textId="77777777">
      <w:pPr>
        <w:pStyle w:val="zGTC04"/>
        <w:numPr>
          <w:ilvl w:val="3"/>
          <w:numId w:val="59"/>
        </w:numPr>
        <w:rPr>
          <w:b/>
          <w:bCs/>
          <w:vanish/>
          <w:specVanish/>
        </w:rPr>
      </w:pPr>
      <w:r w:rsidRPr="007F5D78">
        <w:rPr>
          <w:b/>
          <w:bCs/>
        </w:rPr>
        <w:t>Pollution Liability.</w:t>
      </w:r>
      <w:bookmarkStart w:name="_Hlk34375730" w:id="751"/>
    </w:p>
    <w:p w:rsidRPr="00F40F9C" w:rsidR="002D54C4" w:rsidRDefault="008B55A2" w14:paraId="55A2AD27" w14:textId="0DE39D6D">
      <w:pPr>
        <w:pStyle w:val="zGNormal"/>
      </w:pPr>
      <w:r>
        <w:rPr>
          <w:b/>
          <w:bCs/>
        </w:rPr>
        <w:t xml:space="preserve"> </w:t>
      </w:r>
      <w:r>
        <w:t>Coverage for bodily injury, property damage, including clean-up costs and defense costs resulting from sudden, accidental, or gradual pollution conditions, including the discharge, dispersal, release or escape of smoke, vapors, soot, fumes, acids, alkalis, toxic chemicals, hydrocarbons, liquids or gases, waste materials or other irritants, contaminants or pollutants into or upon land, the atmosphere or any water course or body of water will be maintained, with limits not less than five million dollars ($5,000,000.00) per occurrence or claim, except that, if Seller uses a “claims-made” policy, the policy must maintain continuous coverage in effect for at least five years beyond termination of this PPA through continuous renewal of the original policy or by purchasing extended discovery period retroactive insurance dated back to the Effective Date of this PPA.</w:t>
      </w:r>
      <w:bookmarkEnd w:id="751"/>
      <w:r>
        <w:t xml:space="preserve"> Seller may meet the requirements under this Section 13.</w:t>
      </w:r>
      <w:r w:rsidR="00CF3FB8">
        <w:t>4</w:t>
      </w:r>
      <w:r>
        <w:t>.</w:t>
      </w:r>
      <w:r w:rsidR="00CF3FB8">
        <w:t>2</w:t>
      </w:r>
      <w:r w:rsidR="00355F24">
        <w:t>(iii)</w:t>
      </w:r>
      <w:r>
        <w:t xml:space="preserve"> (</w:t>
      </w:r>
      <w:r>
        <w:rPr>
          <w:i/>
          <w:iCs/>
        </w:rPr>
        <w:t>Pollution Liability</w:t>
      </w:r>
      <w:r>
        <w:t>) through sudden or accidental pollution coverage as part of the insurance required under Section 13.4.1 (</w:t>
      </w:r>
      <w:r>
        <w:rPr>
          <w:i/>
          <w:iCs/>
        </w:rPr>
        <w:t>Commercial General Liability Insurance</w:t>
      </w:r>
      <w:r>
        <w:t>).</w:t>
      </w:r>
    </w:p>
    <w:p w:rsidRPr="007F5D78" w:rsidR="002D54C4" w:rsidP="007E745C" w:rsidRDefault="008B55A2" w14:paraId="5CD99C77" w14:textId="77777777">
      <w:pPr>
        <w:pStyle w:val="zGTC04"/>
        <w:numPr>
          <w:ilvl w:val="3"/>
          <w:numId w:val="59"/>
        </w:numPr>
        <w:rPr>
          <w:b/>
          <w:bCs/>
          <w:vanish/>
          <w:specVanish/>
        </w:rPr>
      </w:pPr>
      <w:r w:rsidRPr="007F5D78">
        <w:rPr>
          <w:b/>
          <w:bCs/>
        </w:rPr>
        <w:lastRenderedPageBreak/>
        <w:t>All Risk Property.</w:t>
      </w:r>
    </w:p>
    <w:p w:rsidRPr="00F40F9C" w:rsidR="002D54C4" w:rsidRDefault="008B55A2" w14:paraId="23545F44" w14:textId="77777777">
      <w:pPr>
        <w:pStyle w:val="zGNormal"/>
      </w:pPr>
      <w:r>
        <w:rPr>
          <w:b/>
          <w:bCs/>
        </w:rPr>
        <w:t xml:space="preserve"> </w:t>
      </w:r>
      <w:r>
        <w:t>Replacement cost of the Facility. A deductible may be carried, which will be the absolute responsibility of Seller.</w:t>
      </w:r>
    </w:p>
    <w:p w:rsidRPr="00810DDB" w:rsidR="002D54C4" w:rsidP="007E745C" w:rsidRDefault="008B55A2" w14:paraId="76D78BF7" w14:textId="77777777">
      <w:pPr>
        <w:pStyle w:val="zGTC04"/>
        <w:numPr>
          <w:ilvl w:val="3"/>
          <w:numId w:val="59"/>
        </w:numPr>
        <w:rPr>
          <w:b/>
          <w:bCs/>
          <w:vanish/>
          <w:specVanish/>
        </w:rPr>
      </w:pPr>
      <w:r w:rsidRPr="00810DDB">
        <w:rPr>
          <w:b/>
          <w:bCs/>
        </w:rPr>
        <w:t xml:space="preserve">Umbrella/Excess. </w:t>
      </w:r>
    </w:p>
    <w:p w:rsidRPr="00F40F9C" w:rsidR="002D54C4" w:rsidRDefault="008B55A2" w14:paraId="462181E2" w14:textId="512DC56D">
      <w:pPr>
        <w:pStyle w:val="zGNormal"/>
      </w:pPr>
      <w:r>
        <w:t xml:space="preserve"> </w:t>
      </w:r>
      <w:r>
        <w:rPr>
          <w:rFonts w:eastAsia="PMingLiU"/>
        </w:rPr>
        <w:t xml:space="preserve">Umbrella/Excess Liability Insurance on an occurrence basis in excess of the underlying insurance identified in </w:t>
      </w:r>
      <w:r w:rsidR="006F6B14">
        <w:rPr>
          <w:rFonts w:eastAsia="PMingLiU"/>
        </w:rPr>
        <w:t xml:space="preserve">this </w:t>
      </w:r>
      <w:r>
        <w:rPr>
          <w:rFonts w:eastAsia="PMingLiU"/>
        </w:rPr>
        <w:t>Section 13.4 (</w:t>
      </w:r>
      <w:r>
        <w:rPr>
          <w:rFonts w:eastAsia="PMingLiU"/>
          <w:i/>
        </w:rPr>
        <w:t>Required Insurance</w:t>
      </w:r>
      <w:r>
        <w:rPr>
          <w:rFonts w:eastAsia="PMingLiU"/>
        </w:rPr>
        <w:t xml:space="preserve">), </w:t>
      </w:r>
      <w:r w:rsidR="006F6B14">
        <w:rPr>
          <w:rFonts w:eastAsia="PMingLiU"/>
        </w:rPr>
        <w:t>except for wo</w:t>
      </w:r>
      <w:r w:rsidR="00CF3FB8">
        <w:rPr>
          <w:rFonts w:eastAsia="PMingLiU"/>
        </w:rPr>
        <w:t xml:space="preserve">rkers’ compensation, </w:t>
      </w:r>
      <w:r>
        <w:rPr>
          <w:rFonts w:eastAsia="PMingLiU"/>
        </w:rPr>
        <w:t>and which is at least as broad as each and every one of the underlying policies. The umbrella/excess liability policy must be written on a “drop-down-following form” basis. The amounts of insurance required may be satisfied by Seller purchasing coverage for the limits specified or by any combination of underlying and umbrella limits, so long as the total amount of insurance is not less than twenty million dollars ($20,000,000) any one occurrence and annually reinstating general aggregate.</w:t>
      </w:r>
    </w:p>
    <w:p w:rsidRPr="00F40F9C" w:rsidR="002D54C4" w:rsidRDefault="008B55A2" w14:paraId="0E809E63" w14:textId="77777777">
      <w:pPr>
        <w:pStyle w:val="zGTC02"/>
        <w:rPr>
          <w:vanish/>
          <w:specVanish/>
        </w:rPr>
      </w:pPr>
      <w:bookmarkStart w:name="_Toc160749157" w:id="752"/>
      <w:bookmarkStart w:name="_Toc194937523" w:id="753"/>
      <w:bookmarkStart w:name="_Toc174624910" w:id="754"/>
      <w:bookmarkStart w:name="_Toc227451571" w:id="755"/>
      <w:r>
        <w:t>Notice of Change or Cancellation.</w:t>
      </w:r>
      <w:bookmarkStart w:name="_Toc158593247" w:id="756"/>
      <w:bookmarkStart w:name="_Toc158597526" w:id="757"/>
      <w:bookmarkStart w:name="_Toc158720150" w:id="758"/>
      <w:bookmarkStart w:name="_Toc158722904" w:id="759"/>
      <w:bookmarkStart w:name="_Toc158929434" w:id="760"/>
      <w:bookmarkEnd w:id="752"/>
      <w:bookmarkEnd w:id="753"/>
      <w:bookmarkEnd w:id="754"/>
      <w:bookmarkEnd w:id="755"/>
      <w:bookmarkEnd w:id="756"/>
      <w:bookmarkEnd w:id="757"/>
      <w:bookmarkEnd w:id="758"/>
      <w:bookmarkEnd w:id="759"/>
      <w:bookmarkEnd w:id="760"/>
    </w:p>
    <w:p w:rsidRPr="00F40F9C" w:rsidR="002D54C4" w:rsidRDefault="008B55A2" w14:paraId="7748E2ED" w14:textId="77777777">
      <w:pPr>
        <w:pStyle w:val="zGNormal"/>
      </w:pPr>
      <w:r>
        <w:t xml:space="preserve"> </w:t>
      </w:r>
      <w:bookmarkStart w:name="_Hlk34375774" w:id="761"/>
      <w:r>
        <w:t>The required insurance policies will be endorsed with a provision requiring the insurance company to notify GPC at least 30 Days prior to the effective date of any cancellation, except for a 10 Days’ notice for nonpayment of premium. If notice of cancellation is only commercially available to Seller’s attention, then Seller will forward the 30-Day (or, for non-payment of premium, 10 Days’) advance notice to GPC immediately upon receipt. Furthermore, Seller agrees to notify GPC at least 30 Days before the effective date of any known material change in a required policy.</w:t>
      </w:r>
      <w:bookmarkEnd w:id="761"/>
    </w:p>
    <w:p w:rsidRPr="00F40F9C" w:rsidR="002D54C4" w:rsidRDefault="008B55A2" w14:paraId="42368952" w14:textId="77777777">
      <w:pPr>
        <w:pStyle w:val="zGTC02"/>
        <w:rPr>
          <w:vanish/>
          <w:specVanish/>
        </w:rPr>
      </w:pPr>
      <w:bookmarkStart w:name="_Toc160749158" w:id="762"/>
      <w:bookmarkStart w:name="_Toc194937524" w:id="763"/>
      <w:bookmarkStart w:name="_Toc174624911" w:id="764"/>
      <w:bookmarkStart w:name="_Toc227451572" w:id="765"/>
      <w:r>
        <w:t>Payment of Premiums.</w:t>
      </w:r>
      <w:bookmarkStart w:name="_Toc158593248" w:id="766"/>
      <w:bookmarkStart w:name="_Toc158597527" w:id="767"/>
      <w:bookmarkStart w:name="_Toc158720151" w:id="768"/>
      <w:bookmarkStart w:name="_Toc158722905" w:id="769"/>
      <w:bookmarkStart w:name="_Toc158929435" w:id="770"/>
      <w:bookmarkEnd w:id="762"/>
      <w:bookmarkEnd w:id="763"/>
      <w:bookmarkEnd w:id="764"/>
      <w:bookmarkEnd w:id="765"/>
      <w:bookmarkEnd w:id="766"/>
      <w:bookmarkEnd w:id="767"/>
      <w:bookmarkEnd w:id="768"/>
      <w:bookmarkEnd w:id="769"/>
      <w:bookmarkEnd w:id="770"/>
    </w:p>
    <w:p w:rsidRPr="00F40F9C" w:rsidR="002D54C4" w:rsidRDefault="008B55A2" w14:paraId="413EE5EE" w14:textId="25DF9F5A">
      <w:pPr>
        <w:pStyle w:val="zGNormal"/>
      </w:pPr>
      <w:r>
        <w:t xml:space="preserve"> </w:t>
      </w:r>
      <w:bookmarkStart w:name="_Hlk34375808" w:id="771"/>
      <w:r>
        <w:t>Seller must pay all premiums and other charges due on each insurance policy and will keep all coverage in force throughout the Term of this PPA.</w:t>
      </w:r>
      <w:bookmarkEnd w:id="771"/>
      <w:r w:rsidR="005A223B">
        <w:t xml:space="preserve"> </w:t>
      </w:r>
      <w:r w:rsidRPr="00780565" w:rsidR="005A223B">
        <w:t>If Seller fails to pay any premium, GPC may (but will not have any obligation), in GPC’s sole discretion, elect to pay the premiums on Seller’s behalf and withhold any amount paid from any amount due to Seller under this PPA</w:t>
      </w:r>
      <w:r w:rsidRPr="00780565" w:rsidR="006F3FEA">
        <w:t>.</w:t>
      </w:r>
    </w:p>
    <w:p w:rsidRPr="00F40F9C" w:rsidR="002D54C4" w:rsidRDefault="008B55A2" w14:paraId="2507BED1" w14:textId="77777777">
      <w:pPr>
        <w:pStyle w:val="zGTC02"/>
        <w:rPr>
          <w:vanish/>
          <w:specVanish/>
        </w:rPr>
      </w:pPr>
      <w:bookmarkStart w:name="_Toc160749159" w:id="772"/>
      <w:bookmarkStart w:name="_Toc194937525" w:id="773"/>
      <w:bookmarkStart w:name="_Toc174624912" w:id="774"/>
      <w:bookmarkStart w:name="_Toc227451573" w:id="775"/>
      <w:r>
        <w:t>No Waiver of Liability.</w:t>
      </w:r>
      <w:bookmarkStart w:name="_Toc158593249" w:id="776"/>
      <w:bookmarkStart w:name="_Toc158597528" w:id="777"/>
      <w:bookmarkStart w:name="_Toc158720152" w:id="778"/>
      <w:bookmarkStart w:name="_Toc158722906" w:id="779"/>
      <w:bookmarkStart w:name="_Toc158929436" w:id="780"/>
      <w:bookmarkEnd w:id="772"/>
      <w:bookmarkEnd w:id="773"/>
      <w:bookmarkEnd w:id="774"/>
      <w:bookmarkEnd w:id="775"/>
      <w:bookmarkEnd w:id="776"/>
      <w:bookmarkEnd w:id="777"/>
      <w:bookmarkEnd w:id="778"/>
      <w:bookmarkEnd w:id="779"/>
      <w:bookmarkEnd w:id="780"/>
    </w:p>
    <w:p w:rsidRPr="00F40F9C" w:rsidR="002D54C4" w:rsidRDefault="008B55A2" w14:paraId="35302C39" w14:textId="77777777">
      <w:pPr>
        <w:pStyle w:val="zGNormal"/>
      </w:pPr>
      <w:r>
        <w:t xml:space="preserve"> </w:t>
      </w:r>
      <w:bookmarkStart w:name="_Hlk34375832" w:id="781"/>
      <w:r>
        <w:t>The provisions requiring Seller to acquire and maintain insurance under this PPA will not be construed as a waiver, restriction, or limitation of any liability imposed on Seller under this PPA, whether the liability is covered by insurance. It is the intent of the Parties, however, that to the extent there is insurance coverage available to cover the legal or contractually assumed liability of Seller, any payments due because of such liability will be made first from the proceeds of such policies.</w:t>
      </w:r>
      <w:bookmarkEnd w:id="781"/>
    </w:p>
    <w:p w:rsidRPr="00F40F9C" w:rsidR="002D54C4" w:rsidP="004B0BBF" w:rsidRDefault="008B55A2" w14:paraId="141D4773" w14:textId="77777777">
      <w:pPr>
        <w:pStyle w:val="zGTC01"/>
        <w:tabs>
          <w:tab w:val="clear" w:pos="3762"/>
        </w:tabs>
        <w:ind w:left="1080"/>
        <w:rPr>
          <w:szCs w:val="20"/>
        </w:rPr>
      </w:pPr>
      <w:bookmarkStart w:name="_Toc160749160" w:id="782"/>
      <w:bookmarkStart w:name="_Toc194937526" w:id="783"/>
      <w:bookmarkStart w:name="_Toc174624913" w:id="784"/>
      <w:bookmarkStart w:name="_Toc227451574" w:id="785"/>
      <w:r>
        <w:t>Risk and Claims</w:t>
      </w:r>
      <w:bookmarkEnd w:id="782"/>
      <w:bookmarkEnd w:id="783"/>
      <w:bookmarkEnd w:id="784"/>
      <w:bookmarkEnd w:id="785"/>
    </w:p>
    <w:p w:rsidRPr="00F40F9C" w:rsidR="002D54C4" w:rsidRDefault="008B55A2" w14:paraId="424AB7DB" w14:textId="77777777">
      <w:pPr>
        <w:pStyle w:val="zGTC02"/>
        <w:rPr>
          <w:vanish/>
          <w:specVanish/>
        </w:rPr>
      </w:pPr>
      <w:bookmarkStart w:name="_Toc160749161" w:id="786"/>
      <w:bookmarkStart w:name="_Toc194937527" w:id="787"/>
      <w:bookmarkStart w:name="_Toc174624914" w:id="788"/>
      <w:bookmarkStart w:name="_Toc227451575" w:id="789"/>
      <w:r>
        <w:t>Liability for Facility.</w:t>
      </w:r>
      <w:bookmarkStart w:name="_Toc158593251" w:id="790"/>
      <w:bookmarkStart w:name="_Toc158597530" w:id="791"/>
      <w:bookmarkStart w:name="_Toc158720154" w:id="792"/>
      <w:bookmarkStart w:name="_Toc158722908" w:id="793"/>
      <w:bookmarkStart w:name="_Toc158929438" w:id="794"/>
      <w:bookmarkEnd w:id="786"/>
      <w:bookmarkEnd w:id="787"/>
      <w:bookmarkEnd w:id="788"/>
      <w:bookmarkEnd w:id="789"/>
      <w:bookmarkEnd w:id="790"/>
      <w:bookmarkEnd w:id="791"/>
      <w:bookmarkEnd w:id="792"/>
      <w:bookmarkEnd w:id="793"/>
      <w:bookmarkEnd w:id="794"/>
    </w:p>
    <w:p w:rsidRPr="00F40F9C" w:rsidR="002D54C4" w:rsidRDefault="008B55A2" w14:paraId="477C256C" w14:textId="0E15EDBB">
      <w:pPr>
        <w:pStyle w:val="zGNormal"/>
      </w:pPr>
      <w:r>
        <w:t xml:space="preserve"> </w:t>
      </w:r>
      <w:r>
        <w:rPr>
          <w:b/>
          <w:bCs/>
          <w:u w:val="single"/>
        </w:rPr>
        <w:t xml:space="preserve">As between the Parties, Seller retains all liability and risk regarding the Facility and the Site. As between GPC and Renewable Resource Seller, Renewable Resource Seller retains all liability and risk regarding the Renewable Resource, if applicable per Exhibit A </w:t>
      </w:r>
      <w:r>
        <w:rPr>
          <w:b/>
          <w:bCs/>
          <w:i/>
          <w:iCs/>
          <w:u w:val="single"/>
        </w:rPr>
        <w:t>(Facility Description and Additional Details)</w:t>
      </w:r>
      <w:r>
        <w:rPr>
          <w:b/>
          <w:bCs/>
          <w:u w:val="single"/>
        </w:rPr>
        <w:t>. GPC: (i) assumes no duty, responsibility, obligation, or liability regarding Facility, Site,</w:t>
      </w:r>
      <w:bookmarkStart w:name="_Hlk171331492" w:id="795"/>
      <w:r>
        <w:rPr>
          <w:b/>
          <w:bCs/>
          <w:u w:val="single"/>
        </w:rPr>
        <w:t xml:space="preserve"> or Renewable Resource,</w:t>
      </w:r>
      <w:bookmarkEnd w:id="795"/>
      <w:r>
        <w:rPr>
          <w:b/>
          <w:bCs/>
          <w:u w:val="single"/>
        </w:rPr>
        <w:t xml:space="preserve"> if applicable per Exhibit A </w:t>
      </w:r>
      <w:r>
        <w:rPr>
          <w:b/>
          <w:bCs/>
          <w:i/>
          <w:iCs/>
          <w:u w:val="single"/>
        </w:rPr>
        <w:t>(Facility Description and Additional Details)</w:t>
      </w:r>
      <w:r>
        <w:rPr>
          <w:b/>
          <w:bCs/>
          <w:u w:val="single"/>
        </w:rPr>
        <w:t xml:space="preserve">, condition or operation; (ii) is not liable for injury or damage associated with the Site, the Facility (including its operation, maintenance, repair, or replacement), or Renewable Resource, if applicable per Exhibit A </w:t>
      </w:r>
      <w:r>
        <w:rPr>
          <w:b/>
          <w:bCs/>
          <w:i/>
          <w:iCs/>
          <w:u w:val="single"/>
        </w:rPr>
        <w:t>(Facility Description and Additional Details</w:t>
      </w:r>
      <w:r w:rsidRPr="004B0BBF">
        <w:rPr>
          <w:b/>
          <w:i/>
          <w:u w:val="single"/>
        </w:rPr>
        <w:t>)</w:t>
      </w:r>
      <w:r>
        <w:rPr>
          <w:b/>
          <w:bCs/>
          <w:u w:val="single"/>
        </w:rPr>
        <w:t>; and (iii) is not responsible for transmission, distribution, or control of electric energy within the Site or at the Facility.</w:t>
      </w:r>
      <w:r w:rsidR="00D00DCD">
        <w:rPr>
          <w:b/>
          <w:bCs/>
          <w:u w:val="single"/>
        </w:rPr>
        <w:t xml:space="preserve"> </w:t>
      </w:r>
      <w:r w:rsidR="007F7221">
        <w:rPr>
          <w:b/>
          <w:bCs/>
          <w:u w:val="single"/>
        </w:rPr>
        <w:t>The limitations in this Section 14.1 (</w:t>
      </w:r>
      <w:r w:rsidRPr="000777BF" w:rsidR="007F7221">
        <w:rPr>
          <w:b/>
          <w:bCs/>
          <w:i/>
          <w:iCs/>
          <w:u w:val="single"/>
        </w:rPr>
        <w:t>Liability for Facility</w:t>
      </w:r>
      <w:r w:rsidR="007F7221">
        <w:rPr>
          <w:b/>
          <w:bCs/>
          <w:u w:val="single"/>
        </w:rPr>
        <w:t xml:space="preserve">) do not apply to </w:t>
      </w:r>
      <w:r w:rsidR="00614522">
        <w:rPr>
          <w:b/>
          <w:bCs/>
          <w:u w:val="single"/>
        </w:rPr>
        <w:t xml:space="preserve">the extent </w:t>
      </w:r>
      <w:r w:rsidR="007F7221">
        <w:rPr>
          <w:b/>
          <w:bCs/>
          <w:u w:val="single"/>
        </w:rPr>
        <w:t>injury or damage</w:t>
      </w:r>
      <w:r w:rsidR="006E1886">
        <w:rPr>
          <w:b/>
          <w:bCs/>
          <w:u w:val="single"/>
        </w:rPr>
        <w:t xml:space="preserve"> is</w:t>
      </w:r>
      <w:r w:rsidR="007F7221">
        <w:rPr>
          <w:b/>
          <w:bCs/>
          <w:u w:val="single"/>
        </w:rPr>
        <w:t xml:space="preserve"> caused by GPC’s sole negligence, gross negligence, or intentional misconduct.</w:t>
      </w:r>
    </w:p>
    <w:p w:rsidRPr="00F40F9C" w:rsidR="002D54C4" w:rsidRDefault="008B55A2" w14:paraId="00B48A69" w14:textId="77777777">
      <w:pPr>
        <w:pStyle w:val="zGTC02"/>
        <w:rPr>
          <w:vanish/>
          <w:specVanish/>
        </w:rPr>
      </w:pPr>
      <w:bookmarkStart w:name="_Toc160749162" w:id="796"/>
      <w:bookmarkStart w:name="_Toc194937528" w:id="797"/>
      <w:bookmarkStart w:name="_Toc174624915" w:id="798"/>
      <w:bookmarkStart w:name="_Toc227451576" w:id="799"/>
      <w:r>
        <w:t>No Liability.</w:t>
      </w:r>
      <w:bookmarkStart w:name="_Toc158593252" w:id="800"/>
      <w:bookmarkStart w:name="_Toc158597531" w:id="801"/>
      <w:bookmarkStart w:name="_Toc158720155" w:id="802"/>
      <w:bookmarkStart w:name="_Toc158722909" w:id="803"/>
      <w:bookmarkStart w:name="_Toc158929439" w:id="804"/>
      <w:bookmarkEnd w:id="796"/>
      <w:bookmarkEnd w:id="797"/>
      <w:bookmarkEnd w:id="798"/>
      <w:bookmarkEnd w:id="799"/>
      <w:bookmarkEnd w:id="800"/>
      <w:bookmarkEnd w:id="801"/>
      <w:bookmarkEnd w:id="802"/>
      <w:bookmarkEnd w:id="803"/>
      <w:bookmarkEnd w:id="804"/>
    </w:p>
    <w:p w:rsidRPr="00F40F9C" w:rsidR="002D54C4" w:rsidRDefault="008B55A2" w14:paraId="292EA062" w14:textId="2E6D261E">
      <w:pPr>
        <w:pStyle w:val="zGNormal"/>
        <w:rPr>
          <w:u w:val="single"/>
        </w:rPr>
      </w:pPr>
      <w:r>
        <w:rPr>
          <w:b/>
          <w:bCs/>
        </w:rPr>
        <w:t xml:space="preserve"> </w:t>
      </w:r>
      <w:r>
        <w:rPr>
          <w:b/>
          <w:bCs/>
          <w:u w:val="single"/>
        </w:rPr>
        <w:t>Neither Party is responsible for the other Party’s equipment, including its condition or operation. Neither Party is responsible for the distribution or control of electric energy on the other Party’s side of the Point of Interconnection. GPC is not responsible for physical damage to, or destruction or degradation of, Seller’s property, nor will Seller seek recovery from GPC for property damage (including loss of use or electric service outage), except in the case of sole negligence or intentional wrongdoing by GPC</w:t>
      </w:r>
      <w:r w:rsidR="007C40F1">
        <w:rPr>
          <w:b/>
          <w:bCs/>
          <w:u w:val="single"/>
        </w:rPr>
        <w:t xml:space="preserve"> or Persons acting on behalf of GPC and for whom GPC is otherwise responsible</w:t>
      </w:r>
      <w:r>
        <w:rPr>
          <w:b/>
          <w:bCs/>
          <w:u w:val="single"/>
        </w:rPr>
        <w:t>. Without limiting the generality of the previous sentence, neither Party is liable to the other for damage arising from the simple failure (i.e., failure not caused by breach of contract, negligence, or intentional wrongful act) of a protective device or scheme.</w:t>
      </w:r>
      <w:r w:rsidR="00B3799B">
        <w:rPr>
          <w:b/>
          <w:bCs/>
          <w:u w:val="single"/>
        </w:rPr>
        <w:t xml:space="preserve"> </w:t>
      </w:r>
      <w:r w:rsidR="001763EF">
        <w:rPr>
          <w:b/>
          <w:bCs/>
          <w:u w:val="single"/>
        </w:rPr>
        <w:t>The limitations in this Section 14.2 (</w:t>
      </w:r>
      <w:r w:rsidRPr="000777BF" w:rsidR="001763EF">
        <w:rPr>
          <w:b/>
          <w:bCs/>
          <w:i/>
          <w:iCs/>
          <w:u w:val="single"/>
        </w:rPr>
        <w:t>No Liability</w:t>
      </w:r>
      <w:r w:rsidR="001763EF">
        <w:rPr>
          <w:b/>
          <w:bCs/>
          <w:u w:val="single"/>
        </w:rPr>
        <w:t>) do not apply to</w:t>
      </w:r>
      <w:r w:rsidR="006E1886">
        <w:rPr>
          <w:b/>
          <w:bCs/>
          <w:u w:val="single"/>
        </w:rPr>
        <w:t xml:space="preserve"> the extent</w:t>
      </w:r>
      <w:r w:rsidR="001763EF">
        <w:rPr>
          <w:b/>
          <w:bCs/>
          <w:u w:val="single"/>
        </w:rPr>
        <w:t xml:space="preserve"> injury or damage </w:t>
      </w:r>
      <w:r w:rsidR="006E1886">
        <w:rPr>
          <w:b/>
          <w:bCs/>
          <w:u w:val="single"/>
        </w:rPr>
        <w:t xml:space="preserve">is </w:t>
      </w:r>
      <w:r w:rsidR="001763EF">
        <w:rPr>
          <w:b/>
          <w:bCs/>
          <w:u w:val="single"/>
        </w:rPr>
        <w:t>caused by the sole negligence, gross negligence, or intentional misconduct of a Party or any Persons acting on behalf of such Party for whom such Party is responsible.</w:t>
      </w:r>
    </w:p>
    <w:p w:rsidRPr="00F40F9C" w:rsidR="002D54C4" w:rsidRDefault="008B55A2" w14:paraId="7CCB98F4" w14:textId="77777777">
      <w:pPr>
        <w:pStyle w:val="zGTC02"/>
        <w:rPr>
          <w:vanish/>
          <w:specVanish/>
        </w:rPr>
      </w:pPr>
      <w:bookmarkStart w:name="_Toc160749163" w:id="805"/>
      <w:bookmarkStart w:name="_Toc194937529" w:id="806"/>
      <w:bookmarkStart w:name="_Toc174624916" w:id="807"/>
      <w:bookmarkStart w:name="_Toc227451577" w:id="808"/>
      <w:r>
        <w:lastRenderedPageBreak/>
        <w:t>Scope of Indemnity.</w:t>
      </w:r>
      <w:bookmarkStart w:name="_Toc158593253" w:id="809"/>
      <w:bookmarkStart w:name="_Toc158597532" w:id="810"/>
      <w:bookmarkStart w:name="_Toc158720156" w:id="811"/>
      <w:bookmarkStart w:name="_Toc158722910" w:id="812"/>
      <w:bookmarkStart w:name="_Toc158929440" w:id="813"/>
      <w:bookmarkEnd w:id="805"/>
      <w:bookmarkEnd w:id="806"/>
      <w:bookmarkEnd w:id="807"/>
      <w:bookmarkEnd w:id="808"/>
      <w:bookmarkEnd w:id="809"/>
      <w:bookmarkEnd w:id="810"/>
      <w:bookmarkEnd w:id="811"/>
      <w:bookmarkEnd w:id="812"/>
      <w:bookmarkEnd w:id="813"/>
    </w:p>
    <w:p w:rsidRPr="00F40F9C" w:rsidR="002D54C4" w:rsidRDefault="008B55A2" w14:paraId="29B7CDAD" w14:textId="1EC58D3B">
      <w:pPr>
        <w:pStyle w:val="zGNormal"/>
        <w:rPr>
          <w:b/>
          <w:bCs/>
          <w:u w:val="single"/>
        </w:rPr>
      </w:pPr>
      <w:r>
        <w:t xml:space="preserve"> </w:t>
      </w:r>
      <w:r>
        <w:rPr>
          <w:b/>
          <w:bCs/>
          <w:u w:val="single"/>
        </w:rPr>
        <w:t>To the fullest extent allowed by applicable law, Seller must indemnify, release, hold harmless, and, at GPC’s request, defend GPC and any GPC-Related Party from or against a Claim caused by, arising out of, or related to an act or omission associated with the Facility or this PPA by any Seller Entity</w:t>
      </w:r>
      <w:r w:rsidR="00BB7965">
        <w:rPr>
          <w:b/>
          <w:bCs/>
          <w:u w:val="single"/>
        </w:rPr>
        <w:t>, including, for the avoidance of doubt, any Cyber Security Incident</w:t>
      </w:r>
      <w:r>
        <w:rPr>
          <w:b/>
          <w:bCs/>
          <w:u w:val="single"/>
        </w:rPr>
        <w:t xml:space="preserve">. If the Claim </w:t>
      </w:r>
      <w:r w:rsidR="00A73AB2">
        <w:rPr>
          <w:b/>
          <w:bCs/>
          <w:u w:val="single"/>
        </w:rPr>
        <w:t xml:space="preserve">arises </w:t>
      </w:r>
      <w:r>
        <w:rPr>
          <w:b/>
          <w:bCs/>
          <w:u w:val="single"/>
        </w:rPr>
        <w:t>out of the joint, concurrent, or contributory acts of both Parties, Seller’s liability under this Section 14.3 (</w:t>
      </w:r>
      <w:r>
        <w:rPr>
          <w:b/>
          <w:bCs/>
          <w:i/>
          <w:iCs/>
          <w:u w:val="single"/>
        </w:rPr>
        <w:t>Scope of</w:t>
      </w:r>
      <w:r>
        <w:rPr>
          <w:b/>
          <w:bCs/>
          <w:u w:val="single"/>
        </w:rPr>
        <w:t xml:space="preserve"> </w:t>
      </w:r>
      <w:r>
        <w:rPr>
          <w:b/>
          <w:bCs/>
          <w:i/>
          <w:iCs/>
          <w:u w:val="single"/>
        </w:rPr>
        <w:t>Indemnity</w:t>
      </w:r>
      <w:r>
        <w:rPr>
          <w:b/>
          <w:bCs/>
          <w:u w:val="single"/>
        </w:rPr>
        <w:t xml:space="preserve">) is proportional to the extent the Claim </w:t>
      </w:r>
      <w:r w:rsidR="00A73AB2">
        <w:rPr>
          <w:b/>
          <w:bCs/>
          <w:u w:val="single"/>
        </w:rPr>
        <w:t xml:space="preserve">is </w:t>
      </w:r>
      <w:r>
        <w:rPr>
          <w:b/>
          <w:bCs/>
          <w:u w:val="single"/>
        </w:rPr>
        <w:t>attributable to a Seller Entity</w:t>
      </w:r>
      <w:r w:rsidR="00491884">
        <w:rPr>
          <w:b/>
          <w:bCs/>
          <w:u w:val="single"/>
        </w:rPr>
        <w:t>; provided however, if</w:t>
      </w:r>
      <w:r>
        <w:rPr>
          <w:b/>
          <w:bCs/>
          <w:u w:val="single"/>
        </w:rPr>
        <w:t xml:space="preserve"> the Claim is for personal or bodily injury (including death) to Seller Entity personnel or for damage to Seller Entity or Facility property, Seller is fully responsible to GPC-Related Parties under this Section 14.3</w:t>
      </w:r>
      <w:r w:rsidR="009945A8">
        <w:rPr>
          <w:b/>
          <w:bCs/>
          <w:u w:val="single"/>
        </w:rPr>
        <w:t>, unless such Claim arose out of the gross negligence or intentional misconduct of a GPC-Related Party, in which case Seller’s liability is limited to its proportionate share as described above</w:t>
      </w:r>
      <w:r>
        <w:rPr>
          <w:b/>
          <w:bCs/>
          <w:u w:val="single"/>
        </w:rPr>
        <w:t>. If the Claim result</w:t>
      </w:r>
      <w:r w:rsidR="009945A8">
        <w:rPr>
          <w:b/>
          <w:bCs/>
          <w:u w:val="single"/>
        </w:rPr>
        <w:t>s</w:t>
      </w:r>
      <w:r>
        <w:rPr>
          <w:b/>
          <w:bCs/>
          <w:u w:val="single"/>
        </w:rPr>
        <w:t xml:space="preserve"> from the sole negligence of a GPC-Related Party, Seller will not be liable under this Section 14.3. Seller’s indemnity obligations are independent of its insurance obligations. The indemnity obligation expressly includes any Claim from any GPC customer or any third party arising from Seller’s operation of the Facility.</w:t>
      </w:r>
    </w:p>
    <w:p w:rsidRPr="00F40F9C" w:rsidR="002D54C4" w:rsidRDefault="008B55A2" w14:paraId="0B5A3FD7" w14:textId="77777777">
      <w:pPr>
        <w:pStyle w:val="zGTC02"/>
        <w:rPr>
          <w:rFonts w:ascii="Arial" w:hAnsi="Arial" w:cs="Arial"/>
          <w:vanish/>
          <w:szCs w:val="20"/>
          <w:specVanish/>
        </w:rPr>
      </w:pPr>
      <w:bookmarkStart w:name="_Toc160749164" w:id="814"/>
      <w:bookmarkStart w:name="_Toc194937530" w:id="815"/>
      <w:bookmarkStart w:name="_Toc174624917" w:id="816"/>
      <w:bookmarkStart w:name="_Toc227451578" w:id="817"/>
      <w:r>
        <w:t>Survival.</w:t>
      </w:r>
      <w:bookmarkStart w:name="_Toc158593255" w:id="818"/>
      <w:bookmarkStart w:name="_Toc158597534" w:id="819"/>
      <w:bookmarkStart w:name="_Toc158720158" w:id="820"/>
      <w:bookmarkStart w:name="_Toc158722912" w:id="821"/>
      <w:bookmarkStart w:name="_Toc158929442" w:id="822"/>
      <w:bookmarkEnd w:id="814"/>
      <w:bookmarkEnd w:id="815"/>
      <w:bookmarkEnd w:id="816"/>
      <w:bookmarkEnd w:id="817"/>
      <w:bookmarkEnd w:id="818"/>
      <w:bookmarkEnd w:id="819"/>
      <w:bookmarkEnd w:id="820"/>
      <w:bookmarkEnd w:id="821"/>
      <w:bookmarkEnd w:id="822"/>
    </w:p>
    <w:p w:rsidRPr="00F40F9C" w:rsidR="002D54C4" w:rsidRDefault="008B55A2" w14:paraId="204FD45A" w14:textId="77777777">
      <w:pPr>
        <w:pStyle w:val="zGNormal"/>
      </w:pPr>
      <w:r>
        <w:t xml:space="preserve"> Despite the expiration or termination of this PPA, Seller’s indemnification obligations under this Part 14 (</w:t>
      </w:r>
      <w:r>
        <w:rPr>
          <w:i/>
        </w:rPr>
        <w:t>Risk and Claims</w:t>
      </w:r>
      <w:r>
        <w:t>) will survive and continue in full force and effect after such expiration or termination, by default or otherwise, regardless of whether such obligations accrue prior to or after PPA expiration or termination.</w:t>
      </w:r>
    </w:p>
    <w:p w:rsidRPr="00F40F9C" w:rsidR="00F23780" w:rsidP="004B0BBF" w:rsidRDefault="008B55A2" w14:paraId="319251D8" w14:textId="77777777">
      <w:pPr>
        <w:pStyle w:val="zGTC01"/>
        <w:tabs>
          <w:tab w:val="clear" w:pos="3762"/>
        </w:tabs>
        <w:ind w:left="1080"/>
      </w:pPr>
      <w:bookmarkStart w:name="_Toc160011525" w:id="823"/>
      <w:bookmarkStart w:name="_Toc160749165" w:id="824"/>
      <w:bookmarkStart w:name="_Toc194937531" w:id="825"/>
      <w:bookmarkStart w:name="_Toc174624918" w:id="826"/>
      <w:bookmarkStart w:name="_Toc227451579" w:id="827"/>
      <w:r>
        <w:t>Force Majeure</w:t>
      </w:r>
      <w:bookmarkEnd w:id="823"/>
      <w:bookmarkEnd w:id="824"/>
      <w:bookmarkEnd w:id="825"/>
      <w:bookmarkEnd w:id="826"/>
      <w:bookmarkEnd w:id="827"/>
    </w:p>
    <w:p w:rsidRPr="00F40F9C" w:rsidR="00F23780" w:rsidP="00786DCB" w:rsidRDefault="008B55A2" w14:paraId="555A9A71" w14:textId="77777777">
      <w:pPr>
        <w:pStyle w:val="zGTC02"/>
        <w:rPr>
          <w:vanish/>
          <w:specVanish/>
        </w:rPr>
      </w:pPr>
      <w:bookmarkStart w:name="_Toc158334736" w:id="828"/>
      <w:bookmarkStart w:name="_Toc160749166" w:id="829"/>
      <w:bookmarkStart w:name="_Toc194937532" w:id="830"/>
      <w:bookmarkStart w:name="_Toc174624919" w:id="831"/>
      <w:bookmarkStart w:name="_Toc227451580" w:id="832"/>
      <w:r>
        <w:t>Definition of Force Majeure Event.</w:t>
      </w:r>
      <w:bookmarkStart w:name="_Toc158929444" w:id="833"/>
      <w:bookmarkEnd w:id="828"/>
      <w:bookmarkEnd w:id="829"/>
      <w:bookmarkEnd w:id="830"/>
      <w:bookmarkEnd w:id="831"/>
      <w:bookmarkEnd w:id="832"/>
      <w:bookmarkEnd w:id="833"/>
    </w:p>
    <w:p w:rsidRPr="00F40F9C" w:rsidR="008F7F00" w:rsidP="008F7F00" w:rsidRDefault="008B55A2" w14:paraId="0FE3CC20" w14:textId="53E923BA">
      <w:pPr>
        <w:pStyle w:val="zGNormal"/>
      </w:pPr>
      <w:r>
        <w:t xml:space="preserve"> For purposes of this PPA, a “</w:t>
      </w:r>
      <w:r>
        <w:rPr>
          <w:b/>
        </w:rPr>
        <w:t>Force Majeure Event (FME)</w:t>
      </w:r>
      <w:r>
        <w:t>” is an occurrence, nonoccurrence, or set of circumstances that: (i) first occurs after the Effective Date; (ii) prevents a Party, in whole or in part, from performing any PPA obligation or satisfying any PPA condition; (iii) is beyond the reasonable control of the Party claiming FME; (iv) is not reasonably foreseeable</w:t>
      </w:r>
      <w:r w:rsidR="000B7690">
        <w:t xml:space="preserve"> (or, if foreseeable, cannot reasonably be avoided)</w:t>
      </w:r>
      <w:r>
        <w:t>; and (v) is not caused by the Party’s negligence, inaction, lack of due diligence, PPA breach, or failure to follow Prudent Industry Practices.</w:t>
      </w:r>
      <w:bookmarkStart w:name="_Toc158334737" w:id="834"/>
    </w:p>
    <w:p w:rsidRPr="00F40F9C" w:rsidR="008F7F00" w:rsidP="008F7F00" w:rsidRDefault="008B55A2" w14:paraId="311AB0C2" w14:textId="77777777">
      <w:pPr>
        <w:pStyle w:val="zGTC02"/>
        <w:rPr>
          <w:vanish/>
          <w:specVanish/>
        </w:rPr>
      </w:pPr>
      <w:bookmarkStart w:name="_Toc160749167" w:id="835"/>
      <w:bookmarkStart w:name="_Toc194937533" w:id="836"/>
      <w:bookmarkStart w:name="_Toc174624920" w:id="837"/>
      <w:bookmarkStart w:name="_Toc227451581" w:id="838"/>
      <w:r>
        <w:t>Force Majeure Exclusions.</w:t>
      </w:r>
      <w:bookmarkStart w:name="_Toc158929445" w:id="839"/>
      <w:bookmarkEnd w:id="834"/>
      <w:bookmarkEnd w:id="835"/>
      <w:bookmarkEnd w:id="836"/>
      <w:bookmarkEnd w:id="837"/>
      <w:bookmarkEnd w:id="838"/>
      <w:bookmarkEnd w:id="839"/>
    </w:p>
    <w:p w:rsidRPr="005845DB" w:rsidR="00F23780" w:rsidP="00061941" w:rsidRDefault="008B55A2" w14:paraId="401E10B1" w14:textId="01613634">
      <w:pPr>
        <w:pStyle w:val="zGNormal"/>
        <w:rPr>
          <w:bCs/>
        </w:rPr>
      </w:pPr>
      <w:r>
        <w:t xml:space="preserve"> </w:t>
      </w:r>
      <w:bookmarkStart w:name="_Hlk166665459" w:id="840"/>
      <w:r w:rsidRPr="005845DB" w:rsidR="00854F53">
        <w:rPr>
          <w:rFonts w:eastAsia="Calibri"/>
          <w:kern w:val="0"/>
        </w:rPr>
        <w:t xml:space="preserve">FME excludes: (i) the inability to comply with an applicable law for any reason other than the inability to comply with a change in an applicable law for non-economic reasons; (ii) the inability to comply with a change in an applicable law for purely economic reasons; (iii) a Site-specific strike, walkout, lockout, or other labor dispute at the Facility; (iv) ambient temperature or humidity at the Site; (v) </w:t>
      </w:r>
      <w:r w:rsidRPr="005845DB" w:rsidR="00854F53">
        <w:rPr>
          <w:rFonts w:eastAsia="Calibri"/>
          <w:bCs/>
          <w:kern w:val="0"/>
        </w:rPr>
        <w:t>failure or inability to obtain or retain sufficient funds for any reason, including funds from a Governmental Authority, or Seller’s loss of or inability to obtain or retain any tax credit or other incentive regarding any portion of the Facility</w:t>
      </w:r>
      <w:r w:rsidRPr="005845DB" w:rsidR="00854F53">
        <w:rPr>
          <w:rFonts w:eastAsia="Calibri"/>
          <w:kern w:val="0"/>
        </w:rPr>
        <w:t>; (vi) any event, including a change in any applicable law or accounting standard, that requires GPC to consolidate Seller or any Seller Affiliate or permitted assign as a VIE in GPC’s financial statements; (vii) any inability to obtain or maintain, or delay in obtaining, any permit, approval, or other Consent required from a Governmental Authority; (viii) equipment failure or damage; (ix) a change in any market condition that affects the cost or availability of equipment, materials, supplies, or services, including the cost of power from resources other than the Facility; (x) any act or inaction of a Party’s contractor, supplier, or vendor; (xi) Seller’s inability to arrange or maintain interconnection service for deliveries to the POI; (xii) the interruption, curtailment, or unavailability of service for the transmission of Discharging Energy from the Facility for any reason; or (xiii) any directive from the Interconnection Provider to curtail deliveries of Discharging Energy from the Facility or disconnect the Facility from the Electric System. Despite the preceding sentence, a Party claiming FME may be excused from PPA performance if: (a) a separate event that otherwise constitutes an FME directly and independently causes a circumstance described in subparts (viii) through (xiii); and (b) the Party satisfies all other requirements of this Part 15 (</w:t>
      </w:r>
      <w:r w:rsidRPr="005845DB" w:rsidR="00854F53">
        <w:rPr>
          <w:rFonts w:eastAsia="Calibri"/>
          <w:i/>
          <w:kern w:val="0"/>
        </w:rPr>
        <w:t>Force Majeure</w:t>
      </w:r>
      <w:r w:rsidRPr="005845DB" w:rsidR="00854F53">
        <w:rPr>
          <w:rFonts w:eastAsia="Calibri"/>
          <w:kern w:val="0"/>
        </w:rPr>
        <w:t xml:space="preserve">). </w:t>
      </w:r>
      <w:r w:rsidRPr="005845DB" w:rsidR="00854F53">
        <w:rPr>
          <w:rFonts w:eastAsia="Calibri"/>
          <w:bCs/>
          <w:kern w:val="0"/>
        </w:rPr>
        <w:t>For avoidance of doubt, a Change of Law may constitute an FME to the extent it meets the requirements of Section 15.1 (</w:t>
      </w:r>
      <w:r w:rsidRPr="005845DB" w:rsidR="00854F53">
        <w:rPr>
          <w:rFonts w:eastAsia="Calibri"/>
          <w:bCs/>
          <w:i/>
          <w:iCs/>
          <w:kern w:val="0"/>
        </w:rPr>
        <w:t>Definition of Force Majeure Event</w:t>
      </w:r>
      <w:r w:rsidRPr="005845DB" w:rsidR="00854F53">
        <w:rPr>
          <w:rFonts w:eastAsia="Calibri"/>
          <w:bCs/>
          <w:kern w:val="0"/>
        </w:rPr>
        <w:t>) and this Section 15.2.</w:t>
      </w:r>
      <w:bookmarkEnd w:id="840"/>
    </w:p>
    <w:p w:rsidRPr="00F40F9C" w:rsidR="00F23780" w:rsidP="00236AED" w:rsidRDefault="008B55A2" w14:paraId="5C731DB5" w14:textId="77777777">
      <w:pPr>
        <w:pStyle w:val="zGTC02"/>
        <w:numPr>
          <w:ilvl w:val="1"/>
          <w:numId w:val="23"/>
        </w:numPr>
        <w:rPr>
          <w:vanish/>
          <w:specVanish/>
        </w:rPr>
      </w:pPr>
      <w:bookmarkStart w:name="_Toc160749168" w:id="841"/>
      <w:bookmarkStart w:name="_Toc194937534" w:id="842"/>
      <w:bookmarkStart w:name="_Toc174624921" w:id="843"/>
      <w:bookmarkStart w:name="_Toc227451582" w:id="844"/>
      <w:r>
        <w:t>No Breach or Liability.</w:t>
      </w:r>
      <w:bookmarkStart w:name="_Toc158593257" w:id="845"/>
      <w:bookmarkStart w:name="_Toc158597536" w:id="846"/>
      <w:bookmarkStart w:name="_Toc158720160" w:id="847"/>
      <w:bookmarkStart w:name="_Toc158722914" w:id="848"/>
      <w:bookmarkStart w:name="_Toc158929446" w:id="849"/>
      <w:bookmarkEnd w:id="841"/>
      <w:bookmarkEnd w:id="842"/>
      <w:bookmarkEnd w:id="843"/>
      <w:bookmarkEnd w:id="844"/>
      <w:bookmarkEnd w:id="845"/>
      <w:bookmarkEnd w:id="846"/>
      <w:bookmarkEnd w:id="847"/>
      <w:bookmarkEnd w:id="848"/>
      <w:bookmarkEnd w:id="849"/>
    </w:p>
    <w:p w:rsidRPr="00F40F9C" w:rsidR="00F23780" w:rsidP="00061941" w:rsidRDefault="008B55A2" w14:paraId="47478690" w14:textId="096919E6">
      <w:pPr>
        <w:pStyle w:val="zGNormal"/>
      </w:pPr>
      <w:r>
        <w:t xml:space="preserve">  If an FME occurs, subject to compliance with all provisions of this Part 15 (</w:t>
      </w:r>
      <w:r w:rsidRPr="004B0BBF">
        <w:rPr>
          <w:i/>
        </w:rPr>
        <w:t>Force Majeure</w:t>
      </w:r>
      <w:r>
        <w:t xml:space="preserve">), the affected Party will be excused from performance of its obligations impacted by the FME, other than payment obligations that accrued </w:t>
      </w:r>
      <w:r w:rsidR="006855C4">
        <w:t>before</w:t>
      </w:r>
      <w:r>
        <w:t xml:space="preserve"> the declaration of the FME, and will not be construed to be in default regarding the obligations, to the extent that, and only for so long as, the failure to perform is due to an FME. However, the suspension of performance due to an FME will be of no greater </w:t>
      </w:r>
      <w:r>
        <w:lastRenderedPageBreak/>
        <w:t>scope and of no longer duration than is required by the FME. Despite any other provision in this PPA, no FME will extend this PPA beyond the Term.</w:t>
      </w:r>
    </w:p>
    <w:p w:rsidRPr="00F40F9C" w:rsidR="00F23780" w:rsidP="00C22140" w:rsidRDefault="008B55A2" w14:paraId="1E022C0A" w14:textId="77777777">
      <w:pPr>
        <w:pStyle w:val="zGTC03"/>
        <w:rPr>
          <w:vanish/>
          <w:specVanish/>
        </w:rPr>
      </w:pPr>
      <w:r>
        <w:t xml:space="preserve">Burden of Proof and Supporting Documentation. </w:t>
      </w:r>
    </w:p>
    <w:p w:rsidRPr="00F40F9C" w:rsidR="00F23780" w:rsidP="00F23780" w:rsidRDefault="008B55A2" w14:paraId="54603A6C" w14:textId="50F4D1DB">
      <w:pPr>
        <w:pStyle w:val="zGNormal"/>
      </w:pPr>
      <w:r>
        <w:t xml:space="preserve">The burden of proof as to whether an FME has occurred and as to the impact of an FME will be upon the affected Party. If the affected Party requests that its performance be excused because of an FME, then the affected Party must support its request with documentation demonstrating: (i) the existence of the FME; (ii) efforts by the affected Party to overcome or mitigate the effect of the FME; and (iii) following the conclusion of the FME, an analysis of the number of Days the FME delayed or otherwise prevented the performance of the affected Party’s obligations or satisfaction of any condition of this PPA and, if the FME occurred after COD, information reasonably required to determine the period of time the Facility, in whole or in part, is expected to be or was Unavailable because of FME for purposes of adjusting GPC’s calculation of the Performance Metrics. The affected Party must provide the required documentation by no later than </w:t>
      </w:r>
      <w:r w:rsidR="001F6CC0">
        <w:t>10</w:t>
      </w:r>
      <w:r>
        <w:t xml:space="preserve"> Business Days after the date the FME concludes.</w:t>
      </w:r>
    </w:p>
    <w:p w:rsidRPr="00F40F9C" w:rsidR="00F23780" w:rsidP="00C22140" w:rsidRDefault="008B55A2" w14:paraId="0AAE2352" w14:textId="77777777">
      <w:pPr>
        <w:pStyle w:val="zGTC03"/>
        <w:rPr>
          <w:vanish/>
          <w:specVanish/>
        </w:rPr>
      </w:pPr>
      <w:r>
        <w:t xml:space="preserve">Extension of RCOD. </w:t>
      </w:r>
    </w:p>
    <w:p w:rsidRPr="00F40F9C" w:rsidR="00F23780" w:rsidP="00F23780" w:rsidRDefault="008B55A2" w14:paraId="558DAB59" w14:textId="77777777">
      <w:pPr>
        <w:pStyle w:val="zGNormal"/>
      </w:pPr>
      <w:r>
        <w:rPr>
          <w:b/>
          <w:bCs/>
        </w:rPr>
        <w:t xml:space="preserve"> </w:t>
      </w:r>
      <w:r>
        <w:t>If an FME directly and substantially impacts a critical path item on the Milestone Schedule and, as a result, prevents Seller from achieving Commercial Operation by the RCOD, then the RCOD will be extended by the number of Days of the delay caused by the impact to the critical path item on the Milestone Schedule, so long as, as a condition to any such extension of the RCOD, Seller must comply with the requirements of this Part 15 (</w:t>
      </w:r>
      <w:r>
        <w:rPr>
          <w:i/>
        </w:rPr>
        <w:t>Force Majeure</w:t>
      </w:r>
      <w:r>
        <w:t>), including Seller undertaking all commercially reasonable efforts to avoid, overcome, or otherwise mitigate the delay by revising, rearranging, expediting, or accelerating the Milestone Schedule.</w:t>
      </w:r>
    </w:p>
    <w:p w:rsidRPr="00F40F9C" w:rsidR="00F23780" w:rsidP="00123A42" w:rsidRDefault="008B55A2" w14:paraId="36F355C4" w14:textId="77777777">
      <w:pPr>
        <w:pStyle w:val="zGTC02"/>
        <w:rPr>
          <w:vanish/>
          <w:specVanish/>
        </w:rPr>
      </w:pPr>
      <w:bookmarkStart w:name="_Toc160749169" w:id="850"/>
      <w:bookmarkStart w:name="_Toc194937535" w:id="851"/>
      <w:bookmarkStart w:name="_Toc174624922" w:id="852"/>
      <w:bookmarkStart w:name="_Toc227451583" w:id="853"/>
      <w:r>
        <w:t>Monthly Capacity Payments.</w:t>
      </w:r>
      <w:bookmarkStart w:name="_Toc158593258" w:id="854"/>
      <w:bookmarkStart w:name="_Toc158597537" w:id="855"/>
      <w:bookmarkStart w:name="_Toc158720161" w:id="856"/>
      <w:bookmarkStart w:name="_Toc158722915" w:id="857"/>
      <w:bookmarkStart w:name="_Toc158929447" w:id="858"/>
      <w:bookmarkEnd w:id="850"/>
      <w:bookmarkEnd w:id="851"/>
      <w:bookmarkEnd w:id="852"/>
      <w:bookmarkEnd w:id="853"/>
      <w:bookmarkEnd w:id="854"/>
      <w:bookmarkEnd w:id="855"/>
      <w:bookmarkEnd w:id="856"/>
      <w:bookmarkEnd w:id="857"/>
      <w:bookmarkEnd w:id="858"/>
    </w:p>
    <w:p w:rsidRPr="00F40F9C" w:rsidR="00F23780" w:rsidP="00F23780" w:rsidRDefault="008B55A2" w14:paraId="302E1147" w14:textId="77777777">
      <w:pPr>
        <w:pStyle w:val="zGNormal"/>
      </w:pPr>
      <w:r>
        <w:t xml:space="preserve"> In the case of an Unavailability Period caused by an FME declared by Seller </w:t>
      </w:r>
      <w:r>
        <w:rPr>
          <w:rFonts w:eastAsia="Times New Roman"/>
        </w:rPr>
        <w:t>in accordance with this</w:t>
      </w:r>
      <w:r>
        <w:t xml:space="preserve"> Part 15 (</w:t>
      </w:r>
      <w:r>
        <w:rPr>
          <w:i/>
        </w:rPr>
        <w:t>Force Majeure</w:t>
      </w:r>
      <w:r>
        <w:t>), GPC’s obligation to make a Monthly Capacity Payment for any Month will be excused pro rata, based on the number of the Days in the Month and the extent to which Seller is prevented on those Days from satisfying dispatch instructions from GPC because of the FME.</w:t>
      </w:r>
    </w:p>
    <w:p w:rsidRPr="00F40F9C" w:rsidR="00F23780" w:rsidP="005C140E" w:rsidRDefault="008B55A2" w14:paraId="725998CC" w14:textId="77777777">
      <w:pPr>
        <w:pStyle w:val="zGTC02"/>
        <w:rPr>
          <w:vanish/>
          <w:specVanish/>
        </w:rPr>
      </w:pPr>
      <w:bookmarkStart w:name="_Toc160749170" w:id="859"/>
      <w:bookmarkStart w:name="_Toc194937536" w:id="860"/>
      <w:bookmarkStart w:name="_Toc174624923" w:id="861"/>
      <w:bookmarkStart w:name="_Toc227451584" w:id="862"/>
      <w:r>
        <w:t>Notice of FME; Updates.</w:t>
      </w:r>
      <w:bookmarkStart w:name="_Toc158593259" w:id="863"/>
      <w:bookmarkStart w:name="_Toc158597538" w:id="864"/>
      <w:bookmarkStart w:name="_Toc158720162" w:id="865"/>
      <w:bookmarkStart w:name="_Toc158722916" w:id="866"/>
      <w:bookmarkStart w:name="_Toc158929448" w:id="867"/>
      <w:bookmarkEnd w:id="859"/>
      <w:bookmarkEnd w:id="860"/>
      <w:bookmarkEnd w:id="861"/>
      <w:bookmarkEnd w:id="862"/>
      <w:bookmarkEnd w:id="863"/>
      <w:bookmarkEnd w:id="864"/>
      <w:bookmarkEnd w:id="865"/>
      <w:bookmarkEnd w:id="866"/>
      <w:bookmarkEnd w:id="867"/>
    </w:p>
    <w:p w:rsidRPr="00F40F9C" w:rsidR="00F23780" w:rsidP="00F23780" w:rsidRDefault="008B55A2" w14:paraId="7247B94D" w14:textId="1C5B9DCA">
      <w:pPr>
        <w:pStyle w:val="zGNormal"/>
      </w:pPr>
      <w:r>
        <w:t xml:space="preserve"> Following the occurrence of an FME, and as a condition to relief under Section 15.6 (</w:t>
      </w:r>
      <w:r>
        <w:rPr>
          <w:i/>
          <w:iCs/>
        </w:rPr>
        <w:t>Requirements for Relief</w:t>
      </w:r>
      <w:r>
        <w:t xml:space="preserve">), the affected Party will give the other Party notice of the FME  as promptly as possible after the </w:t>
      </w:r>
      <w:r w:rsidR="00EC6AA7">
        <w:t xml:space="preserve">affected </w:t>
      </w:r>
      <w:r>
        <w:t xml:space="preserve">Party becomes aware of the FME, but in no event later than 10 Business Days after the affected </w:t>
      </w:r>
      <w:r w:rsidR="00EC6AA7">
        <w:t>P</w:t>
      </w:r>
      <w:r>
        <w:t xml:space="preserve">arty knew or should have known of the occurrence of the FME. The notice must describe the particulars of the FME, including an estimate of the anticipated duration and effect of the FME (if reasonably estimable) upon the performance of the Party’s obligations or satisfaction of any conditions under this PPA (including, if Seller is the affected Party, Seller must provide GPC with information reasonably required to determine the reduction of the BESS operational capability), and discussing any actions being taken to avoid or minimize the effect of the FME. The affected Party will have a continuing obligation to deliver to the other Party regular updated reports and any additional documentation and analysis supporting its claim regarding an FME. </w:t>
      </w:r>
    </w:p>
    <w:p w:rsidRPr="00F40F9C" w:rsidR="00F23780" w:rsidP="00210378" w:rsidRDefault="008B55A2" w14:paraId="449CAE17" w14:textId="01C11EE6">
      <w:pPr>
        <w:pStyle w:val="zGNormal"/>
        <w:spacing w:before="120"/>
      </w:pPr>
      <w:r>
        <w:t>Despite the preceding sentences, if the affected Party fails to provide initial notice within the 10 Business Day period or, following the affected Party’s initial notice, the affected Party fails to provide reasonable reports and substantiation of the claimed FME as required by this Part 15 (</w:t>
      </w:r>
      <w:r w:rsidRPr="004B0BBF">
        <w:rPr>
          <w:i/>
        </w:rPr>
        <w:t>Force Majeure</w:t>
      </w:r>
      <w:r>
        <w:t>), the event or condition will be deemed not to be an FME and the affected Party’s performance will not be excused as a result of the FME.</w:t>
      </w:r>
    </w:p>
    <w:p w:rsidRPr="00F40F9C" w:rsidR="00F23780" w:rsidP="005C140E" w:rsidRDefault="008B55A2" w14:paraId="49CF9095" w14:textId="77777777">
      <w:pPr>
        <w:pStyle w:val="zGTC02"/>
        <w:rPr>
          <w:vanish/>
          <w:specVanish/>
        </w:rPr>
      </w:pPr>
      <w:bookmarkStart w:name="_Toc160749171" w:id="868"/>
      <w:bookmarkStart w:name="_Toc194937537" w:id="869"/>
      <w:bookmarkStart w:name="_Toc174624924" w:id="870"/>
      <w:bookmarkStart w:name="_Toc227451585" w:id="871"/>
      <w:r>
        <w:t>Requirements for Relief.</w:t>
      </w:r>
      <w:bookmarkEnd w:id="868"/>
      <w:bookmarkEnd w:id="869"/>
      <w:bookmarkEnd w:id="870"/>
      <w:bookmarkEnd w:id="871"/>
    </w:p>
    <w:p w:rsidRPr="00F40F9C" w:rsidR="00F23780" w:rsidP="00F23780" w:rsidRDefault="008B55A2" w14:paraId="3AEA7102" w14:textId="77777777">
      <w:pPr>
        <w:pStyle w:val="zGNormal"/>
      </w:pPr>
      <w:r>
        <w:t xml:space="preserve"> Following the occurrence of an FME, as a condition to relief under Section 15.3 (</w:t>
      </w:r>
      <w:r>
        <w:rPr>
          <w:i/>
        </w:rPr>
        <w:t>No Breach or Liability</w:t>
      </w:r>
      <w:r>
        <w:t xml:space="preserve">): </w:t>
      </w:r>
    </w:p>
    <w:p w:rsidRPr="00F40F9C" w:rsidR="00F23780" w:rsidP="00C22140" w:rsidRDefault="008B55A2" w14:paraId="4EFE1B23" w14:textId="77777777">
      <w:pPr>
        <w:pStyle w:val="zGTC03"/>
        <w:rPr>
          <w:vanish/>
          <w:specVanish/>
        </w:rPr>
      </w:pPr>
      <w:r>
        <w:t xml:space="preserve">Timely Notice. </w:t>
      </w:r>
    </w:p>
    <w:p w:rsidRPr="00F40F9C" w:rsidR="00F23780" w:rsidP="00F23780" w:rsidRDefault="008B55A2" w14:paraId="0563FD83" w14:textId="77777777">
      <w:pPr>
        <w:pStyle w:val="zGNormal"/>
      </w:pPr>
      <w:r>
        <w:t>The affected Party must comply with the notice requirements of Section 15.5 (</w:t>
      </w:r>
      <w:r>
        <w:rPr>
          <w:i/>
        </w:rPr>
        <w:t>Notice</w:t>
      </w:r>
      <w:r>
        <w:rPr>
          <w:i/>
          <w:iCs/>
        </w:rPr>
        <w:t xml:space="preserve"> of FME; Updates</w:t>
      </w:r>
      <w:r>
        <w:t>).</w:t>
      </w:r>
    </w:p>
    <w:p w:rsidRPr="00F40F9C" w:rsidR="00F23780" w:rsidP="00C22140" w:rsidRDefault="008B55A2" w14:paraId="68013E5D" w14:textId="77777777">
      <w:pPr>
        <w:pStyle w:val="zGTC03"/>
        <w:rPr>
          <w:vanish/>
          <w:specVanish/>
        </w:rPr>
      </w:pPr>
      <w:r>
        <w:t xml:space="preserve">Continued Performance of Obligations. </w:t>
      </w:r>
    </w:p>
    <w:p w:rsidRPr="00F40F9C" w:rsidR="00F23780" w:rsidP="009A4B60" w:rsidRDefault="008B55A2" w14:paraId="12C26355" w14:textId="77777777">
      <w:pPr>
        <w:pStyle w:val="zGTC03"/>
        <w:numPr>
          <w:ilvl w:val="0"/>
          <w:numId w:val="0"/>
        </w:numPr>
        <w:ind w:left="648"/>
        <w:rPr>
          <w:b w:val="0"/>
          <w:bCs/>
        </w:rPr>
      </w:pPr>
      <w:r>
        <w:rPr>
          <w:b w:val="0"/>
          <w:bCs/>
        </w:rPr>
        <w:t>The affected Party will continue to perform its obligations under this PPA to the extent not affected by the FME.</w:t>
      </w:r>
    </w:p>
    <w:p w:rsidRPr="00F40F9C" w:rsidR="00F23780" w:rsidP="00C22140" w:rsidRDefault="008B55A2" w14:paraId="46697CC9" w14:textId="77777777">
      <w:pPr>
        <w:pStyle w:val="zGTC03"/>
        <w:rPr>
          <w:vanish/>
          <w:specVanish/>
        </w:rPr>
      </w:pPr>
      <w:r>
        <w:t>Reasonable Efforts to Mitigate.</w:t>
      </w:r>
    </w:p>
    <w:p w:rsidRPr="00F40F9C" w:rsidR="00F23780" w:rsidP="009A4B60" w:rsidRDefault="008B55A2" w14:paraId="57E4FABE" w14:textId="77777777">
      <w:pPr>
        <w:pStyle w:val="zGTC03"/>
        <w:numPr>
          <w:ilvl w:val="0"/>
          <w:numId w:val="0"/>
        </w:numPr>
        <w:ind w:left="648"/>
        <w:rPr>
          <w:b w:val="0"/>
          <w:bCs/>
        </w:rPr>
      </w:pPr>
      <w:r>
        <w:t xml:space="preserve"> </w:t>
      </w:r>
      <w:r>
        <w:rPr>
          <w:b w:val="0"/>
          <w:bCs/>
        </w:rPr>
        <w:t>The affected Party will remedy its inability to perform as soon as reasonably practicable, but this Section 15.6 (</w:t>
      </w:r>
      <w:r>
        <w:rPr>
          <w:b w:val="0"/>
          <w:bCs/>
          <w:i/>
        </w:rPr>
        <w:t>Requirements for Relief</w:t>
      </w:r>
      <w:r>
        <w:rPr>
          <w:b w:val="0"/>
          <w:bCs/>
        </w:rPr>
        <w:t xml:space="preserve">) will not require the </w:t>
      </w:r>
      <w:r>
        <w:rPr>
          <w:b w:val="0"/>
          <w:bCs/>
        </w:rPr>
        <w:lastRenderedPageBreak/>
        <w:t xml:space="preserve">settlement of any non-Site-specific strike, walkout, lockout, or other general labor dispute on terms which, in the sole judgment of the affected Party, are contrary to its interest. </w:t>
      </w:r>
    </w:p>
    <w:p w:rsidRPr="00F40F9C" w:rsidR="00F23780" w:rsidP="00C22140" w:rsidRDefault="008B55A2" w14:paraId="06742F0E" w14:textId="77777777">
      <w:pPr>
        <w:pStyle w:val="zGTC03"/>
        <w:rPr>
          <w:vanish/>
          <w:specVanish/>
        </w:rPr>
      </w:pPr>
      <w:r>
        <w:t>Resume Performance.</w:t>
      </w:r>
    </w:p>
    <w:p w:rsidRPr="00F40F9C" w:rsidR="00F23780" w:rsidP="00C22140" w:rsidRDefault="008B55A2" w14:paraId="323DF25F" w14:textId="68CB047A">
      <w:pPr>
        <w:pStyle w:val="zGTC03"/>
        <w:rPr>
          <w:b w:val="0"/>
          <w:bCs/>
        </w:rPr>
      </w:pPr>
      <w:r>
        <w:t xml:space="preserve"> </w:t>
      </w:r>
      <w:r>
        <w:rPr>
          <w:b w:val="0"/>
          <w:bCs/>
        </w:rPr>
        <w:t>When the affected Party can resume performance of its obligations under this PPA, the affected Party will promptly provide notice to the other Party, promptly resume such performance, and provide the other Party with a written certification from an independent, registered engineer that the FME has been cured.</w:t>
      </w:r>
    </w:p>
    <w:p w:rsidRPr="00F40F9C" w:rsidR="00F23780" w:rsidP="005C140E" w:rsidRDefault="008B55A2" w14:paraId="0D87E887" w14:textId="77777777">
      <w:pPr>
        <w:pStyle w:val="zGTC02"/>
        <w:rPr>
          <w:specVanish/>
        </w:rPr>
      </w:pPr>
      <w:bookmarkStart w:name="_Toc160749172" w:id="872"/>
      <w:bookmarkStart w:name="_Toc194937538" w:id="873"/>
      <w:bookmarkStart w:name="_Toc174624925" w:id="874"/>
      <w:bookmarkStart w:name="_Toc227451586" w:id="875"/>
      <w:r>
        <w:t>Extended FME.</w:t>
      </w:r>
      <w:bookmarkStart w:name="_Toc158593261" w:id="876"/>
      <w:bookmarkStart w:name="_Toc158597540" w:id="877"/>
      <w:bookmarkStart w:name="_Toc158720164" w:id="878"/>
      <w:bookmarkStart w:name="_Toc158722918" w:id="879"/>
      <w:bookmarkStart w:name="_Toc158929450" w:id="880"/>
      <w:bookmarkEnd w:id="872"/>
      <w:bookmarkEnd w:id="873"/>
      <w:bookmarkEnd w:id="874"/>
      <w:bookmarkEnd w:id="875"/>
      <w:bookmarkEnd w:id="876"/>
      <w:bookmarkEnd w:id="877"/>
      <w:bookmarkEnd w:id="878"/>
      <w:bookmarkEnd w:id="879"/>
      <w:bookmarkEnd w:id="880"/>
    </w:p>
    <w:p w:rsidRPr="00F40F9C" w:rsidR="00F23780" w:rsidP="00C22140" w:rsidRDefault="008B55A2" w14:paraId="31F0377E" w14:textId="77777777">
      <w:pPr>
        <w:pStyle w:val="zGTC03"/>
        <w:rPr>
          <w:vanish/>
          <w:specVanish/>
        </w:rPr>
      </w:pPr>
      <w:r>
        <w:t xml:space="preserve">Notice and Remedy Plan for Extended FME. </w:t>
      </w:r>
    </w:p>
    <w:p w:rsidRPr="00F40F9C" w:rsidR="00F23780" w:rsidP="00F23780" w:rsidRDefault="008B55A2" w14:paraId="678DBC4E" w14:textId="77777777">
      <w:pPr>
        <w:pStyle w:val="zGNormal"/>
      </w:pPr>
      <w:r>
        <w:t>If the affected Party has reason to believe that a suspension of performance due to an FME will continue for a period of six Months or longer following the initial suspension of performance resulting from the Force Majeure Event (an “</w:t>
      </w:r>
      <w:r>
        <w:rPr>
          <w:b/>
          <w:bCs/>
        </w:rPr>
        <w:t>Extended FME</w:t>
      </w:r>
      <w:r>
        <w:t>”), the affected Party must notify the other Party promptly and will submit an “</w:t>
      </w:r>
      <w:r>
        <w:rPr>
          <w:b/>
          <w:bCs/>
        </w:rPr>
        <w:t>FME Remedy Plan</w:t>
      </w:r>
      <w:r>
        <w:t xml:space="preserve">” to the other Party no later than 30 Days after the affected Party’s initial notice to the other Party. In addition, if the other Party has reason to believe that </w:t>
      </w:r>
      <w:bookmarkStart w:name="_Hlk23238942" w:id="881"/>
      <w:r>
        <w:t xml:space="preserve">an FME will be an Extended </w:t>
      </w:r>
      <w:bookmarkEnd w:id="881"/>
      <w:r>
        <w:t xml:space="preserve">FME, the other Party may request that the affected Party submit an FME Remedy Plan to the other Party, which the affected Party will submit to the requesting Party no later than 30 Days after the other Party’s request. The FME Remedy Plan must set forth a plan and schedule for remedial measures (including a description of necessary repairs, improvements, changes to operations, or other actions) to cure the effects of the FME and to enable the affected Party to </w:t>
      </w:r>
      <w:bookmarkStart w:name="_Hlk23240186" w:id="882"/>
      <w:r>
        <w:t>perform its obligations and resume full performance of the suspended obligations under this PPA as soon as reasonably practicable</w:t>
      </w:r>
      <w:bookmarkEnd w:id="882"/>
      <w:r>
        <w:t xml:space="preserve">. The affected Party must diligently pursue the performance of the FME Remedy Plan to completion. </w:t>
      </w:r>
    </w:p>
    <w:p w:rsidRPr="00F40F9C" w:rsidR="00F23780" w:rsidP="00C22140" w:rsidRDefault="008B55A2" w14:paraId="437DECE1" w14:textId="77777777">
      <w:pPr>
        <w:pStyle w:val="zGTC03"/>
        <w:rPr>
          <w:vanish/>
          <w:specVanish/>
        </w:rPr>
      </w:pPr>
      <w:r>
        <w:t>Monthly Status Reports and Updates to FME Remedy Plan.</w:t>
      </w:r>
    </w:p>
    <w:p w:rsidRPr="00F40F9C" w:rsidR="00F23780" w:rsidP="00F23780" w:rsidRDefault="008B55A2" w14:paraId="50F546D5" w14:textId="77777777">
      <w:pPr>
        <w:pStyle w:val="zGNormal"/>
        <w:tabs>
          <w:tab w:val="left" w:pos="0"/>
        </w:tabs>
      </w:pPr>
      <w:r>
        <w:rPr>
          <w:b/>
          <w:bCs/>
        </w:rPr>
        <w:t xml:space="preserve"> </w:t>
      </w:r>
      <w:r>
        <w:t>While an FME Remedy Plan is in effect, the affected Party must provide the other Party with Monthly status reports regarding the implementation of the FME Remedy Plan, any other measures to remedy the FME, any changes to the FME Remedy Plan, and the expected remaining duration of the Party’s inability to perform its obligations, and any additional relevant information as may be reasonably requested by the other Party. The affected Party must modify the FME Remedy Plan if and as needed to achieve the objective of resuming full performance of the suspended obligations under this PPA as soon as reasonably practicable.</w:t>
      </w:r>
    </w:p>
    <w:p w:rsidRPr="00F40F9C" w:rsidR="00F23780" w:rsidP="00C22140" w:rsidRDefault="008B55A2" w14:paraId="6CAB4413" w14:textId="77777777">
      <w:pPr>
        <w:pStyle w:val="zGTC03"/>
        <w:rPr>
          <w:vanish/>
          <w:specVanish/>
        </w:rPr>
      </w:pPr>
      <w:r>
        <w:t>Early Termination Resulting from an Extended FME.</w:t>
      </w:r>
    </w:p>
    <w:p w:rsidRPr="00F40F9C" w:rsidR="00F23780" w:rsidP="00F23780" w:rsidRDefault="008B55A2" w14:paraId="015F7FEC" w14:textId="4F77B73E">
      <w:pPr>
        <w:pStyle w:val="zGNormal"/>
      </w:pPr>
      <w:r>
        <w:rPr>
          <w:b/>
          <w:bCs/>
        </w:rPr>
        <w:t xml:space="preserve"> </w:t>
      </w:r>
      <w:r>
        <w:t>The Party not prevented from performing its obligations due to the FME may at any time terminate this PPA effective upon 10 Days prior notice to the affected Party if: (i) the affected Party does not or cannot provide an FME Remedy Plan as required by this Section 15.7 (</w:t>
      </w:r>
      <w:r w:rsidRPr="004B0BBF">
        <w:rPr>
          <w:i/>
        </w:rPr>
        <w:t>Extended FME</w:t>
      </w:r>
      <w:r>
        <w:t xml:space="preserve">); (ii) the affected Party does not or cannot carry out the FME Remedy Plan in a method reasonably designed to achieve the objective of resuming full performance of the suspended obligations under this PPA as soon as reasonably practicable; or (iii) the affected Party remains unable to perform the suspended PPA obligations </w:t>
      </w:r>
      <w:r w:rsidR="00F05CC6">
        <w:t xml:space="preserve">for </w:t>
      </w:r>
      <w:r>
        <w:t xml:space="preserve">12 Months </w:t>
      </w:r>
      <w:bookmarkStart w:name="_Hlk23239141" w:id="883"/>
      <w:r>
        <w:t xml:space="preserve">following the date of initial suspension of performance resulting from the </w:t>
      </w:r>
      <w:bookmarkEnd w:id="883"/>
      <w:r>
        <w:t>FME. For purposes of subsection (iii) of this Section 15.7.3, the 12-Month period need not be continuous only if each period of suspension of performance comprising the 12-Month period is the result of a common cause such that, if the cause had been cured following the first suspension of performance, the additional suspensions of performance would not have occurred.</w:t>
      </w:r>
    </w:p>
    <w:p w:rsidRPr="00F40F9C" w:rsidR="00F23780" w:rsidP="00C22140" w:rsidRDefault="008B55A2" w14:paraId="47BB2D51" w14:textId="77777777">
      <w:pPr>
        <w:pStyle w:val="zGTC03"/>
        <w:rPr>
          <w:vanish/>
          <w:specVanish/>
        </w:rPr>
      </w:pPr>
      <w:r>
        <w:t>Liability following Termination.</w:t>
      </w:r>
    </w:p>
    <w:p w:rsidRPr="00F40F9C" w:rsidR="002D54C4" w:rsidP="00F23780" w:rsidRDefault="008B55A2" w14:paraId="72C6592F" w14:textId="77777777">
      <w:pPr>
        <w:pStyle w:val="zGNormal"/>
      </w:pPr>
      <w:r>
        <w:t xml:space="preserve"> Upon any termination of this PPA as provided in Section 15.7.3 (</w:t>
      </w:r>
      <w:r>
        <w:rPr>
          <w:i/>
        </w:rPr>
        <w:t>Early Termination Resulting from an Extended FME</w:t>
      </w:r>
      <w:r>
        <w:t>), the Parties will have no further liability or obligation to each other except for any obligation arising prior to the date of the termination or as provided in Section 1.2 (</w:t>
      </w:r>
      <w:r>
        <w:rPr>
          <w:i/>
        </w:rPr>
        <w:t>Survival</w:t>
      </w:r>
      <w:r>
        <w:t>).</w:t>
      </w:r>
    </w:p>
    <w:p w:rsidRPr="00F40F9C" w:rsidR="002D54C4" w:rsidP="004B0BBF" w:rsidRDefault="008B55A2" w14:paraId="3E5866CC" w14:textId="77777777">
      <w:pPr>
        <w:pStyle w:val="zGTC01"/>
        <w:tabs>
          <w:tab w:val="clear" w:pos="3762"/>
        </w:tabs>
        <w:ind w:left="1080"/>
      </w:pPr>
      <w:bookmarkStart w:name="_Toc160749173" w:id="884"/>
      <w:bookmarkStart w:name="_Toc194937539" w:id="885"/>
      <w:bookmarkStart w:name="_Toc174624926" w:id="886"/>
      <w:bookmarkStart w:name="_Toc227451587" w:id="887"/>
      <w:r>
        <w:t>Default and Remedies</w:t>
      </w:r>
      <w:bookmarkEnd w:id="884"/>
      <w:bookmarkEnd w:id="885"/>
      <w:bookmarkEnd w:id="886"/>
      <w:bookmarkEnd w:id="887"/>
    </w:p>
    <w:p w:rsidRPr="00F40F9C" w:rsidR="00A23C85" w:rsidP="00A23C85" w:rsidRDefault="008B55A2" w14:paraId="606C6A5D" w14:textId="77777777">
      <w:pPr>
        <w:pStyle w:val="zGTC02"/>
        <w:rPr>
          <w:rFonts w:ascii="Arial" w:hAnsi="Arial" w:cs="Arial"/>
          <w:vanish/>
          <w:specVanish/>
        </w:rPr>
      </w:pPr>
      <w:bookmarkStart w:name="_Toc160749174" w:id="888"/>
      <w:bookmarkStart w:name="_Toc194937540" w:id="889"/>
      <w:bookmarkStart w:name="_Toc174624927" w:id="890"/>
      <w:bookmarkStart w:name="_Toc227451588" w:id="891"/>
      <w:r>
        <w:rPr>
          <w:rFonts w:ascii="Arial" w:hAnsi="Arial" w:cs="Arial"/>
        </w:rPr>
        <w:t>Default by Seller.</w:t>
      </w:r>
      <w:bookmarkStart w:name="_Toc158593263" w:id="892"/>
      <w:bookmarkStart w:name="_Toc158597542" w:id="893"/>
      <w:bookmarkStart w:name="_Toc158720166" w:id="894"/>
      <w:bookmarkStart w:name="_Toc158722920" w:id="895"/>
      <w:bookmarkStart w:name="_Toc158929452" w:id="896"/>
      <w:bookmarkEnd w:id="888"/>
      <w:bookmarkEnd w:id="889"/>
      <w:bookmarkEnd w:id="890"/>
      <w:bookmarkEnd w:id="891"/>
      <w:bookmarkEnd w:id="892"/>
      <w:bookmarkEnd w:id="893"/>
      <w:bookmarkEnd w:id="894"/>
      <w:bookmarkEnd w:id="895"/>
      <w:bookmarkEnd w:id="896"/>
    </w:p>
    <w:p w:rsidRPr="00F40F9C" w:rsidR="00A23C85" w:rsidP="00A23C85" w:rsidRDefault="008B55A2" w14:paraId="3A394BDA" w14:textId="77777777">
      <w:pPr>
        <w:pStyle w:val="zGNormal"/>
      </w:pPr>
      <w:r>
        <w:t xml:space="preserve"> The occurrence of any of the following events will constitute a Seller Event of Default:</w:t>
      </w:r>
    </w:p>
    <w:p w:rsidRPr="00F40F9C" w:rsidR="009009FD" w:rsidP="00C22140" w:rsidRDefault="008B55A2" w14:paraId="431FAA69" w14:textId="77777777">
      <w:pPr>
        <w:pStyle w:val="zGTC03"/>
        <w:rPr>
          <w:vanish/>
          <w:specVanish/>
        </w:rPr>
      </w:pPr>
      <w:bookmarkStart w:name="_Toc160749175" w:id="897"/>
      <w:r>
        <w:t>Incorrect Representation or Warranty.</w:t>
      </w:r>
    </w:p>
    <w:p w:rsidRPr="00F40F9C" w:rsidR="009009FD" w:rsidP="009009FD" w:rsidRDefault="008B55A2" w14:paraId="30D94B2C" w14:textId="3EBDA26F">
      <w:pPr>
        <w:pStyle w:val="zGNormal"/>
      </w:pPr>
      <w:r>
        <w:t xml:space="preserve"> Any Seller representation or warranty in this PPA or in any certificate or other document delivered to GPC in accordance with this PPA proves to be </w:t>
      </w:r>
      <w:r>
        <w:lastRenderedPageBreak/>
        <w:t xml:space="preserve">incorrect in any material respect when made, unless Seller promptly commences and diligently pursues action to cause the representation or warranty to become true in all material respects and does so within 30 Days after GPC provides Seller notice of the incorrect representation or warranty (unless the cure is not capable of being accomplished within the 30 Days, in which case Seller will have an additional 30 Days to perform the cure) and the cure removes any material adverse effect on GPC of the incorrect representation or warranty. However, no Event of Default by Seller will occur under this Section 16.1.1 regarding: (i) </w:t>
      </w:r>
      <w:r w:rsidR="00221608">
        <w:t xml:space="preserve">any certificate provided under </w:t>
      </w:r>
      <w:r>
        <w:t>Section 2.1.8 (</w:t>
      </w:r>
      <w:r>
        <w:rPr>
          <w:i/>
        </w:rPr>
        <w:t>VIE</w:t>
      </w:r>
      <w:r w:rsidR="00B82316">
        <w:rPr>
          <w:i/>
        </w:rPr>
        <w:t xml:space="preserve"> </w:t>
      </w:r>
      <w:r>
        <w:rPr>
          <w:i/>
        </w:rPr>
        <w:t>Certification</w:t>
      </w:r>
      <w:r>
        <w:t>) if Seller cooperates with GPC during the cure period and Seller takes commercially reasonable actions (without causing a material adverse effect on GPC) necessary to bring about a determination by GPC and its independent auditor that Seller does not constitute a VIE for which GPC is the Primary Beneficiary as a result of this PPA; or (</w:t>
      </w:r>
      <w:r w:rsidR="00E0616A">
        <w:t>ii</w:t>
      </w:r>
      <w:r>
        <w:t>) Section 2.1.14 (</w:t>
      </w:r>
      <w:r>
        <w:rPr>
          <w:i/>
        </w:rPr>
        <w:t>Environmental Compliance Certification</w:t>
      </w:r>
      <w:r>
        <w:t xml:space="preserve">) if GPC determines in its sole discretion, that the incorrect representation, warranty, or covenant is not material, Seller cooperates with GPC during the cure period, and Seller takes commercially reasonable actions (without causing a material adverse effect on GPC) necessary to correct the immaterial representation, warranty, or covenant to GPC’s satisfaction. </w:t>
      </w:r>
    </w:p>
    <w:p w:rsidRPr="00F40F9C" w:rsidR="009009FD" w:rsidP="00C22140" w:rsidRDefault="008B55A2" w14:paraId="1B25A656" w14:textId="77777777">
      <w:pPr>
        <w:pStyle w:val="zGTC03"/>
        <w:rPr>
          <w:vanish/>
          <w:specVanish/>
        </w:rPr>
      </w:pPr>
      <w:r>
        <w:t xml:space="preserve">Involuntary Bankruptcy, Insolvency, or Reorganization. </w:t>
      </w:r>
    </w:p>
    <w:p w:rsidRPr="00F40F9C" w:rsidR="009009FD" w:rsidP="009009FD" w:rsidRDefault="008B55A2" w14:paraId="0E6AF26F" w14:textId="0B894CF4">
      <w:pPr>
        <w:pStyle w:val="zGNormal"/>
      </w:pPr>
      <w:r>
        <w:rPr>
          <w:b/>
        </w:rPr>
        <w:t xml:space="preserve"> </w:t>
      </w:r>
      <w:r>
        <w:t>A court having jurisdiction enters: (i) a decree or order for relief in respect of Seller in an involuntary case or proceeding under any applicable Federal or state bankruptcy, insolvency, reorganization, or other similar law; or (ii) a decree or order, the entry of which was sought by an entity other than Seller, adjudicating Seller bankrupt or insolvent, or approving as properly filed a petition seeking reorganization, arrangement, adjustment, or composition of or in respect of Seller under any applicable Federal or state law, or appointing a custodian, receiver, liquidator, assignee, trustee, sequestrator, or other similar official of Seller or of any substantial part of its affairs</w:t>
      </w:r>
      <w:r w:rsidR="00CA13D6">
        <w:t xml:space="preserve"> and the proceeding is not stayed or dismissed within 60 Days</w:t>
      </w:r>
      <w:r>
        <w:t>.</w:t>
      </w:r>
    </w:p>
    <w:p w:rsidRPr="00F40F9C" w:rsidR="009009FD" w:rsidP="00C22140" w:rsidRDefault="008B55A2" w14:paraId="37E340DA" w14:textId="77777777">
      <w:pPr>
        <w:pStyle w:val="zGTC03"/>
        <w:rPr>
          <w:vanish/>
          <w:specVanish/>
        </w:rPr>
      </w:pPr>
      <w:r>
        <w:t>Voluntary Bankruptcy, Insolvency or Reorganization.</w:t>
      </w:r>
    </w:p>
    <w:p w:rsidRPr="00F40F9C" w:rsidR="009009FD" w:rsidP="009009FD" w:rsidRDefault="008B55A2" w14:paraId="243BAB56" w14:textId="77777777">
      <w:pPr>
        <w:pStyle w:val="zGNormal"/>
      </w:pPr>
      <w:r>
        <w:rPr>
          <w:b/>
        </w:rPr>
        <w:t xml:space="preserve"> </w:t>
      </w:r>
      <w:r>
        <w:t>Seller: (i)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Seller in any involuntary case or proceeding under any applicable federal or state bankruptcy, insolvency, reorganization, or other similar law or to the commencement of any bankruptcy or insolvency case or proceeding against Seller; (iii) files any petition, answer, or consent seeking reorganization or similar relief under any applicable federal or state law, which, if granted would have the effect of relieving Seller of any of its obligations; (iv) consents to the filing of any petition or to the appointment of or taking possession by a custodian, receiver, liquidator, assignee, trustee, sequestrator, or similar official of Seller or of any substantial part of its property; (v) makes an assignment for the benefit of creditors; (vi) admits in writing its inability to generally pay its debts as they become due; or (vii) takes any action in furtherance of any of the preceding.</w:t>
      </w:r>
    </w:p>
    <w:p w:rsidRPr="00F40F9C" w:rsidR="009009FD" w:rsidP="00C22140" w:rsidRDefault="008B55A2" w14:paraId="2028C84D" w14:textId="77777777">
      <w:pPr>
        <w:pStyle w:val="zGTC03"/>
        <w:rPr>
          <w:vanish/>
          <w:specVanish/>
        </w:rPr>
      </w:pPr>
      <w:r>
        <w:t>Failure to Comply with Performance Security Requirements.</w:t>
      </w:r>
    </w:p>
    <w:p w:rsidRPr="00F40F9C" w:rsidR="009009FD" w:rsidP="009009FD" w:rsidRDefault="008B55A2" w14:paraId="57990571" w14:textId="0C0D5F28">
      <w:pPr>
        <w:pStyle w:val="zGNormal"/>
      </w:pPr>
      <w:r>
        <w:t xml:space="preserve"> (i) Seller fails to comply or cause compliance with Performance Security requirements of Section 6.1 (</w:t>
      </w:r>
      <w:r>
        <w:rPr>
          <w:i/>
        </w:rPr>
        <w:t>Performance Security</w:t>
      </w:r>
      <w:r>
        <w:t>); or (ii) Seller Guarantor breaches any of its obligations under the Seller Guaranty or if any representation or warranty Seller Guarantor made in the Seller Guaranty is incorrect in any material respect when made, unless Seller cures any of the preceding by the end of the fifth Business Day following Seller’s receipt of GPC’s notice of a failure under this Section 16.1.4.</w:t>
      </w:r>
    </w:p>
    <w:p w:rsidRPr="00F40F9C" w:rsidR="009009FD" w:rsidP="00C22140" w:rsidRDefault="008B55A2" w14:paraId="2472A73B" w14:textId="77777777">
      <w:pPr>
        <w:pStyle w:val="zGTC03"/>
        <w:rPr>
          <w:vanish/>
          <w:specVanish/>
        </w:rPr>
      </w:pPr>
      <w:r>
        <w:t>Failure to Comply with Other Material PPA Terms.</w:t>
      </w:r>
    </w:p>
    <w:p w:rsidRPr="00F40F9C" w:rsidR="009009FD" w:rsidP="009009FD" w:rsidRDefault="008B55A2" w14:paraId="5D863A7A" w14:textId="7141D8BA">
      <w:pPr>
        <w:pStyle w:val="zGNormal"/>
      </w:pPr>
      <w:r>
        <w:t xml:space="preserve"> Seller fails to perform or observe any material PPA obligation of Seller, other than those obligations specifically addressed in this Section 16.1 (</w:t>
      </w:r>
      <w:r>
        <w:rPr>
          <w:i/>
        </w:rPr>
        <w:t>Default By Seller</w:t>
      </w:r>
      <w:r>
        <w:t xml:space="preserve">), which failure continues for a period of 30 Days after notice </w:t>
      </w:r>
      <w:r w:rsidR="00532D2C">
        <w:t xml:space="preserve">of the failure </w:t>
      </w:r>
      <w:r>
        <w:t>from GPC, unless the cure is not capable of being effected within a 30-Day period, in which case Seller will have an additional 60-Day period in which to perform the cure, so long as the cure is diligently pursued.</w:t>
      </w:r>
    </w:p>
    <w:p w:rsidRPr="00F40F9C" w:rsidR="009009FD" w:rsidP="00C22140" w:rsidRDefault="008B55A2" w14:paraId="017E556E" w14:textId="77777777">
      <w:pPr>
        <w:pStyle w:val="zGTC03"/>
        <w:rPr>
          <w:vanish/>
          <w:specVanish/>
        </w:rPr>
      </w:pPr>
      <w:r>
        <w:t>Failure To Comply with PPA Assignment Requirements.</w:t>
      </w:r>
    </w:p>
    <w:p w:rsidRPr="00F40F9C" w:rsidR="009009FD" w:rsidP="009009FD" w:rsidRDefault="008B55A2" w14:paraId="66A02125" w14:textId="235BC546">
      <w:pPr>
        <w:pStyle w:val="zGNormal"/>
      </w:pPr>
      <w:r>
        <w:t xml:space="preserve"> Seller violates the requirements of Part 18 (</w:t>
      </w:r>
      <w:r>
        <w:rPr>
          <w:i/>
        </w:rPr>
        <w:t>Assignment, Transfers, and Changes of Control</w:t>
      </w:r>
      <w:r>
        <w:t xml:space="preserve">) through an </w:t>
      </w:r>
      <w:r w:rsidR="006B20A8">
        <w:t>unpermitted</w:t>
      </w:r>
      <w:r>
        <w:t xml:space="preserve"> assignment or </w:t>
      </w:r>
      <w:r>
        <w:lastRenderedPageBreak/>
        <w:t>transfer of this PPA or an ownership interest in the Facility or through a Change of Control Transaction.</w:t>
      </w:r>
    </w:p>
    <w:p w:rsidRPr="00F40F9C" w:rsidR="009009FD" w:rsidP="00C22140" w:rsidRDefault="008B55A2" w14:paraId="28246D86" w14:textId="77777777">
      <w:pPr>
        <w:pStyle w:val="zGTC03"/>
        <w:rPr>
          <w:vanish/>
          <w:specVanish/>
        </w:rPr>
      </w:pPr>
      <w:r>
        <w:t>Failure to Pay Amounts Due to GPC.</w:t>
      </w:r>
    </w:p>
    <w:p w:rsidRPr="00F40F9C" w:rsidR="009009FD" w:rsidP="009009FD" w:rsidRDefault="008B55A2" w14:paraId="188A6DE5" w14:textId="062452D5">
      <w:pPr>
        <w:pStyle w:val="zGNormal"/>
      </w:pPr>
      <w:r>
        <w:rPr>
          <w:b/>
        </w:rPr>
        <w:t xml:space="preserve"> </w:t>
      </w:r>
      <w:r>
        <w:t xml:space="preserve">Seller fails, by the due date, to pay GPC any undisputed amount payable by Seller to GPC </w:t>
      </w:r>
      <w:r w:rsidR="006C66FD">
        <w:t xml:space="preserve">in accordance with </w:t>
      </w:r>
      <w:r>
        <w:t>this PPA and fails to cure the failure to pay within 15 Days after receipt of written demand from GPC.</w:t>
      </w:r>
    </w:p>
    <w:p w:rsidRPr="00F40F9C" w:rsidR="009009FD" w:rsidP="00C22140" w:rsidRDefault="008B55A2" w14:paraId="11A6B739" w14:textId="02186446">
      <w:pPr>
        <w:pStyle w:val="zGTC03"/>
        <w:rPr>
          <w:vanish/>
          <w:specVanish/>
        </w:rPr>
      </w:pPr>
      <w:r>
        <w:t>Storage Performance Metric Achieved Below .60</w:t>
      </w:r>
    </w:p>
    <w:p w:rsidR="008E3892" w:rsidP="00A14429" w:rsidRDefault="008B55A2" w14:paraId="2575B602" w14:textId="144012DE">
      <w:pPr>
        <w:pStyle w:val="zGNormal"/>
      </w:pPr>
      <w:r>
        <w:t>. The Storage Performance Metric Achieved, as calculated by GPC in accordance with Exhibit C (</w:t>
      </w:r>
      <w:r>
        <w:rPr>
          <w:i/>
        </w:rPr>
        <w:t>Monthly Capacity Payments; Monthly Capacity Reductions; AGC Performance Metrics and Requirements</w:t>
      </w:r>
      <w:r>
        <w:t xml:space="preserve">), is below .6 for any three consecutive Months period or six Months in any 12 Month period, with either event being a separate </w:t>
      </w:r>
      <w:r w:rsidR="005808FA">
        <w:t xml:space="preserve">cause for a </w:t>
      </w:r>
      <w:r w:rsidR="00970ECD">
        <w:t>Seller Event of D</w:t>
      </w:r>
      <w:r>
        <w:t xml:space="preserve">efault, and Seller fails to cure the </w:t>
      </w:r>
      <w:r w:rsidR="00D21E69">
        <w:t>applicable</w:t>
      </w:r>
      <w:r>
        <w:t xml:space="preserve"> default as described in th</w:t>
      </w:r>
      <w:r w:rsidR="00D21E69">
        <w:t>is Section 16.1.8</w:t>
      </w:r>
      <w:r>
        <w:t xml:space="preserve">. </w:t>
      </w:r>
    </w:p>
    <w:p w:rsidRPr="008E3892" w:rsidR="008E3892" w:rsidP="000907B6" w:rsidRDefault="008E3892" w14:paraId="181DA332" w14:textId="3D129934">
      <w:pPr>
        <w:numPr>
          <w:ilvl w:val="3"/>
          <w:numId w:val="44"/>
        </w:numPr>
        <w:spacing w:before="120" w:after="0" w:line="240" w:lineRule="auto"/>
        <w:jc w:val="both"/>
        <w:rPr>
          <w:rFonts w:ascii="Arial" w:hAnsi="Arial" w:eastAsia="Times New Roman" w:cs="Times New Roman"/>
          <w:kern w:val="14"/>
          <w:sz w:val="20"/>
          <w:szCs w:val="24"/>
        </w:rPr>
      </w:pPr>
      <w:r w:rsidRPr="008E3892">
        <w:rPr>
          <w:rFonts w:ascii="Arial" w:hAnsi="Arial" w:eastAsia="Times New Roman" w:cs="Times New Roman"/>
          <w:kern w:val="14"/>
          <w:sz w:val="20"/>
          <w:szCs w:val="24"/>
        </w:rPr>
        <w:t xml:space="preserve">Seller must: (a) by no later than 10 Days after the applicable default first occurs, submit to GPC a written cure plan identifying the cause of the deficiency and the plan to be implemented by Seller to cure the deficient Storage Performance Metric Achieved; and (b) cure the default within </w:t>
      </w:r>
      <w:r w:rsidR="00710513">
        <w:rPr>
          <w:rFonts w:ascii="Arial" w:hAnsi="Arial" w:eastAsia="Times New Roman" w:cs="Times New Roman"/>
          <w:kern w:val="14"/>
          <w:sz w:val="20"/>
          <w:szCs w:val="24"/>
        </w:rPr>
        <w:t>the Cure Period</w:t>
      </w:r>
      <w:r w:rsidRPr="008E3892">
        <w:rPr>
          <w:rFonts w:ascii="Arial" w:hAnsi="Arial" w:eastAsia="Times New Roman" w:cs="Times New Roman"/>
          <w:kern w:val="14"/>
          <w:sz w:val="20"/>
          <w:szCs w:val="24"/>
        </w:rPr>
        <w:t xml:space="preserve"> after the applicable default first occurs. The </w:t>
      </w:r>
      <w:r w:rsidR="00DA5713">
        <w:rPr>
          <w:rFonts w:ascii="Arial" w:hAnsi="Arial" w:eastAsia="Times New Roman" w:cs="Times New Roman"/>
          <w:kern w:val="14"/>
          <w:sz w:val="20"/>
          <w:szCs w:val="24"/>
        </w:rPr>
        <w:t>Cure Period</w:t>
      </w:r>
      <w:r w:rsidR="00B916B9">
        <w:rPr>
          <w:rFonts w:ascii="Arial" w:hAnsi="Arial" w:eastAsia="Times New Roman" w:cs="Times New Roman"/>
          <w:kern w:val="14"/>
          <w:sz w:val="20"/>
          <w:szCs w:val="24"/>
        </w:rPr>
        <w:t xml:space="preserve"> is</w:t>
      </w:r>
      <w:r w:rsidRPr="008E3892">
        <w:rPr>
          <w:rFonts w:ascii="Arial" w:hAnsi="Arial" w:eastAsia="Times New Roman" w:cs="Times New Roman"/>
          <w:kern w:val="14"/>
          <w:sz w:val="20"/>
          <w:szCs w:val="24"/>
        </w:rPr>
        <w:t xml:space="preserve"> subject to Seller diligently seeking </w:t>
      </w:r>
      <w:r w:rsidR="00C07C7E">
        <w:rPr>
          <w:rFonts w:ascii="Arial" w:hAnsi="Arial" w:eastAsia="Times New Roman" w:cs="Times New Roman"/>
          <w:kern w:val="14"/>
          <w:sz w:val="20"/>
          <w:szCs w:val="24"/>
        </w:rPr>
        <w:t>to</w:t>
      </w:r>
      <w:r w:rsidRPr="008E3892">
        <w:rPr>
          <w:rFonts w:ascii="Arial" w:hAnsi="Arial" w:eastAsia="Times New Roman" w:cs="Times New Roman"/>
          <w:kern w:val="14"/>
          <w:sz w:val="20"/>
          <w:szCs w:val="24"/>
        </w:rPr>
        <w:t xml:space="preserve"> cure the applicable default beginning with the instance that the Storage Performance Metric Achieved was below .6 (for clarity, even if the applicable default has not yet occurred).</w:t>
      </w:r>
    </w:p>
    <w:p w:rsidRPr="008E3892" w:rsidR="008E3892" w:rsidP="000907B6" w:rsidRDefault="008E3892" w14:paraId="440A6A70" w14:textId="3B9B335F">
      <w:pPr>
        <w:numPr>
          <w:ilvl w:val="3"/>
          <w:numId w:val="44"/>
        </w:numPr>
        <w:spacing w:before="120" w:after="0" w:line="240" w:lineRule="auto"/>
        <w:jc w:val="both"/>
        <w:rPr>
          <w:rFonts w:ascii="Arial" w:hAnsi="Arial" w:eastAsia="Times New Roman" w:cs="Times New Roman"/>
          <w:kern w:val="14"/>
          <w:sz w:val="20"/>
          <w:szCs w:val="24"/>
        </w:rPr>
      </w:pPr>
      <w:r w:rsidRPr="008E3892">
        <w:rPr>
          <w:rFonts w:ascii="Arial" w:hAnsi="Arial" w:eastAsia="Times New Roman" w:cs="Times New Roman"/>
          <w:kern w:val="14"/>
          <w:sz w:val="20"/>
          <w:szCs w:val="24"/>
        </w:rPr>
        <w:t xml:space="preserve"> If Seller establishes a cure plan as described in 16.1.8(i) but requires a </w:t>
      </w:r>
      <w:r w:rsidR="00B916B9">
        <w:rPr>
          <w:rFonts w:ascii="Arial" w:hAnsi="Arial" w:eastAsia="Times New Roman" w:cs="Times New Roman"/>
          <w:kern w:val="14"/>
          <w:sz w:val="20"/>
          <w:szCs w:val="24"/>
        </w:rPr>
        <w:t>Cure Period</w:t>
      </w:r>
      <w:r w:rsidRPr="008E3892">
        <w:rPr>
          <w:rFonts w:ascii="Arial" w:hAnsi="Arial" w:eastAsia="Times New Roman" w:cs="Times New Roman"/>
          <w:kern w:val="14"/>
          <w:sz w:val="20"/>
          <w:szCs w:val="24"/>
        </w:rPr>
        <w:t xml:space="preserve"> of more than 180 Days, GPC will agree to extend the </w:t>
      </w:r>
      <w:r w:rsidR="00C84B11">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C84B11">
        <w:rPr>
          <w:rFonts w:ascii="Arial" w:hAnsi="Arial" w:eastAsia="Times New Roman" w:cs="Times New Roman"/>
          <w:kern w:val="14"/>
          <w:sz w:val="20"/>
          <w:szCs w:val="24"/>
        </w:rPr>
        <w:t>P</w:t>
      </w:r>
      <w:r w:rsidRPr="008E3892">
        <w:rPr>
          <w:rFonts w:ascii="Arial" w:hAnsi="Arial" w:eastAsia="Times New Roman" w:cs="Times New Roman"/>
          <w:kern w:val="14"/>
          <w:sz w:val="20"/>
          <w:szCs w:val="24"/>
        </w:rPr>
        <w:t xml:space="preserve">eriod up to an additional 180 Days for a total </w:t>
      </w:r>
      <w:r w:rsidR="002F2AFC">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2F2AFC">
        <w:rPr>
          <w:rFonts w:ascii="Arial" w:hAnsi="Arial" w:eastAsia="Times New Roman" w:cs="Times New Roman"/>
          <w:kern w:val="14"/>
          <w:sz w:val="20"/>
          <w:szCs w:val="24"/>
        </w:rPr>
        <w:t>P</w:t>
      </w:r>
      <w:r w:rsidRPr="008E3892">
        <w:rPr>
          <w:rFonts w:ascii="Arial" w:hAnsi="Arial" w:eastAsia="Times New Roman" w:cs="Times New Roman"/>
          <w:kern w:val="14"/>
          <w:sz w:val="20"/>
          <w:szCs w:val="24"/>
        </w:rPr>
        <w:t xml:space="preserve">eriod not to exceed 360 Days so long as Seller: (a) provides a written certification to GPC before the expiration of the initial </w:t>
      </w:r>
      <w:r w:rsidR="00D9754C">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D9754C">
        <w:rPr>
          <w:rFonts w:ascii="Arial" w:hAnsi="Arial" w:eastAsia="Times New Roman" w:cs="Times New Roman"/>
          <w:kern w:val="14"/>
          <w:sz w:val="20"/>
          <w:szCs w:val="24"/>
        </w:rPr>
        <w:t>P</w:t>
      </w:r>
      <w:r w:rsidRPr="008E3892">
        <w:rPr>
          <w:rFonts w:ascii="Arial" w:hAnsi="Arial" w:eastAsia="Times New Roman" w:cs="Times New Roman"/>
          <w:kern w:val="14"/>
          <w:sz w:val="20"/>
          <w:szCs w:val="24"/>
        </w:rPr>
        <w:t xml:space="preserve">eriod demonstrating that Seller requires additional time to cure the default despite Seller’s diligent efforts; (b) provides reasonable substantiation supporting Seller’s certification, including any documentation explaining the cause of the deficiency and the plan to cure the default, including manufacturer reports, failure analyses, other relevant third-party documentation, and other documentation reasonably requested by GPC, in each case subject to Seller’s confidentiality obligations; (c) the default is capable of cure within the extended </w:t>
      </w:r>
      <w:r w:rsidR="00116815">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116815">
        <w:rPr>
          <w:rFonts w:ascii="Arial" w:hAnsi="Arial" w:eastAsia="Times New Roman" w:cs="Times New Roman"/>
          <w:kern w:val="14"/>
          <w:sz w:val="20"/>
          <w:szCs w:val="24"/>
        </w:rPr>
        <w:t>P</w:t>
      </w:r>
      <w:r w:rsidRPr="008E3892">
        <w:rPr>
          <w:rFonts w:ascii="Arial" w:hAnsi="Arial" w:eastAsia="Times New Roman" w:cs="Times New Roman"/>
          <w:kern w:val="14"/>
          <w:sz w:val="20"/>
          <w:szCs w:val="24"/>
        </w:rPr>
        <w:t xml:space="preserve">eriod; and (d) Seller has exercised diligent efforts to cure the default throughout the </w:t>
      </w:r>
      <w:r w:rsidR="00116815">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116815">
        <w:rPr>
          <w:rFonts w:ascii="Arial" w:hAnsi="Arial" w:eastAsia="Times New Roman" w:cs="Times New Roman"/>
          <w:kern w:val="14"/>
          <w:sz w:val="20"/>
          <w:szCs w:val="24"/>
        </w:rPr>
        <w:t>P</w:t>
      </w:r>
      <w:r w:rsidRPr="008E3892">
        <w:rPr>
          <w:rFonts w:ascii="Arial" w:hAnsi="Arial" w:eastAsia="Times New Roman" w:cs="Times New Roman"/>
          <w:kern w:val="14"/>
          <w:sz w:val="20"/>
          <w:szCs w:val="24"/>
        </w:rPr>
        <w:t xml:space="preserve">eriod and continues to exercise diligent efforts to cure the default throughout the extended </w:t>
      </w:r>
      <w:r w:rsidR="00D71E24">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D71E24">
        <w:rPr>
          <w:rFonts w:ascii="Arial" w:hAnsi="Arial" w:eastAsia="Times New Roman" w:cs="Times New Roman"/>
          <w:kern w:val="14"/>
          <w:sz w:val="20"/>
          <w:szCs w:val="24"/>
        </w:rPr>
        <w:t>P</w:t>
      </w:r>
      <w:r w:rsidRPr="008E3892">
        <w:rPr>
          <w:rFonts w:ascii="Arial" w:hAnsi="Arial" w:eastAsia="Times New Roman" w:cs="Times New Roman"/>
          <w:kern w:val="14"/>
          <w:sz w:val="20"/>
          <w:szCs w:val="24"/>
        </w:rPr>
        <w:t>eriod.</w:t>
      </w:r>
    </w:p>
    <w:p w:rsidRPr="00FC584B" w:rsidR="008E3892" w:rsidP="000907B6" w:rsidRDefault="008E3892" w14:paraId="27CBE9CE" w14:textId="5241CAB4">
      <w:pPr>
        <w:numPr>
          <w:ilvl w:val="3"/>
          <w:numId w:val="44"/>
        </w:numPr>
        <w:spacing w:before="120" w:after="0" w:line="240" w:lineRule="auto"/>
        <w:jc w:val="both"/>
        <w:rPr>
          <w:rFonts w:ascii="Arial" w:hAnsi="Arial" w:eastAsia="Times New Roman" w:cs="Times New Roman"/>
          <w:kern w:val="14"/>
          <w:sz w:val="20"/>
          <w:szCs w:val="24"/>
        </w:rPr>
      </w:pPr>
      <w:r w:rsidRPr="008E3892">
        <w:rPr>
          <w:rFonts w:ascii="Arial" w:hAnsi="Arial" w:eastAsia="Times New Roman" w:cs="Times New Roman"/>
          <w:kern w:val="14"/>
          <w:sz w:val="20"/>
          <w:szCs w:val="24"/>
        </w:rPr>
        <w:t xml:space="preserve">For the default to be cured, Seller must provide a written certification to GPC before the expiration of the applicable </w:t>
      </w:r>
      <w:r w:rsidR="00D71E24">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D71E24">
        <w:rPr>
          <w:rFonts w:ascii="Arial" w:hAnsi="Arial" w:eastAsia="Times New Roman" w:cs="Times New Roman"/>
          <w:kern w:val="14"/>
          <w:sz w:val="20"/>
          <w:szCs w:val="24"/>
        </w:rPr>
        <w:t>P</w:t>
      </w:r>
      <w:r w:rsidRPr="008E3892">
        <w:rPr>
          <w:rFonts w:ascii="Arial" w:hAnsi="Arial" w:eastAsia="Times New Roman" w:cs="Times New Roman"/>
          <w:kern w:val="14"/>
          <w:sz w:val="20"/>
          <w:szCs w:val="24"/>
        </w:rPr>
        <w:t>eriod that all causes of the default have been sufficiently cured such that the Facility is capable of achieving a Storage Performance Metric Achieved of 0.6 or greater (“</w:t>
      </w:r>
      <w:r w:rsidRPr="008E3892">
        <w:rPr>
          <w:rFonts w:ascii="Arial" w:hAnsi="Arial" w:eastAsia="Times New Roman" w:cs="Times New Roman"/>
          <w:b/>
          <w:bCs/>
          <w:kern w:val="14"/>
          <w:sz w:val="20"/>
          <w:szCs w:val="24"/>
        </w:rPr>
        <w:t>Cure Certification</w:t>
      </w:r>
      <w:r w:rsidRPr="008E3892">
        <w:rPr>
          <w:rFonts w:ascii="Arial" w:hAnsi="Arial" w:eastAsia="Times New Roman" w:cs="Times New Roman"/>
          <w:kern w:val="14"/>
          <w:sz w:val="20"/>
          <w:szCs w:val="24"/>
        </w:rPr>
        <w:t xml:space="preserve">”) along with reasonable documentation substantiating Seller’s certification that the default was cured. Seller must provide to GPC any documentation reasonably requested by GPC concerning such certification. If the Facility achieves a Storage Performance Metric Achieved of 0.6 or greater in each of the three consecutive Months immediately following Seller’s written certification that it has cured all causes of the default, then the default will be deemed to have been cured during the </w:t>
      </w:r>
      <w:r w:rsidR="00C20FC3">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C20FC3">
        <w:rPr>
          <w:rFonts w:ascii="Arial" w:hAnsi="Arial" w:eastAsia="Times New Roman" w:cs="Times New Roman"/>
          <w:kern w:val="14"/>
          <w:sz w:val="20"/>
          <w:szCs w:val="24"/>
        </w:rPr>
        <w:t>P</w:t>
      </w:r>
      <w:r w:rsidRPr="008E3892">
        <w:rPr>
          <w:rFonts w:ascii="Arial" w:hAnsi="Arial" w:eastAsia="Times New Roman" w:cs="Times New Roman"/>
          <w:kern w:val="14"/>
          <w:sz w:val="20"/>
          <w:szCs w:val="24"/>
        </w:rPr>
        <w:t>eriod, and any Month before Seller’s written certification for which the Storage Performance Metric was below 0.6 will no longer be considered for purposes of this Section 16.1.8 (</w:t>
      </w:r>
      <w:r w:rsidRPr="008E3892">
        <w:rPr>
          <w:rFonts w:ascii="Arial" w:hAnsi="Arial" w:eastAsia="Times New Roman" w:cs="Times New Roman"/>
          <w:i/>
          <w:iCs/>
          <w:kern w:val="14"/>
          <w:sz w:val="20"/>
          <w:szCs w:val="24"/>
        </w:rPr>
        <w:t>Storage Performance Metric Achieved Below .6</w:t>
      </w:r>
      <w:r w:rsidRPr="008E3892">
        <w:rPr>
          <w:rFonts w:ascii="Arial" w:hAnsi="Arial" w:eastAsia="Times New Roman" w:cs="Times New Roman"/>
          <w:kern w:val="14"/>
          <w:sz w:val="20"/>
          <w:szCs w:val="24"/>
        </w:rPr>
        <w:t xml:space="preserve">). If, after Seller delivers a Cure Certification but before the expiration of applicable </w:t>
      </w:r>
      <w:r w:rsidR="00F77A70">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F77A70">
        <w:rPr>
          <w:rFonts w:ascii="Arial" w:hAnsi="Arial" w:eastAsia="Times New Roman" w:cs="Times New Roman"/>
          <w:kern w:val="14"/>
          <w:sz w:val="20"/>
          <w:szCs w:val="24"/>
        </w:rPr>
        <w:t>P</w:t>
      </w:r>
      <w:r w:rsidRPr="008E3892">
        <w:rPr>
          <w:rFonts w:ascii="Arial" w:hAnsi="Arial" w:eastAsia="Times New Roman" w:cs="Times New Roman"/>
          <w:kern w:val="14"/>
          <w:sz w:val="20"/>
          <w:szCs w:val="24"/>
        </w:rPr>
        <w:t xml:space="preserve">eriod, the Facility fails to achieve a Storage Performance Metric Achieved of at least 0.6, then Seller will have until the end of the </w:t>
      </w:r>
      <w:r w:rsidR="00F77A70">
        <w:rPr>
          <w:rFonts w:ascii="Arial" w:hAnsi="Arial" w:eastAsia="Times New Roman" w:cs="Times New Roman"/>
          <w:kern w:val="14"/>
          <w:sz w:val="20"/>
          <w:szCs w:val="24"/>
        </w:rPr>
        <w:t>C</w:t>
      </w:r>
      <w:r w:rsidRPr="008E3892">
        <w:rPr>
          <w:rFonts w:ascii="Arial" w:hAnsi="Arial" w:eastAsia="Times New Roman" w:cs="Times New Roman"/>
          <w:kern w:val="14"/>
          <w:sz w:val="20"/>
          <w:szCs w:val="24"/>
        </w:rPr>
        <w:t xml:space="preserve">ure </w:t>
      </w:r>
      <w:r w:rsidR="00F77A70">
        <w:rPr>
          <w:rFonts w:ascii="Arial" w:hAnsi="Arial" w:eastAsia="Times New Roman" w:cs="Times New Roman"/>
          <w:kern w:val="14"/>
          <w:sz w:val="20"/>
          <w:szCs w:val="24"/>
        </w:rPr>
        <w:t>P</w:t>
      </w:r>
      <w:r w:rsidRPr="008E3892">
        <w:rPr>
          <w:rFonts w:ascii="Arial" w:hAnsi="Arial" w:eastAsia="Times New Roman" w:cs="Times New Roman"/>
          <w:kern w:val="14"/>
          <w:sz w:val="20"/>
          <w:szCs w:val="24"/>
        </w:rPr>
        <w:t>eriod, which may be extended as appropriate, subject to the original limitations in Section 16.1.8(ii), to fully cure the underlying causes of the default and provide another Cure Certification.</w:t>
      </w:r>
    </w:p>
    <w:p w:rsidRPr="00F40F9C" w:rsidR="009009FD" w:rsidP="00C22140" w:rsidRDefault="008B55A2" w14:paraId="116DA3DB" w14:textId="77777777">
      <w:pPr>
        <w:pStyle w:val="zGTC03"/>
        <w:rPr>
          <w:vanish/>
          <w:specVanish/>
        </w:rPr>
      </w:pPr>
      <w:r>
        <w:t>Tested Storage Capacity Below 70% Contracted Capacity; Cure; Remedies.</w:t>
      </w:r>
    </w:p>
    <w:p w:rsidRPr="00F40F9C" w:rsidR="009009FD" w:rsidP="000907B6" w:rsidRDefault="008B55A2" w14:paraId="3633BD16" w14:textId="27F76D75">
      <w:pPr>
        <w:pStyle w:val="zGTC04"/>
        <w:numPr>
          <w:ilvl w:val="3"/>
          <w:numId w:val="40"/>
        </w:numPr>
      </w:pPr>
      <w:r>
        <w:t xml:space="preserve"> Despite any other PPA provision, the Tested Storage Capacity, determined in accordance with a Performance Test at any time after the Delivery Commencement Date, is below 70% of the  Contracted Capacity and Seller fails to: (i) submit to GPC, within 10 Days after determination by the </w:t>
      </w:r>
      <w:r>
        <w:lastRenderedPageBreak/>
        <w:t>Performance Test of the inadequate Tested Storage Capacity, a written cure plan reasonably acceptable to GPC for the inadequate Tested Storage Capacity; and (ii) cure the inadequate Tested Capacity within the Cure Period, except that the Cure Period may be extended in accordance with Section 16.1.9(i) (</w:t>
      </w:r>
      <w:r>
        <w:rPr>
          <w:i/>
        </w:rPr>
        <w:t>Cure Period Extension</w:t>
      </w:r>
      <w:r>
        <w:t>). GPC will have the right to declare an Event of Default if Seller fails to: (a) establish the cure plan within the required 10-Day period or, if applicable, establish the revised cure plan within the required 15-Day period under Section 16.1.9(i), or (b) diligently implement the cure plan (including implementation of such actions as GPC may reasonably request), or (c) cure the inadequate Tested Storage Capacity within the Cure Period (as the Cure Period may be extended under Section 16.1.9(i)) as set forth in Section 16.1.9(ii) (</w:t>
      </w:r>
      <w:r>
        <w:rPr>
          <w:i/>
        </w:rPr>
        <w:t>Requirements to Cure Inadequate Tested Storage Capacity</w:t>
      </w:r>
      <w:r>
        <w:t>).</w:t>
      </w:r>
      <w:r w:rsidR="00371548">
        <w:t xml:space="preserve"> </w:t>
      </w:r>
    </w:p>
    <w:p w:rsidRPr="00F40F9C" w:rsidR="0094760D" w:rsidP="000907B6" w:rsidRDefault="008B55A2" w14:paraId="79E9B521" w14:textId="18D2DA1C">
      <w:pPr>
        <w:pStyle w:val="zGTC04"/>
        <w:numPr>
          <w:ilvl w:val="3"/>
          <w:numId w:val="28"/>
        </w:numPr>
      </w:pPr>
      <w:bookmarkStart w:name="_Hlk24123717" w:id="898"/>
      <w:r>
        <w:rPr>
          <w:b/>
        </w:rPr>
        <w:t xml:space="preserve">Cure Period Extension. </w:t>
      </w:r>
      <w:r>
        <w:t xml:space="preserve">If Seller establishes a cure plan in accordance with </w:t>
      </w:r>
      <w:r w:rsidR="007865F2">
        <w:t>t</w:t>
      </w:r>
      <w:r w:rsidR="002A075F">
        <w:t xml:space="preserve">his </w:t>
      </w:r>
      <w:r>
        <w:t>Section 16.1.9 (</w:t>
      </w:r>
      <w:r>
        <w:rPr>
          <w:i/>
        </w:rPr>
        <w:t>Tested Storage Capacity Below 70% Contracted Capacity</w:t>
      </w:r>
      <w:r>
        <w:t xml:space="preserve">; </w:t>
      </w:r>
      <w:r>
        <w:rPr>
          <w:i/>
        </w:rPr>
        <w:t>Cure; Remedies</w:t>
      </w:r>
      <w:r>
        <w:t>) but requires a Cure Period of more than 1</w:t>
      </w:r>
      <w:r w:rsidR="0058066A">
        <w:t>8</w:t>
      </w:r>
      <w:r>
        <w:t xml:space="preserve">0 Days to cure the inadequate Tested Storage Capacity, then the Cure Period will be extended for a reasonable additional period of time, which extension will not in any case exceed </w:t>
      </w:r>
      <w:r w:rsidR="0058066A">
        <w:t>180</w:t>
      </w:r>
      <w:r>
        <w:t xml:space="preserve"> Days, so long as, by no later than 15 Days before the expiration of the 1</w:t>
      </w:r>
      <w:r w:rsidR="00601039">
        <w:t>8</w:t>
      </w:r>
      <w:r>
        <w:t xml:space="preserve">0-Day Cure Period, Seller provides to GPC: (a) a revised cure plan setting forth a reasonable extension of the Cure Period, </w:t>
      </w:r>
      <w:r w:rsidR="0027454C">
        <w:t xml:space="preserve">such extension </w:t>
      </w:r>
      <w:r>
        <w:t xml:space="preserve">not to exceed </w:t>
      </w:r>
      <w:r w:rsidR="00601039">
        <w:t>180</w:t>
      </w:r>
      <w:r>
        <w:t xml:space="preserve"> Days, which revised cure plan and extension must be reasonably acceptable to GPC, and (b) a written certification reasonably acceptable to GPC confirming that in order for Seller to cure the inadequate Tested Storage Capacity Seller must be afforded the requested additional period of time. The total duration of the Cure Period, as extended, must not exceed </w:t>
      </w:r>
      <w:r w:rsidR="00601039">
        <w:t>360</w:t>
      </w:r>
      <w:r>
        <w:t xml:space="preserve"> Days</w:t>
      </w:r>
      <w:bookmarkEnd w:id="898"/>
      <w:r>
        <w:t xml:space="preserve">. </w:t>
      </w:r>
    </w:p>
    <w:p w:rsidRPr="00F40F9C" w:rsidR="0094760D" w:rsidP="000907B6" w:rsidRDefault="008B55A2" w14:paraId="15D69F6A" w14:textId="79208FFC">
      <w:pPr>
        <w:pStyle w:val="zGTC04"/>
        <w:numPr>
          <w:ilvl w:val="3"/>
          <w:numId w:val="41"/>
        </w:numPr>
        <w:rPr>
          <w:szCs w:val="20"/>
        </w:rPr>
      </w:pPr>
      <w:r>
        <w:rPr>
          <w:b/>
        </w:rPr>
        <w:t xml:space="preserve">Requirements to Cure Inadequate Tested Storage Capacity. </w:t>
      </w:r>
      <w:r>
        <w:t>An inadequate Tested Storage Capacity below 70% of the Contracted Capacity will be cured under</w:t>
      </w:r>
      <w:r w:rsidR="00161ED8">
        <w:t xml:space="preserve"> </w:t>
      </w:r>
      <w:r w:rsidR="00416C88">
        <w:t xml:space="preserve">this </w:t>
      </w:r>
      <w:r>
        <w:t>Section 16.1.9 only if: (i) Seller provides GPC with a written certification reasonably acceptable to GPC confirming that the inadequate Tested Storage Capacity has been cured; and (ii) the inadequate Tested Storage Capacity is increased to a value equal to or greater than 70% of the Contracted Capacity.</w:t>
      </w:r>
    </w:p>
    <w:p w:rsidRPr="00F40F9C" w:rsidR="0094760D" w:rsidP="000907B6" w:rsidRDefault="008B55A2" w14:paraId="65AE52B0" w14:textId="77777777">
      <w:pPr>
        <w:pStyle w:val="zGTC04"/>
        <w:numPr>
          <w:ilvl w:val="3"/>
          <w:numId w:val="42"/>
        </w:numPr>
        <w:rPr>
          <w:b/>
          <w:bCs/>
          <w:vanish/>
          <w:specVanish/>
        </w:rPr>
      </w:pPr>
      <w:r>
        <w:rPr>
          <w:b/>
          <w:bCs/>
        </w:rPr>
        <w:t>GPC Election.</w:t>
      </w:r>
    </w:p>
    <w:p w:rsidRPr="00F40F9C" w:rsidR="0094760D" w:rsidP="0094760D" w:rsidRDefault="008B55A2" w14:paraId="6BA71814" w14:textId="09044688">
      <w:pPr>
        <w:pStyle w:val="zGTC03"/>
        <w:numPr>
          <w:ilvl w:val="0"/>
          <w:numId w:val="0"/>
        </w:numPr>
        <w:ind w:left="648"/>
        <w:rPr>
          <w:b w:val="0"/>
          <w:bCs/>
        </w:rPr>
      </w:pPr>
      <w:r>
        <w:t xml:space="preserve"> </w:t>
      </w:r>
      <w:r>
        <w:rPr>
          <w:b w:val="0"/>
          <w:bCs/>
        </w:rPr>
        <w:t xml:space="preserve">Despite </w:t>
      </w:r>
      <w:r w:rsidR="00A05BE4">
        <w:rPr>
          <w:b w:val="0"/>
          <w:bCs/>
        </w:rPr>
        <w:t xml:space="preserve">the foregoing provisions of this </w:t>
      </w:r>
      <w:r>
        <w:rPr>
          <w:b w:val="0"/>
          <w:bCs/>
        </w:rPr>
        <w:t>Section 16.1.9, whenever a Performance Test demonstrates a Tested Storage Capacity below 70% of the Contracted Capacity and Seller fails to cure the inadequate Tested Storage Capacity as required by Section 16.1.9(ii)</w:t>
      </w:r>
      <w:r>
        <w:rPr>
          <w:rFonts w:cs="Arial"/>
          <w:b w:val="0"/>
          <w:bCs/>
        </w:rPr>
        <w:t xml:space="preserve"> (</w:t>
      </w:r>
      <w:r>
        <w:rPr>
          <w:rFonts w:cs="Arial"/>
          <w:b w:val="0"/>
          <w:bCs/>
          <w:i/>
        </w:rPr>
        <w:t>Requirements to Cure Inadequate Tested Storage Capacity</w:t>
      </w:r>
      <w:r>
        <w:rPr>
          <w:rFonts w:cs="Arial"/>
          <w:b w:val="0"/>
          <w:bCs/>
        </w:rPr>
        <w:t>)</w:t>
      </w:r>
      <w:r>
        <w:rPr>
          <w:b w:val="0"/>
          <w:bCs/>
        </w:rPr>
        <w:t>, GPC will have the unilateral right to elect to require and receive buydown liquidated damages as specified in Section 1.3.4 (</w:t>
      </w:r>
      <w:r>
        <w:rPr>
          <w:b w:val="0"/>
          <w:bCs/>
          <w:i/>
          <w:iCs/>
        </w:rPr>
        <w:t>Failure to Cure Inadequate Tested Storage Capacity Above 70% Contracted Capacity; Buydown Liquidated Damages</w:t>
      </w:r>
      <w:r>
        <w:rPr>
          <w:b w:val="0"/>
          <w:bCs/>
        </w:rPr>
        <w:t>) of Exhibit B (</w:t>
      </w:r>
      <w:r>
        <w:rPr>
          <w:b w:val="0"/>
          <w:bCs/>
          <w:i/>
        </w:rPr>
        <w:t>Capacity; Capacity Payments and Payment Reductions; Buydown</w:t>
      </w:r>
      <w:r>
        <w:rPr>
          <w:b w:val="0"/>
          <w:bCs/>
        </w:rPr>
        <w:t xml:space="preserve">) in lieu of terminating the PPA. To elect this remedy, GPC must notify Seller in writing of this election and must waive its right to declare a Seller Event of Default under </w:t>
      </w:r>
      <w:r w:rsidR="0009180A">
        <w:rPr>
          <w:b w:val="0"/>
          <w:bCs/>
        </w:rPr>
        <w:t xml:space="preserve">this </w:t>
      </w:r>
      <w:r>
        <w:rPr>
          <w:b w:val="0"/>
          <w:bCs/>
        </w:rPr>
        <w:t>Section 16.1.9 with respect to the specific event of inadequate Tested Storage Capacity. GPC’s waiver is limited to the specific event of inadequate Tested Storage Capacity and does not waive any additional event.</w:t>
      </w:r>
    </w:p>
    <w:p w:rsidRPr="00F40F9C" w:rsidR="0094760D" w:rsidP="0094760D" w:rsidRDefault="008B55A2" w14:paraId="0453B7EC" w14:textId="77777777">
      <w:pPr>
        <w:pStyle w:val="zGTC03"/>
        <w:rPr>
          <w:vanish/>
          <w:specVanish/>
        </w:rPr>
      </w:pPr>
      <w:r>
        <w:t xml:space="preserve">Failure to Meet AGC Performance Requirements. </w:t>
      </w:r>
    </w:p>
    <w:p w:rsidRPr="00F40F9C" w:rsidR="009009FD" w:rsidP="004B0BBF" w:rsidRDefault="008B55A2" w14:paraId="1AC38791" w14:textId="13419EE3">
      <w:pPr>
        <w:pStyle w:val="zGNormal"/>
      </w:pPr>
      <w:r>
        <w:t xml:space="preserve"> The Facility fails to achieve the AGC Status Performance Requirement or the AGC Setpoint Response Performance Requirement</w:t>
      </w:r>
      <w:r w:rsidR="006246B6">
        <w:t xml:space="preserve"> such that a Triggering Failure occurs</w:t>
      </w:r>
      <w:r>
        <w:t>, and Seller fails to comply with the applicable cure requirements in Section 10.9 (</w:t>
      </w:r>
      <w:r>
        <w:rPr>
          <w:i/>
          <w:iCs/>
        </w:rPr>
        <w:t>AGC Performance Requirements</w:t>
      </w:r>
      <w:r>
        <w:t>).</w:t>
      </w:r>
    </w:p>
    <w:p w:rsidRPr="00F40F9C" w:rsidR="009009FD" w:rsidP="00C22140" w:rsidRDefault="008B55A2" w14:paraId="5A348D4E" w14:textId="77777777">
      <w:pPr>
        <w:pStyle w:val="zGTC03"/>
        <w:rPr>
          <w:vanish/>
          <w:specVanish/>
        </w:rPr>
      </w:pPr>
      <w:r>
        <w:t>Breach of Energy Delivery Obligation.</w:t>
      </w:r>
    </w:p>
    <w:p w:rsidRPr="00F40F9C" w:rsidR="009009FD" w:rsidP="009009FD" w:rsidRDefault="008B55A2" w14:paraId="2D1DDC0D" w14:textId="4EFB3EFA">
      <w:pPr>
        <w:pStyle w:val="zGNormal"/>
      </w:pPr>
      <w:r>
        <w:t xml:space="preserve"> Seller breaches its obligation to deliver energy in accordance with GPC’s AGC Setpoint signals </w:t>
      </w:r>
      <w:r w:rsidR="00BC1CA7">
        <w:t xml:space="preserve">or </w:t>
      </w:r>
      <w:r w:rsidR="00477753">
        <w:t>instructions from the Dispatch Center</w:t>
      </w:r>
      <w:r w:rsidR="00BC1CA7">
        <w:t>, as applicable</w:t>
      </w:r>
      <w:r>
        <w:t xml:space="preserve"> to the extent that the Facility is Available, and the breach continues for more than two Hours after GPC provides</w:t>
      </w:r>
      <w:r w:rsidR="00251988">
        <w:t xml:space="preserve"> </w:t>
      </w:r>
      <w:r w:rsidR="007470BF">
        <w:t>written (by email) and verbal (by telephone call)</w:t>
      </w:r>
      <w:r w:rsidR="00251988">
        <w:t xml:space="preserve"> notice of the breach to the</w:t>
      </w:r>
      <w:r>
        <w:t xml:space="preserve"> Seller </w:t>
      </w:r>
      <w:r w:rsidR="00251988">
        <w:t xml:space="preserve">Representative designated in the Operating Procedures </w:t>
      </w:r>
      <w:r w:rsidR="008A4634">
        <w:t xml:space="preserve">as the Person to whom GPC will provide </w:t>
      </w:r>
      <w:r w:rsidR="00251988">
        <w:t>notice of operational issues</w:t>
      </w:r>
      <w:r>
        <w:t>.</w:t>
      </w:r>
    </w:p>
    <w:p w:rsidRPr="00F40F9C" w:rsidR="009009FD" w:rsidP="00C22140" w:rsidRDefault="008B55A2" w14:paraId="6D8FBC15" w14:textId="77777777">
      <w:pPr>
        <w:pStyle w:val="zGTC03"/>
        <w:rPr>
          <w:vanish/>
          <w:specVanish/>
        </w:rPr>
      </w:pPr>
      <w:r>
        <w:t>Abandonment or Failure to Achieve RCOD.</w:t>
      </w:r>
    </w:p>
    <w:p w:rsidRPr="00F40F9C" w:rsidR="009009FD" w:rsidP="009009FD" w:rsidRDefault="008B55A2" w14:paraId="3E2F57E8" w14:textId="54681503">
      <w:pPr>
        <w:pStyle w:val="zGNormal"/>
      </w:pPr>
      <w:r>
        <w:rPr>
          <w:b/>
        </w:rPr>
        <w:t xml:space="preserve"> </w:t>
      </w:r>
      <w:r w:rsidRPr="0026562B" w:rsidR="0026562B">
        <w:rPr>
          <w:bCs/>
        </w:rPr>
        <w:t>(i)</w:t>
      </w:r>
      <w:r>
        <w:rPr>
          <w:b/>
        </w:rPr>
        <w:t xml:space="preserve"> </w:t>
      </w:r>
      <w:r w:rsidR="00DD2524">
        <w:t>Abandonment</w:t>
      </w:r>
      <w:r w:rsidR="0026562B">
        <w:t>; or (ii)</w:t>
      </w:r>
      <w:r>
        <w:t xml:space="preserve"> Seller</w:t>
      </w:r>
      <w:r w:rsidR="002D0B85">
        <w:t xml:space="preserve"> (a)</w:t>
      </w:r>
      <w:r>
        <w:t xml:space="preserve"> fails to achieve Commercial Operation by no later than nine Months after the RCOD</w:t>
      </w:r>
      <w:r w:rsidR="002D0B85">
        <w:t>;</w:t>
      </w:r>
      <w:r>
        <w:t xml:space="preserve">  </w:t>
      </w:r>
      <w:r w:rsidR="002D0B85">
        <w:t>(b)</w:t>
      </w:r>
      <w:r>
        <w:t xml:space="preserve"> notifies GPC that </w:t>
      </w:r>
      <w:r>
        <w:lastRenderedPageBreak/>
        <w:t>Seller has reasonably determined that Seller will not achieve Commercial Operation or that Commercial Operation will not be achieved by no later than nine Months after the RCOD</w:t>
      </w:r>
      <w:r w:rsidR="002D0B85">
        <w:t>; or (c) terminates this PPA in accordance with Section 7.</w:t>
      </w:r>
      <w:r w:rsidR="002C7F80">
        <w:t>3</w:t>
      </w:r>
      <w:r w:rsidR="002D0B85">
        <w:t>.3 (</w:t>
      </w:r>
      <w:r w:rsidRPr="002D0B85" w:rsidR="002D0B85">
        <w:rPr>
          <w:i/>
          <w:iCs/>
        </w:rPr>
        <w:t>Seller Payment of Delay Liquidated Damages; Pre-COD Termination Damages</w:t>
      </w:r>
      <w:r w:rsidR="002D0B85">
        <w:t>)</w:t>
      </w:r>
      <w:r>
        <w:t>.</w:t>
      </w:r>
    </w:p>
    <w:p w:rsidRPr="00F40F9C" w:rsidR="005D6AD8" w:rsidP="00495813" w:rsidRDefault="008B55A2" w14:paraId="3BE1EFD0" w14:textId="406BEBA3">
      <w:pPr>
        <w:pStyle w:val="zGTC03"/>
      </w:pPr>
      <w:r>
        <w:t xml:space="preserve">Ongoing Default under the Renewable Resource PPA. </w:t>
      </w:r>
      <w:r w:rsidRPr="00B2720F">
        <w:rPr>
          <w:b w:val="0"/>
          <w:bCs/>
        </w:rPr>
        <w:t xml:space="preserve">Failure by Renewable Resource Seller to cure an event of default (as defined in the Renewable Resource PPA) under the Renewable Resource PPA, </w:t>
      </w:r>
      <w:r w:rsidRPr="00B2720F" w:rsidR="00AA4164">
        <w:rPr>
          <w:b w:val="0"/>
          <w:bCs/>
        </w:rPr>
        <w:t>if</w:t>
      </w:r>
      <w:r w:rsidRPr="00B2720F">
        <w:rPr>
          <w:b w:val="0"/>
          <w:bCs/>
        </w:rPr>
        <w:t xml:space="preserve"> the Facility is paired with a Renewable Resource, as may be indicat</w:t>
      </w:r>
      <w:r w:rsidRPr="00B2720F" w:rsidR="00E42B10">
        <w:rPr>
          <w:b w:val="0"/>
          <w:bCs/>
        </w:rPr>
        <w:t>ed</w:t>
      </w:r>
      <w:r w:rsidRPr="00B2720F">
        <w:rPr>
          <w:b w:val="0"/>
          <w:bCs/>
        </w:rPr>
        <w:t xml:space="preserve"> by Exhibit A (</w:t>
      </w:r>
      <w:r w:rsidRPr="00B2720F">
        <w:rPr>
          <w:b w:val="0"/>
          <w:bCs/>
          <w:i/>
          <w:iCs/>
        </w:rPr>
        <w:t>Facility Description and Additional Details</w:t>
      </w:r>
      <w:r w:rsidRPr="00B2720F">
        <w:rPr>
          <w:b w:val="0"/>
          <w:bCs/>
        </w:rPr>
        <w:t>)</w:t>
      </w:r>
      <w:r w:rsidRPr="00B2720F" w:rsidR="006360BD">
        <w:rPr>
          <w:b w:val="0"/>
          <w:bCs/>
        </w:rPr>
        <w:t>.</w:t>
      </w:r>
      <w:r>
        <w:t xml:space="preserve"> </w:t>
      </w:r>
    </w:p>
    <w:p w:rsidRPr="00F40F9C" w:rsidR="009009FD" w:rsidP="00495813" w:rsidRDefault="008B55A2" w14:paraId="65B9E07E" w14:textId="77777777">
      <w:pPr>
        <w:pStyle w:val="zGTC03"/>
        <w:rPr>
          <w:vanish/>
          <w:specVanish/>
        </w:rPr>
      </w:pPr>
      <w:r>
        <w:t xml:space="preserve">Adjusting Meter or Interconnection Facilities without GPC’s Consent. </w:t>
      </w:r>
    </w:p>
    <w:p w:rsidRPr="00F40F9C" w:rsidR="009009FD" w:rsidP="009009FD" w:rsidRDefault="008B55A2" w14:paraId="26E62B20" w14:textId="77777777">
      <w:pPr>
        <w:pStyle w:val="zGNormal"/>
      </w:pPr>
      <w:r>
        <w:t xml:space="preserve"> Seller or any Seller Representative willfully adjusts the Metering System or the Interconnection Facilities without GPC’s written consent and which adjustment has the effect of falsely increasing any amount owed by GPC under this PPA.</w:t>
      </w:r>
    </w:p>
    <w:p w:rsidRPr="00F40F9C" w:rsidR="009009FD" w:rsidP="00495813" w:rsidRDefault="008B55A2" w14:paraId="67112CEF" w14:textId="77777777">
      <w:pPr>
        <w:pStyle w:val="zGTC03"/>
        <w:rPr>
          <w:vanish/>
          <w:specVanish/>
        </w:rPr>
      </w:pPr>
      <w:r>
        <w:t>Breach of Covenant.</w:t>
      </w:r>
    </w:p>
    <w:p w:rsidRPr="00F40F9C" w:rsidR="009009FD" w:rsidP="009009FD" w:rsidRDefault="008B55A2" w14:paraId="18F5C383" w14:textId="0504AE37">
      <w:pPr>
        <w:pStyle w:val="zGNormal"/>
      </w:pPr>
      <w:r>
        <w:t xml:space="preserve"> Any failure of any covenant made by Seller in Section 2.1 (</w:t>
      </w:r>
      <w:r w:rsidRPr="004B0BBF">
        <w:rPr>
          <w:i/>
        </w:rPr>
        <w:t>Seller Representations, Warranties, and Covenants</w:t>
      </w:r>
      <w:r>
        <w:t>), unless Seller promptly commences and diligently pursues action and cures the failure by no later than 30 Days after notice of the failure has been given to Seller by GPC (unless the cure is not capable of being effected within the 30-Day period in which case Seller must submit a cure plan before the end of the 30-Day period outlining steps to assure GPC that the failure will be cured, which cure plan will be subject to GPC’s approval, the approval not to be unreasonably withheld by GPC, but in no event will the total cure period exceed 180 Days) and the cure removes any adverse effect on GPC of the failure of such covenant</w:t>
      </w:r>
      <w:r w:rsidRPr="004B0BBF">
        <w:rPr>
          <w:rStyle w:val="DeltaViewInsertion"/>
          <w:u w:val="none"/>
        </w:rPr>
        <w:t>.</w:t>
      </w:r>
      <w:r>
        <w:rPr>
          <w:rStyle w:val="DeltaViewInsertion"/>
        </w:rPr>
        <w:t xml:space="preserve"> </w:t>
      </w:r>
      <w:r>
        <w:rPr>
          <w:rStyle w:val="DeltaViewInsertion"/>
          <w:color w:val="auto"/>
          <w:u w:val="none"/>
        </w:rPr>
        <w:t xml:space="preserve">However, no Event of Default by Seller </w:t>
      </w:r>
      <w:r>
        <w:t>will</w:t>
      </w:r>
      <w:r>
        <w:rPr>
          <w:rStyle w:val="DeltaViewInsertion"/>
          <w:color w:val="auto"/>
          <w:u w:val="none"/>
        </w:rPr>
        <w:t xml:space="preserve"> occur </w:t>
      </w:r>
      <w:r>
        <w:t>in accordance with</w:t>
      </w:r>
      <w:r>
        <w:rPr>
          <w:rStyle w:val="DeltaViewInsertion"/>
          <w:color w:val="auto"/>
          <w:u w:val="none"/>
        </w:rPr>
        <w:t xml:space="preserve"> this Section 16.1.15  unless </w:t>
      </w:r>
      <w:r>
        <w:t>GPC</w:t>
      </w:r>
      <w:r>
        <w:rPr>
          <w:rStyle w:val="DeltaViewInsertion"/>
          <w:color w:val="auto"/>
          <w:u w:val="none"/>
        </w:rPr>
        <w:t xml:space="preserve"> cooperates with Seller during the cure period and, if applicable, takes commercially reasonable actions (without causing a material adverse effect on </w:t>
      </w:r>
      <w:r>
        <w:t>GPC</w:t>
      </w:r>
      <w:r>
        <w:rPr>
          <w:rStyle w:val="DeltaViewInsertion"/>
          <w:color w:val="auto"/>
          <w:u w:val="none"/>
        </w:rPr>
        <w:t xml:space="preserve">) necessary to bring about a determination by </w:t>
      </w:r>
      <w:r>
        <w:t>GPC</w:t>
      </w:r>
      <w:r>
        <w:rPr>
          <w:rStyle w:val="DeltaViewInsertion"/>
          <w:color w:val="auto"/>
          <w:u w:val="none"/>
        </w:rPr>
        <w:t xml:space="preserve"> and its independent auditor that Seller does not constitute a VIE as because of this PPA</w:t>
      </w:r>
      <w:r>
        <w:t>.</w:t>
      </w:r>
    </w:p>
    <w:p w:rsidRPr="00F40F9C" w:rsidR="009009FD" w:rsidP="00495813" w:rsidRDefault="008B55A2" w14:paraId="0910EAFD" w14:textId="77777777">
      <w:pPr>
        <w:pStyle w:val="zGTC03"/>
        <w:rPr>
          <w:vanish/>
          <w:specVanish/>
        </w:rPr>
      </w:pPr>
      <w:r>
        <w:t>Applicable Law Violation.</w:t>
      </w:r>
    </w:p>
    <w:p w:rsidR="001C5D83" w:rsidP="009009FD" w:rsidRDefault="008B55A2" w14:paraId="562132FC" w14:textId="638627B4">
      <w:pPr>
        <w:pStyle w:val="zGNormal"/>
      </w:pPr>
      <w:r>
        <w:t xml:space="preserve"> Seller violates any applicable law and the violation would have a material adverse effect on Seller’s ability to perform under this PPA and such violation is not cured within 30 Days after notice from GPC unless the cure is not capable of being effected within the 30-Day period, in which case Seller will have an additional </w:t>
      </w:r>
      <w:r w:rsidR="00D1651B">
        <w:t>6</w:t>
      </w:r>
      <w:r>
        <w:t xml:space="preserve">0-Day period in which to commence the cure </w:t>
      </w:r>
      <w:r w:rsidR="00435D34">
        <w:t xml:space="preserve">so long as Seller </w:t>
      </w:r>
      <w:r>
        <w:t xml:space="preserve">diligently pursues the cure and completes the cure within </w:t>
      </w:r>
      <w:r w:rsidR="00D1651B">
        <w:t>9</w:t>
      </w:r>
      <w:r>
        <w:t xml:space="preserve">0 Days and the cure removes any material adverse effect on Seller’s ability to perform under this PPA. Seller will be deemed not to have committed an Event of Default </w:t>
      </w:r>
      <w:r w:rsidR="004A7C56">
        <w:t>under this Section 16.1.6 (</w:t>
      </w:r>
      <w:r w:rsidRPr="004A7C56" w:rsidR="004A7C56">
        <w:rPr>
          <w:i/>
          <w:iCs/>
        </w:rPr>
        <w:t>Applicable Law Violation</w:t>
      </w:r>
      <w:r w:rsidR="004A7C56">
        <w:t xml:space="preserve">) </w:t>
      </w:r>
      <w:r>
        <w:t>if Seller has validly contested the alleged violation, the matter remains pending before the applicable Governmental Authorities, and any cease and desist order or other enforcement action due to an alleged violation of the applicable laws has been stayed.</w:t>
      </w:r>
    </w:p>
    <w:p w:rsidR="00941AD7" w:rsidP="00674C09" w:rsidRDefault="00A943D1" w14:paraId="49F92FE3" w14:textId="6AECC04F">
      <w:pPr>
        <w:pStyle w:val="zGTC03"/>
        <w:spacing w:after="120"/>
        <w:ind w:left="634"/>
        <w:rPr>
          <w:b w:val="0"/>
          <w:bCs/>
        </w:rPr>
      </w:pPr>
      <w:r>
        <w:t>IA Termination</w:t>
      </w:r>
      <w:r w:rsidR="00AC4ADB">
        <w:t xml:space="preserve">. </w:t>
      </w:r>
      <w:r w:rsidRPr="00F32D3A" w:rsidR="00F32D3A">
        <w:rPr>
          <w:b w:val="0"/>
          <w:bCs/>
        </w:rPr>
        <w:t>(i)</w:t>
      </w:r>
      <w:r w:rsidR="00F32D3A">
        <w:t xml:space="preserve"> </w:t>
      </w:r>
      <w:r w:rsidRPr="00264B61" w:rsidR="00264B61">
        <w:rPr>
          <w:b w:val="0"/>
          <w:bCs/>
        </w:rPr>
        <w:t>Failure of the Renewable Resource Seller to</w:t>
      </w:r>
      <w:r w:rsidR="002A4E52">
        <w:rPr>
          <w:b w:val="0"/>
          <w:bCs/>
        </w:rPr>
        <w:t xml:space="preserve"> cure an event of default under the </w:t>
      </w:r>
      <w:r w:rsidR="00B442FA">
        <w:rPr>
          <w:b w:val="0"/>
          <w:bCs/>
        </w:rPr>
        <w:t>interconnection agreement for the Renewable Resource</w:t>
      </w:r>
      <w:r w:rsidR="002A4E52">
        <w:rPr>
          <w:b w:val="0"/>
          <w:bCs/>
        </w:rPr>
        <w:t>,</w:t>
      </w:r>
      <w:r w:rsidR="00B442FA">
        <w:rPr>
          <w:b w:val="0"/>
          <w:bCs/>
        </w:rPr>
        <w:t xml:space="preserve"> to the extent the Facility is paired with a Renewable Resource, as may be indicated by Exhibit A (</w:t>
      </w:r>
      <w:r w:rsidRPr="00B442FA" w:rsidR="00B442FA">
        <w:rPr>
          <w:b w:val="0"/>
          <w:bCs/>
          <w:i/>
          <w:iCs/>
        </w:rPr>
        <w:t>Facility Description and Additional Details</w:t>
      </w:r>
      <w:r w:rsidR="00B442FA">
        <w:rPr>
          <w:b w:val="0"/>
          <w:bCs/>
        </w:rPr>
        <w:t>);</w:t>
      </w:r>
      <w:r w:rsidR="002A4E52">
        <w:rPr>
          <w:b w:val="0"/>
          <w:bCs/>
        </w:rPr>
        <w:t xml:space="preserve"> or </w:t>
      </w:r>
      <w:r w:rsidR="00F32D3A">
        <w:rPr>
          <w:b w:val="0"/>
          <w:bCs/>
        </w:rPr>
        <w:t>(ii)</w:t>
      </w:r>
      <w:r w:rsidR="00702334">
        <w:rPr>
          <w:b w:val="0"/>
          <w:bCs/>
        </w:rPr>
        <w:t xml:space="preserve"> termination of the IA due to a Seller event of default under the IA</w:t>
      </w:r>
      <w:r w:rsidR="002A4E52">
        <w:rPr>
          <w:b w:val="0"/>
          <w:bCs/>
        </w:rPr>
        <w:t>.</w:t>
      </w:r>
    </w:p>
    <w:p w:rsidRPr="00F40F9C" w:rsidR="00A23C85" w:rsidP="00A23C85" w:rsidRDefault="008B55A2" w14:paraId="3282B75E" w14:textId="77777777">
      <w:pPr>
        <w:pStyle w:val="zGTC02"/>
        <w:rPr>
          <w:rFonts w:ascii="Arial" w:hAnsi="Arial" w:cs="Arial"/>
          <w:vanish/>
          <w:specVanish/>
        </w:rPr>
      </w:pPr>
      <w:bookmarkStart w:name="_Toc194937541" w:id="899"/>
      <w:bookmarkStart w:name="_Toc174624928" w:id="900"/>
      <w:bookmarkStart w:name="_Toc227451589" w:id="901"/>
      <w:r>
        <w:rPr>
          <w:rFonts w:ascii="Arial" w:hAnsi="Arial" w:cs="Arial"/>
        </w:rPr>
        <w:t>Default by GPC.</w:t>
      </w:r>
      <w:bookmarkStart w:name="_Toc158593264" w:id="902"/>
      <w:bookmarkStart w:name="_Toc158597543" w:id="903"/>
      <w:bookmarkStart w:name="_Toc158720167" w:id="904"/>
      <w:bookmarkStart w:name="_Toc158722921" w:id="905"/>
      <w:bookmarkStart w:name="_Toc158929453" w:id="906"/>
      <w:bookmarkEnd w:id="897"/>
      <w:bookmarkEnd w:id="899"/>
      <w:bookmarkEnd w:id="900"/>
      <w:bookmarkEnd w:id="901"/>
      <w:bookmarkEnd w:id="902"/>
      <w:bookmarkEnd w:id="903"/>
      <w:bookmarkEnd w:id="904"/>
      <w:bookmarkEnd w:id="905"/>
      <w:bookmarkEnd w:id="906"/>
    </w:p>
    <w:p w:rsidRPr="00F40F9C" w:rsidR="00A23C85" w:rsidP="00A23C85" w:rsidRDefault="008B55A2" w14:paraId="5BC16A50" w14:textId="77777777">
      <w:pPr>
        <w:pStyle w:val="zGNormal"/>
      </w:pPr>
      <w:r>
        <w:t xml:space="preserve"> The occurrence of any of the following events will constitute a GPC Event of Default:</w:t>
      </w:r>
    </w:p>
    <w:p w:rsidRPr="00F40F9C" w:rsidR="00A23C85" w:rsidP="00C22140" w:rsidRDefault="008B55A2" w14:paraId="26185EBF" w14:textId="77777777">
      <w:pPr>
        <w:pStyle w:val="zGTC03"/>
        <w:rPr>
          <w:vanish/>
          <w:specVanish/>
        </w:rPr>
      </w:pPr>
      <w:r>
        <w:t>GPC Payment Default.</w:t>
      </w:r>
    </w:p>
    <w:p w:rsidRPr="00F40F9C" w:rsidR="00A23C85" w:rsidP="00A23C85" w:rsidRDefault="008B55A2" w14:paraId="0FF79D81" w14:textId="588E0F46">
      <w:pPr>
        <w:pStyle w:val="zGNormal"/>
      </w:pPr>
      <w:r>
        <w:t xml:space="preserve"> GPC fails</w:t>
      </w:r>
      <w:r w:rsidR="00083579">
        <w:t>, by the due date,</w:t>
      </w:r>
      <w:r>
        <w:t xml:space="preserve"> to pay Seller any undisputed amount payable by GPC to Seller in accordance with this PPA and fails to cure the failure to pay within 15 Days after </w:t>
      </w:r>
      <w:r w:rsidR="00FB55C9">
        <w:t>receipt of written demand from Seller</w:t>
      </w:r>
      <w:r>
        <w:t>.</w:t>
      </w:r>
    </w:p>
    <w:p w:rsidRPr="00F40F9C" w:rsidR="00A23C85" w:rsidP="00C22140" w:rsidRDefault="008B55A2" w14:paraId="296228B8" w14:textId="77777777">
      <w:pPr>
        <w:pStyle w:val="zGTC03"/>
        <w:rPr>
          <w:vanish/>
          <w:specVanish/>
        </w:rPr>
      </w:pPr>
      <w:r>
        <w:t>Failure to Comply with Other Material PPA Terms.</w:t>
      </w:r>
    </w:p>
    <w:p w:rsidRPr="00F40F9C" w:rsidR="00A23C85" w:rsidP="00A23C85" w:rsidRDefault="008B55A2" w14:paraId="35C0DFEE" w14:textId="07965703">
      <w:pPr>
        <w:pStyle w:val="zGNormal"/>
      </w:pPr>
      <w:r>
        <w:rPr>
          <w:b/>
        </w:rPr>
        <w:t xml:space="preserve"> </w:t>
      </w:r>
      <w:r>
        <w:t>GPC fails to perform or observe any material obligation of GPC under this PPA, other than those obligations included in this Section 16.2 (</w:t>
      </w:r>
      <w:r>
        <w:rPr>
          <w:i/>
        </w:rPr>
        <w:t>Default by GPC</w:t>
      </w:r>
      <w:r>
        <w:t xml:space="preserve">), which failure materially and adversely affects the ability of Seller or GPC to perform their respective obligations under this PPA and continues for a period of 30 Days after notice </w:t>
      </w:r>
      <w:r w:rsidR="00532D2C">
        <w:t xml:space="preserve">of the failure </w:t>
      </w:r>
      <w:r>
        <w:t>from Seller (unless the cure is not capable of being effected within the 30-Day period, in which case GPC will have an additional 30-Day period in which to perform the cure).</w:t>
      </w:r>
    </w:p>
    <w:p w:rsidRPr="00F40F9C" w:rsidR="00A23C85" w:rsidP="00C22140" w:rsidRDefault="008B55A2" w14:paraId="435B7312" w14:textId="77777777">
      <w:pPr>
        <w:pStyle w:val="zGTC03"/>
        <w:rPr>
          <w:vanish/>
          <w:specVanish/>
        </w:rPr>
      </w:pPr>
      <w:r>
        <w:lastRenderedPageBreak/>
        <w:t>Incorrect Representation or Warranty.</w:t>
      </w:r>
    </w:p>
    <w:p w:rsidRPr="00F40F9C" w:rsidR="00A23C85" w:rsidP="00A23C85" w:rsidRDefault="008B55A2" w14:paraId="265A4990" w14:textId="20ABF405">
      <w:pPr>
        <w:pStyle w:val="zGNormal"/>
      </w:pPr>
      <w:r>
        <w:rPr>
          <w:b/>
          <w:bCs/>
        </w:rPr>
        <w:t xml:space="preserve"> </w:t>
      </w:r>
      <w:r>
        <w:t>Any representation or warranty made by GPC in this PPA or in any certificate or other document delivered to Seller in accordance with this PPA proves to be incorrect in any material respect when made, unless GPC promptly commences and diligently pursues action to cause the representation or warranty to become true in all material respects and does so within 30 Days after Seller has given GPC notice (unless the cure is not capable of being effected within such 30-Day period</w:t>
      </w:r>
      <w:r w:rsidR="00D02CCB">
        <w:t>,</w:t>
      </w:r>
      <w:r>
        <w:t xml:space="preserve"> in which case GPC will have an additional 30-Day period in which to perform the cure) and the cure removes any material adverse effect on Seller because of the representation or warranty having been incorrect. </w:t>
      </w:r>
    </w:p>
    <w:p w:rsidRPr="00F40F9C" w:rsidR="00A23C85" w:rsidP="00C22140" w:rsidRDefault="008B55A2" w14:paraId="70C4F2D9" w14:textId="77777777">
      <w:pPr>
        <w:pStyle w:val="zGTC03"/>
        <w:rPr>
          <w:vanish/>
          <w:specVanish/>
        </w:rPr>
      </w:pPr>
      <w:r>
        <w:t>Involuntary Bankruptcy, Insolvency, or Reorganization.</w:t>
      </w:r>
    </w:p>
    <w:p w:rsidRPr="00F40F9C" w:rsidR="00A23C85" w:rsidP="00A23C85" w:rsidRDefault="008B55A2" w14:paraId="4EA5715B" w14:textId="77777777">
      <w:pPr>
        <w:pStyle w:val="zGNormal"/>
      </w:pPr>
      <w:r>
        <w:rPr>
          <w:b/>
          <w:bCs/>
        </w:rPr>
        <w:t xml:space="preserve"> </w:t>
      </w:r>
      <w:r>
        <w:t>A court having jurisdiction enters: (i) a decree or order for relief in respect of GPC in an involuntary case or proceeding under any applicable Federal or state bankruptcy, insolvency, reorganization or other similar law; or (ii) a decree or order adjudicating GPC bankrupt or insolvent, or approving as properly filed a petition seeking reorganization, arrangement, adjustment or composition of or regarding GPC under any applicable Federal or state law, or appointing a custodian, receiver, liquidator, assignee, trustee, sequestrator, or other similar official of GPC or of any substantial part of its affairs.</w:t>
      </w:r>
    </w:p>
    <w:p w:rsidRPr="00F40F9C" w:rsidR="00A23C85" w:rsidP="00C22140" w:rsidRDefault="008B55A2" w14:paraId="3BFA9A15" w14:textId="77777777">
      <w:pPr>
        <w:pStyle w:val="zGTC03"/>
        <w:rPr>
          <w:vanish/>
          <w:specVanish/>
        </w:rPr>
      </w:pPr>
      <w:r>
        <w:t>Voluntary Bankruptcy, Insolvency, or Reorganization.</w:t>
      </w:r>
    </w:p>
    <w:p w:rsidRPr="00F40F9C" w:rsidR="00A23C85" w:rsidP="00A23C85" w:rsidRDefault="008B55A2" w14:paraId="17F5F24B" w14:textId="77777777">
      <w:pPr>
        <w:pStyle w:val="zGNormal"/>
      </w:pPr>
      <w:r>
        <w:rPr>
          <w:b/>
          <w:bCs/>
        </w:rPr>
        <w:t xml:space="preserve"> </w:t>
      </w:r>
      <w:r>
        <w:t>GPC: (i)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GPC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similar relief under any applicable Federal or state law, which, if granted would have the effect of relieving GPC of any of its obligations; (iv) consents to the filing of any petition or to the appointment of or taking possession by a custodian, receiver, liquidator, assignee, trustee, sequestrator, or similar official of GPC or of any substantial part of its property; (v) makes an assignment for the benefit of creditors; (vi) admits in writing its inability to generally pay its debts as they become due; or (vii) takes any action in furtherance of any of the foregoing.</w:t>
      </w:r>
    </w:p>
    <w:p w:rsidRPr="00F40F9C" w:rsidR="00A23C85" w:rsidP="00C22140" w:rsidRDefault="008B55A2" w14:paraId="515CF8D8" w14:textId="77777777">
      <w:pPr>
        <w:pStyle w:val="zGTC03"/>
        <w:rPr>
          <w:vanish/>
          <w:specVanish/>
        </w:rPr>
      </w:pPr>
      <w:r>
        <w:t>Failure to Comply with PPA Assignment Requirements.</w:t>
      </w:r>
    </w:p>
    <w:p w:rsidRPr="00F40F9C" w:rsidR="00A23C85" w:rsidP="00A23C85" w:rsidRDefault="008B55A2" w14:paraId="76C348E3" w14:textId="3ACD8CED">
      <w:pPr>
        <w:pStyle w:val="zGNormal"/>
      </w:pPr>
      <w:r>
        <w:rPr>
          <w:b/>
          <w:bCs/>
        </w:rPr>
        <w:t xml:space="preserve"> </w:t>
      </w:r>
      <w:r>
        <w:t>GPC violates the requirements of Part 18 (</w:t>
      </w:r>
      <w:r>
        <w:rPr>
          <w:i/>
        </w:rPr>
        <w:t xml:space="preserve">Assignment, Transfers, </w:t>
      </w:r>
      <w:r w:rsidR="00410823">
        <w:rPr>
          <w:i/>
        </w:rPr>
        <w:t xml:space="preserve">and </w:t>
      </w:r>
      <w:r>
        <w:rPr>
          <w:i/>
        </w:rPr>
        <w:t>Changes of Control</w:t>
      </w:r>
      <w:r>
        <w:t xml:space="preserve">) through an </w:t>
      </w:r>
      <w:r w:rsidR="003D2C73">
        <w:t xml:space="preserve">unpermitted </w:t>
      </w:r>
      <w:r>
        <w:t>assignment or transfer of this PPA.</w:t>
      </w:r>
    </w:p>
    <w:p w:rsidRPr="00F40F9C" w:rsidR="00A23C85" w:rsidP="00C22140" w:rsidRDefault="008B55A2" w14:paraId="3CD0252D" w14:textId="77777777">
      <w:pPr>
        <w:pStyle w:val="zGTC03"/>
        <w:rPr>
          <w:vanish/>
          <w:specVanish/>
        </w:rPr>
      </w:pPr>
      <w:r>
        <w:t>Material Violation of Applicable Law.</w:t>
      </w:r>
    </w:p>
    <w:p w:rsidRPr="00F40F9C" w:rsidR="00A23C85" w:rsidP="00A23C85" w:rsidRDefault="008B55A2" w14:paraId="182EFACE" w14:textId="2D94C251">
      <w:pPr>
        <w:pStyle w:val="zGNormal"/>
      </w:pPr>
      <w:r>
        <w:rPr>
          <w:b/>
          <w:bCs/>
        </w:rPr>
        <w:t xml:space="preserve"> </w:t>
      </w:r>
      <w:r>
        <w:t>GPC violates an applicable law and the violation would have a material adverse effect on GPC’s ability to perform under this PPA and the violation is not cured within 30 Days after GPC receives Seller’s notice. If the cure is not capable of being effected within the 30-Day period, GPC will have an additional 30-Day period in which to commence the cure and after commencing the cure GPC will diligently pursue the cure and complete the cure within 60 Days. The cure must remove the material adverse effect(s) on GPC’s ability to perform under this PPA. GPC will be deemed not to have committed an Event of Default under this PPA if GPC has validly contested the alleged violation, the matter remains pending before the applicable Governmental Authorities, and the cease and desist order or other enforcement action due to an alleged violation of the applicable laws has been stayed.</w:t>
      </w:r>
    </w:p>
    <w:p w:rsidRPr="00F40F9C" w:rsidR="00A23C85" w:rsidP="005954E8" w:rsidRDefault="008B55A2" w14:paraId="5D5860F0" w14:textId="77777777">
      <w:pPr>
        <w:pStyle w:val="zGTC02"/>
        <w:keepNext/>
        <w:rPr>
          <w:rFonts w:ascii="Arial" w:hAnsi="Arial" w:cs="Arial"/>
          <w:specVanish/>
        </w:rPr>
      </w:pPr>
      <w:bookmarkStart w:name="_Toc158593265" w:id="907"/>
      <w:bookmarkStart w:name="_Toc158597544" w:id="908"/>
      <w:bookmarkStart w:name="_Toc158720168" w:id="909"/>
      <w:bookmarkStart w:name="_Toc158722922" w:id="910"/>
      <w:bookmarkStart w:name="_Toc158929454" w:id="911"/>
      <w:bookmarkStart w:name="_Toc169778663" w:id="912"/>
      <w:bookmarkStart w:name="_Toc194937542" w:id="913"/>
      <w:bookmarkStart w:name="_Toc174624929" w:id="914"/>
      <w:bookmarkStart w:name="_Toc227451590" w:id="915"/>
      <w:bookmarkEnd w:id="907"/>
      <w:bookmarkEnd w:id="908"/>
      <w:bookmarkEnd w:id="909"/>
      <w:bookmarkEnd w:id="910"/>
      <w:bookmarkEnd w:id="911"/>
      <w:r>
        <w:rPr>
          <w:rFonts w:ascii="Arial" w:hAnsi="Arial" w:cs="Arial"/>
        </w:rPr>
        <w:t>Remedies.</w:t>
      </w:r>
      <w:bookmarkEnd w:id="912"/>
      <w:bookmarkEnd w:id="913"/>
      <w:bookmarkEnd w:id="914"/>
      <w:bookmarkEnd w:id="915"/>
    </w:p>
    <w:p w:rsidRPr="00F40F9C" w:rsidR="00A23C85" w:rsidP="00C22140" w:rsidRDefault="008B55A2" w14:paraId="228BC88E" w14:textId="77777777">
      <w:pPr>
        <w:pStyle w:val="zGTC03"/>
        <w:rPr>
          <w:vanish/>
          <w:specVanish/>
        </w:rPr>
      </w:pPr>
      <w:r>
        <w:t xml:space="preserve">Remedies for Event of Default. </w:t>
      </w:r>
    </w:p>
    <w:p w:rsidRPr="00F40F9C" w:rsidR="00A23C85" w:rsidP="00A23C85" w:rsidRDefault="008B55A2" w14:paraId="6799C29B" w14:textId="3EEF680E">
      <w:pPr>
        <w:pStyle w:val="zGNormal"/>
      </w:pPr>
      <w:r>
        <w:rPr>
          <w:b/>
          <w:bCs/>
        </w:rPr>
        <w:t xml:space="preserve"> </w:t>
      </w:r>
      <w:r>
        <w:t>If an Event of Default occurs at any time during the Term, the Party not in default under this PPA (“</w:t>
      </w:r>
      <w:r>
        <w:rPr>
          <w:b/>
          <w:bCs/>
        </w:rPr>
        <w:t>Non-Defaulting Party</w:t>
      </w:r>
      <w:r>
        <w:t>”) may, for so long as the Event of Default is continuing, subject to Part 19 (</w:t>
      </w:r>
      <w:r>
        <w:rPr>
          <w:i/>
        </w:rPr>
        <w:t>Dispute Resolution</w:t>
      </w:r>
      <w:r>
        <w:t>), take one or more of the following actions: (i) establish a date, no later than 10 Business Days after the Non-Defaulting Party delivers to the Party in default under this PPA (“</w:t>
      </w:r>
      <w:r>
        <w:rPr>
          <w:b/>
          <w:bCs/>
        </w:rPr>
        <w:t>Defaulting Party</w:t>
      </w:r>
      <w:r>
        <w:t>”) notice of the date, on which this PPA will terminate (“</w:t>
      </w:r>
      <w:r>
        <w:rPr>
          <w:b/>
          <w:bCs/>
        </w:rPr>
        <w:t>Early Termination Date</w:t>
      </w:r>
      <w:r>
        <w:t>”); (ii) proceed by appropriate proceedings in accordance with this PPA at law, in equity, or otherwise, to protect and enforce: (a) Non-Defaulting Party’s right to recover actual or liquidated damages; or (b) where the Event of Default is one other than the failure to pay money, equitable relief, including specific performance; and (iii) immediately stop performance or withhold any payments, or both, due under this PPA.</w:t>
      </w:r>
    </w:p>
    <w:p w:rsidRPr="00F40F9C" w:rsidR="00A23C85" w:rsidP="00C22140" w:rsidRDefault="007B7930" w14:paraId="10CB980B" w14:textId="12D4EC37">
      <w:pPr>
        <w:pStyle w:val="zGTC03"/>
        <w:rPr>
          <w:vanish/>
          <w:specVanish/>
        </w:rPr>
      </w:pPr>
      <w:r>
        <w:lastRenderedPageBreak/>
        <w:t>Termination Payment</w:t>
      </w:r>
      <w:r w:rsidR="008B55A2">
        <w:t xml:space="preserve">. </w:t>
      </w:r>
    </w:p>
    <w:p w:rsidRPr="00F40F9C" w:rsidR="00A23C85" w:rsidP="00A23C85" w:rsidRDefault="008B55A2" w14:paraId="6D948867" w14:textId="68CC6D75">
      <w:pPr>
        <w:pStyle w:val="zGNormal"/>
      </w:pPr>
      <w:r>
        <w:rPr>
          <w:b/>
          <w:bCs/>
        </w:rPr>
        <w:t xml:space="preserve"> </w:t>
      </w:r>
      <w:r>
        <w:t>If an Early Termination Date has been established and Non-Defaulting Party has not successfully pursued an action for specific performance, Non-Defaulting Party will in good faith calculate its Gains, Losses, or Costs resulting from the PPA termination, aggregate into a single net amount Gains, Losses, or Costs, and then notify Defaulting Party. If Non-Defaulting Party’s aggregate Losses and Costs exceed Non-Defaulting Party’s aggregate Gains, Defaulting Party will, unless Defaulting Party disagrees with the calculation, within 15 Business Days after receipt of such notice, pay to Non-Defaulting Party the net amount (“</w:t>
      </w:r>
      <w:r>
        <w:rPr>
          <w:b/>
        </w:rPr>
        <w:t>Termination Payment</w:t>
      </w:r>
      <w:r>
        <w:t>”). The Termination Payment will bear interest at the Interest Rate from the Early Termination Date until paid to Non-Defaulting Party. If Non-Defaulting Party’s aggregate Gains exceed aggregate Losses and Costs, if any, resulting from the PPA termination, Non-Defaulting Party may retain the Gains. If Defaulting Party disagrees with the calculation of the Termination Payment, the issue will be resolved in accordance with Part 19 (</w:t>
      </w:r>
      <w:r>
        <w:rPr>
          <w:i/>
        </w:rPr>
        <w:t>Dispute Resolution</w:t>
      </w:r>
      <w:r>
        <w:t>) provisions applicable to Termination Payment disputes, and the resulting Termination Payment will be due by no later than three Business Days after the award. Despite any provision in this PPA, for any GPC PPA termination for a Seller Event</w:t>
      </w:r>
      <w:r w:rsidR="006B543F">
        <w:t xml:space="preserve"> of Default</w:t>
      </w:r>
      <w:r>
        <w:t xml:space="preserve"> </w:t>
      </w:r>
      <w:r w:rsidR="001B3A48">
        <w:t>that occurs before the Facility achieves Commercial Operation</w:t>
      </w:r>
      <w:r>
        <w:t xml:space="preserve">, rather than the application of a calculation of Gains, Losses, or Costs resulting from the PPA termination, the Termination Payment will be liquidated damages </w:t>
      </w:r>
      <w:r w:rsidR="00FF08C4">
        <w:t xml:space="preserve">in an amount </w:t>
      </w:r>
      <w:r>
        <w:t xml:space="preserve">equal to the </w:t>
      </w:r>
      <w:r w:rsidR="002B4130">
        <w:t>full amount of the then-</w:t>
      </w:r>
      <w:r w:rsidR="009103F5">
        <w:t xml:space="preserve">required </w:t>
      </w:r>
      <w:r w:rsidR="002B4130">
        <w:t>Performance Security</w:t>
      </w:r>
      <w:r>
        <w:t xml:space="preserve"> amount shown in Part 1 (</w:t>
      </w:r>
      <w:r>
        <w:rPr>
          <w:i/>
          <w:iCs/>
        </w:rPr>
        <w:t>Performance Security</w:t>
      </w:r>
      <w:r>
        <w:t>) of Exhibit A-2 (</w:t>
      </w:r>
      <w:r>
        <w:rPr>
          <w:i/>
        </w:rPr>
        <w:t>Performance Security and Liquidated Damages</w:t>
      </w:r>
      <w:r>
        <w:t>)</w:t>
      </w:r>
      <w:r w:rsidR="00FF22EF">
        <w:t>.</w:t>
      </w:r>
      <w:r>
        <w:t xml:space="preserve"> </w:t>
      </w:r>
      <w:r w:rsidR="00493DFF">
        <w:t xml:space="preserve">In each case, </w:t>
      </w:r>
      <w:r>
        <w:t xml:space="preserve">Seller must </w:t>
      </w:r>
      <w:r w:rsidR="00493DFF">
        <w:t xml:space="preserve">also </w:t>
      </w:r>
      <w:r>
        <w:t xml:space="preserve">pay to GPC </w:t>
      </w:r>
      <w:r w:rsidR="00493DFF">
        <w:t>a</w:t>
      </w:r>
      <w:r w:rsidR="00A0661D">
        <w:t>ll</w:t>
      </w:r>
      <w:r>
        <w:t xml:space="preserve"> other damages </w:t>
      </w:r>
      <w:r w:rsidR="008655B7">
        <w:t>owed to GPC under this PPA, including any applicable amount</w:t>
      </w:r>
      <w:r>
        <w:t xml:space="preserve"> specified in Section 7.3 (</w:t>
      </w:r>
      <w:r>
        <w:rPr>
          <w:i/>
          <w:iCs/>
        </w:rPr>
        <w:t>Failure to Achieve Commercial Operation by RCOD</w:t>
      </w:r>
      <w:r>
        <w:t>).</w:t>
      </w:r>
    </w:p>
    <w:p w:rsidRPr="00F40F9C" w:rsidR="00A23C85" w:rsidP="00C22140" w:rsidRDefault="008B55A2" w14:paraId="7641D046" w14:textId="77777777">
      <w:pPr>
        <w:pStyle w:val="zGTC03"/>
        <w:rPr>
          <w:vanish/>
          <w:specVanish/>
        </w:rPr>
      </w:pPr>
      <w:r>
        <w:t>Determining Gains, Losses, and Costs.</w:t>
      </w:r>
    </w:p>
    <w:p w:rsidRPr="00F40F9C" w:rsidR="00A23C85" w:rsidP="00A23C85" w:rsidRDefault="008B55A2" w14:paraId="55E00D2E" w14:textId="2891F121">
      <w:pPr>
        <w:pStyle w:val="zGNormal"/>
      </w:pPr>
      <w:r>
        <w:rPr>
          <w:b/>
        </w:rPr>
        <w:t xml:space="preserve"> </w:t>
      </w:r>
      <w:r>
        <w:t>Gains, Losses, or Costs will be determined by comparing the cost of the capacity that would be available for the remainder of the Term had this PPA not been terminated to the market price of capacity of equivalent reliability and dispatch flexibility for the remaining Term (had this PPA not been terminated). Nothing in Part 6 (</w:t>
      </w:r>
      <w:r>
        <w:rPr>
          <w:i/>
        </w:rPr>
        <w:t>Performance Security</w:t>
      </w:r>
      <w:r>
        <w:t>) is intended to limit liability under this Section 16.3 (</w:t>
      </w:r>
      <w:r>
        <w:rPr>
          <w:i/>
        </w:rPr>
        <w:t>Remedies</w:t>
      </w:r>
      <w:r>
        <w:t xml:space="preserve">). To ascertain the market price, Non-Defaulting Party may consider, among other evidence, the settlement prices of NYMEX energy futures contracts, quotations from leading dealers in energy and gas swap contracts, offers for replacement capacity and energy, or bids to purchase the </w:t>
      </w:r>
      <w:r>
        <w:rPr>
          <w:rStyle w:val="DeltaViewInsertion"/>
          <w:color w:val="auto"/>
          <w:u w:val="none"/>
        </w:rPr>
        <w:t>remaining</w:t>
      </w:r>
      <w:r>
        <w:t xml:space="preserve"> capacity that was to be sold in accordance with this PPA, in either case made by bona fide third-parties (including offers Non-Defaulting Party received in response to any request for proposals for capacity contracts), all adjusted for the length of the remaining Term (as of the PPA termination date) and differences in locational basis (including costs of transmission investments and transmission service), reliability, dispatch flexibility, and any other considerations affecting value. Neither Party will be required to enter into replacement transactions to determine the Termination Payment. As used in this Section 16.3</w:t>
      </w:r>
      <w:r w:rsidR="00F937FE">
        <w:t xml:space="preserve"> (</w:t>
      </w:r>
      <w:r w:rsidRPr="00F937FE" w:rsidR="00F937FE">
        <w:rPr>
          <w:i/>
          <w:iCs/>
        </w:rPr>
        <w:t>Remedies</w:t>
      </w:r>
      <w:r w:rsidR="00F937FE">
        <w:t>)</w:t>
      </w:r>
      <w:r>
        <w:t>: (i) “</w:t>
      </w:r>
      <w:r>
        <w:rPr>
          <w:b/>
        </w:rPr>
        <w:t>Costs</w:t>
      </w:r>
      <w:r>
        <w:t>” means: Brokerage fees, commissions, and other similar transaction costs and expenses reasonably incurred by a Party either in terminating any agreement it has entered into to fulfill its obligations under this PPA or entering into new agreements which replace this PPA, and attorneys’ fees, if any, incurred enforcing its rights under this PPA; (ii) “</w:t>
      </w:r>
      <w:r>
        <w:rPr>
          <w:b/>
        </w:rPr>
        <w:t>Gains</w:t>
      </w:r>
      <w:r>
        <w:t xml:space="preserve">” means: An amount equal to the economic benefit determined on a mark to market basis (exclusive of Costs), if any, to </w:t>
      </w:r>
      <w:r>
        <w:rPr>
          <w:w w:val="0"/>
        </w:rPr>
        <w:t xml:space="preserve">the Non-Defaulting Party </w:t>
      </w:r>
      <w:r>
        <w:t>resulting from the termination of this PPA; and (iii) “</w:t>
      </w:r>
      <w:r>
        <w:rPr>
          <w:b/>
        </w:rPr>
        <w:t>Losses</w:t>
      </w:r>
      <w:r>
        <w:t xml:space="preserve">” means: An amount equal to the economic loss determined on a mark to market basis (exclusive of Costs), if any, to </w:t>
      </w:r>
      <w:r>
        <w:rPr>
          <w:w w:val="0"/>
        </w:rPr>
        <w:t>the Non-Defaulting Party</w:t>
      </w:r>
      <w:r>
        <w:t xml:space="preserve"> resulting from the termination of this PPA.</w:t>
      </w:r>
    </w:p>
    <w:p w:rsidRPr="00F40F9C" w:rsidR="00A23C85" w:rsidP="00A23C85" w:rsidRDefault="008B55A2" w14:paraId="0F669261" w14:textId="77777777">
      <w:pPr>
        <w:pStyle w:val="zGTC02"/>
        <w:rPr>
          <w:rFonts w:ascii="Arial" w:hAnsi="Arial" w:cs="Arial"/>
          <w:vanish/>
          <w:specVanish/>
        </w:rPr>
      </w:pPr>
      <w:bookmarkStart w:name="_Toc160749177" w:id="916"/>
      <w:bookmarkStart w:name="_Toc194937543" w:id="917"/>
      <w:bookmarkStart w:name="_Toc174624930" w:id="918"/>
      <w:bookmarkStart w:name="_Toc227451591" w:id="919"/>
      <w:r>
        <w:rPr>
          <w:rFonts w:ascii="Arial" w:hAnsi="Arial" w:cs="Arial"/>
        </w:rPr>
        <w:t>Rights of Specific Performance.</w:t>
      </w:r>
      <w:bookmarkStart w:name="_Toc158593266" w:id="920"/>
      <w:bookmarkStart w:name="_Toc158597545" w:id="921"/>
      <w:bookmarkStart w:name="_Toc158720169" w:id="922"/>
      <w:bookmarkStart w:name="_Toc158722923" w:id="923"/>
      <w:bookmarkStart w:name="_Toc158929455" w:id="924"/>
      <w:bookmarkEnd w:id="916"/>
      <w:bookmarkEnd w:id="917"/>
      <w:bookmarkEnd w:id="918"/>
      <w:bookmarkEnd w:id="919"/>
      <w:bookmarkEnd w:id="920"/>
      <w:bookmarkEnd w:id="921"/>
      <w:bookmarkEnd w:id="922"/>
      <w:bookmarkEnd w:id="923"/>
      <w:bookmarkEnd w:id="924"/>
    </w:p>
    <w:p w:rsidRPr="00F40F9C" w:rsidR="00A23C85" w:rsidP="00A23C85" w:rsidRDefault="008B55A2" w14:paraId="6D0A3F98" w14:textId="77777777">
      <w:pPr>
        <w:pStyle w:val="zGNormal"/>
      </w:pPr>
      <w:r>
        <w:t xml:space="preserve"> For an Event of Default, the Parties recognize that a remedy at law may be inadequate because this PPA is unique or because the actual damages of the Non-Defaulting Party may exceed any guaranty or other collateral</w:t>
      </w:r>
      <w:r>
        <w:rPr>
          <w:b/>
          <w:bCs/>
          <w:i/>
          <w:iCs/>
        </w:rPr>
        <w:t xml:space="preserve"> </w:t>
      </w:r>
      <w:r>
        <w:t>available to the Non-Defaulting Party. The Parties agree that in an Event of Default for which this PPA has not prescribed a specific remedy, Non-Defaulting Party will be entitled to pursue an action for specific performance, and Defaulting Party waives Defaulting Party’s rights to assert as a defense to a specific performance action that the Non-Defaulting Party’s remedy at law is adequate. The Non-Defaulting Party will not be entitled to receive both specific performance and a Termination Payment from the Defaulting Party.</w:t>
      </w:r>
    </w:p>
    <w:p w:rsidRPr="00F40F9C" w:rsidR="00A23C85" w:rsidP="00A23C85" w:rsidRDefault="008B55A2" w14:paraId="3D369870" w14:textId="77777777">
      <w:pPr>
        <w:pStyle w:val="zGTC02"/>
        <w:rPr>
          <w:rFonts w:ascii="Arial" w:hAnsi="Arial" w:cs="Arial"/>
          <w:vanish/>
          <w:specVanish/>
        </w:rPr>
      </w:pPr>
      <w:bookmarkStart w:name="_Toc160749178" w:id="925"/>
      <w:bookmarkStart w:name="_Toc194937544" w:id="926"/>
      <w:bookmarkStart w:name="_Toc174624931" w:id="927"/>
      <w:bookmarkStart w:name="_Toc227451592" w:id="928"/>
      <w:r>
        <w:rPr>
          <w:rFonts w:ascii="Arial" w:hAnsi="Arial" w:cs="Arial"/>
        </w:rPr>
        <w:t>Limitation of Remedies, Liability, and Damages.</w:t>
      </w:r>
      <w:bookmarkStart w:name="_Toc158593267" w:id="929"/>
      <w:bookmarkStart w:name="_Toc158597546" w:id="930"/>
      <w:bookmarkStart w:name="_Toc158720170" w:id="931"/>
      <w:bookmarkStart w:name="_Toc158722924" w:id="932"/>
      <w:bookmarkStart w:name="_Toc158929456" w:id="933"/>
      <w:bookmarkEnd w:id="925"/>
      <w:bookmarkEnd w:id="926"/>
      <w:bookmarkEnd w:id="927"/>
      <w:bookmarkEnd w:id="928"/>
      <w:bookmarkEnd w:id="929"/>
      <w:bookmarkEnd w:id="930"/>
      <w:bookmarkEnd w:id="931"/>
      <w:bookmarkEnd w:id="932"/>
      <w:bookmarkEnd w:id="933"/>
    </w:p>
    <w:p w:rsidRPr="00F40F9C" w:rsidR="00A23C85" w:rsidP="00A23C85" w:rsidRDefault="008B55A2" w14:paraId="7282E204" w14:textId="3C5D71B3">
      <w:pPr>
        <w:pStyle w:val="zGNormal"/>
        <w:rPr>
          <w:b/>
          <w:bCs/>
          <w:u w:val="single"/>
        </w:rPr>
      </w:pPr>
      <w:r>
        <w:t xml:space="preserve"> </w:t>
      </w:r>
      <w:r>
        <w:rPr>
          <w:b/>
          <w:bCs/>
          <w:u w:val="single"/>
        </w:rPr>
        <w:t xml:space="preserve">Each Party confirms that the express remedies and measures of damages provided in this PPA satisfy the essential purpose of this PPA </w:t>
      </w:r>
      <w:r>
        <w:rPr>
          <w:b/>
          <w:bCs/>
          <w:u w:val="single"/>
        </w:rPr>
        <w:lastRenderedPageBreak/>
        <w:t xml:space="preserve">for breach of any provision for which an express remedy or measure of damages is provided, in which event the express remedy or measure of damages will be the exclusive remedy, subject to </w:t>
      </w:r>
      <w:r>
        <w:rPr>
          <w:b/>
          <w:u w:val="single"/>
        </w:rPr>
        <w:t>Section 19.6 (</w:t>
      </w:r>
      <w:r>
        <w:rPr>
          <w:b/>
          <w:i/>
          <w:u w:val="single"/>
        </w:rPr>
        <w:t>Injunctive Relief</w:t>
      </w:r>
      <w:r>
        <w:rPr>
          <w:b/>
          <w:u w:val="single"/>
        </w:rPr>
        <w:t>)</w:t>
      </w:r>
      <w:r>
        <w:rPr>
          <w:b/>
          <w:bCs/>
          <w:u w:val="single"/>
        </w:rPr>
        <w:t xml:space="preserve"> regarding injunctive relief. Except to the extent expressly provided in </w:t>
      </w:r>
      <w:r>
        <w:rPr>
          <w:b/>
          <w:u w:val="single"/>
        </w:rPr>
        <w:t>Section 7.3 (</w:t>
      </w:r>
      <w:r>
        <w:rPr>
          <w:b/>
          <w:i/>
          <w:u w:val="single"/>
        </w:rPr>
        <w:t>Failure to Achieve Commercial Operation by RCOD</w:t>
      </w:r>
      <w:r>
        <w:rPr>
          <w:b/>
          <w:u w:val="single"/>
        </w:rPr>
        <w:t>)</w:t>
      </w:r>
      <w:r>
        <w:rPr>
          <w:b/>
          <w:bCs/>
          <w:u w:val="single"/>
        </w:rPr>
        <w:t xml:space="preserve">, where an express remedy or measure of damage is provided, the Party’s liability will be limited as set forth in the provision and all other remedies or damages at law or in equity are waived. However, if no remedy or measure of damages is expressly provided in this </w:t>
      </w:r>
      <w:r>
        <w:rPr>
          <w:b/>
          <w:u w:val="single"/>
        </w:rPr>
        <w:t>PPA</w:t>
      </w:r>
      <w:r>
        <w:rPr>
          <w:b/>
          <w:bCs/>
          <w:u w:val="single"/>
        </w:rPr>
        <w:t xml:space="preserve">, and subject to </w:t>
      </w:r>
      <w:r>
        <w:rPr>
          <w:b/>
          <w:u w:val="single"/>
        </w:rPr>
        <w:t>Section 19.6</w:t>
      </w:r>
      <w:r>
        <w:rPr>
          <w:b/>
          <w:bCs/>
          <w:u w:val="single"/>
        </w:rPr>
        <w:t xml:space="preserve">, a Party’s liability will be limited to direct, actual damages only. The direct, actual damages will be the exclusive remedy and all other remedies or damages at law or in equity are waived. The Parties explicitly agree and intend that </w:t>
      </w:r>
      <w:r>
        <w:rPr>
          <w:b/>
          <w:u w:val="single"/>
        </w:rPr>
        <w:t>Section 7.3.1 (</w:t>
      </w:r>
      <w:r>
        <w:rPr>
          <w:b/>
          <w:i/>
          <w:u w:val="single"/>
        </w:rPr>
        <w:t>Delay Liquidated Damages</w:t>
      </w:r>
      <w:r>
        <w:rPr>
          <w:b/>
          <w:bCs/>
          <w:u w:val="single"/>
        </w:rPr>
        <w:t xml:space="preserve">), </w:t>
      </w:r>
      <w:r w:rsidR="0023706A">
        <w:rPr>
          <w:b/>
          <w:bCs/>
          <w:u w:val="single"/>
        </w:rPr>
        <w:t>Section 16.3.2 (</w:t>
      </w:r>
      <w:r w:rsidRPr="0023706A" w:rsidR="0023706A">
        <w:rPr>
          <w:b/>
          <w:bCs/>
          <w:i/>
          <w:iCs/>
          <w:u w:val="single"/>
        </w:rPr>
        <w:t>Termination Payment</w:t>
      </w:r>
      <w:r>
        <w:rPr>
          <w:b/>
          <w:bCs/>
          <w:u w:val="single"/>
        </w:rPr>
        <w:t xml:space="preserve">), </w:t>
      </w:r>
      <w:r>
        <w:rPr>
          <w:b/>
          <w:u w:val="single"/>
        </w:rPr>
        <w:t xml:space="preserve">Exhibit B </w:t>
      </w:r>
      <w:r>
        <w:rPr>
          <w:b/>
          <w:bCs/>
          <w:u w:val="single"/>
        </w:rPr>
        <w:t>(</w:t>
      </w:r>
      <w:r>
        <w:rPr>
          <w:b/>
          <w:bCs/>
          <w:i/>
          <w:iCs/>
          <w:u w:val="single"/>
        </w:rPr>
        <w:t>Capacity; Capacity Payments and Payment Reductions; Buydown</w:t>
      </w:r>
      <w:r>
        <w:rPr>
          <w:b/>
          <w:u w:val="single"/>
        </w:rPr>
        <w:t xml:space="preserve">), </w:t>
      </w:r>
      <w:r>
        <w:rPr>
          <w:b/>
          <w:bCs/>
          <w:u w:val="single"/>
        </w:rPr>
        <w:t>and Exhibit C (</w:t>
      </w:r>
      <w:r>
        <w:rPr>
          <w:b/>
          <w:i/>
          <w:u w:val="single"/>
        </w:rPr>
        <w:t>Monthly Capacity Payments; Monthly Capacity Reductions; AGC Performance Metrics and Requirements</w:t>
      </w:r>
      <w:r>
        <w:rPr>
          <w:b/>
          <w:u w:val="single"/>
        </w:rPr>
        <w:t>)</w:t>
      </w:r>
      <w:r>
        <w:rPr>
          <w:b/>
          <w:bCs/>
          <w:u w:val="single"/>
        </w:rPr>
        <w:t xml:space="preserve"> will be fully enforceable by any court exercising jurisdiction over any dispute between the Parties arising under this PPA. Each Party irrevocably waives any defense available to it under applicable law or equity relating to the enforceability of the liquidated damages provisions set forth in </w:t>
      </w:r>
      <w:r>
        <w:rPr>
          <w:b/>
          <w:u w:val="single"/>
        </w:rPr>
        <w:t xml:space="preserve">Section 7.3.1, Exhibit B, and </w:t>
      </w:r>
      <w:r>
        <w:rPr>
          <w:b/>
          <w:bCs/>
          <w:u w:val="single"/>
        </w:rPr>
        <w:t>Exhibit C</w:t>
      </w:r>
      <w:r>
        <w:rPr>
          <w:b/>
          <w:bCs/>
        </w:rPr>
        <w:t>.</w:t>
      </w:r>
    </w:p>
    <w:p w:rsidRPr="00F40F9C" w:rsidR="00A07D33" w:rsidP="00A23C85" w:rsidRDefault="008B55A2" w14:paraId="2225B1C9" w14:textId="01DC5576">
      <w:pPr>
        <w:pStyle w:val="zGTC02"/>
        <w:rPr>
          <w:vanish/>
          <w:specVanish/>
        </w:rPr>
      </w:pPr>
      <w:bookmarkStart w:name="_Toc160749179" w:id="934"/>
      <w:bookmarkStart w:name="_Toc194937545" w:id="935"/>
      <w:bookmarkStart w:name="_Toc174624932" w:id="936"/>
      <w:bookmarkStart w:name="_Toc227451593" w:id="937"/>
      <w:r>
        <w:t>Waiver of Consequential Damages.</w:t>
      </w:r>
      <w:bookmarkEnd w:id="934"/>
      <w:bookmarkEnd w:id="935"/>
      <w:bookmarkEnd w:id="936"/>
      <w:bookmarkEnd w:id="937"/>
    </w:p>
    <w:p w:rsidRPr="00F40F9C" w:rsidR="00A23C85" w:rsidP="00A07D33" w:rsidRDefault="008B55A2" w14:paraId="1B222917" w14:textId="173295B2">
      <w:pPr>
        <w:pStyle w:val="zGNormal"/>
        <w:rPr>
          <w:b/>
          <w:u w:val="single"/>
        </w:rPr>
      </w:pPr>
      <w:r>
        <w:rPr>
          <w:b/>
        </w:rPr>
        <w:t xml:space="preserve"> </w:t>
      </w:r>
      <w:r>
        <w:rPr>
          <w:b/>
          <w:u w:val="single"/>
        </w:rPr>
        <w:t>Unless expressly provided in this PPA, neither Party nor its Affiliates will be liable for: (i) consequential, incidental, special, punitive, exemplary, treble, or indirect damages (including lost profits; loss of use, income tax benefit, data, business opportunity or anticipated savings; idled equipment costs; or increased overhead, financing, or operating costs); or (ii) other business interruption damages arising out of this PPA, any damage or delay in connection with this PPA, a Party’s act or failure to act, or a Party’s performance or non-performance under this PPA, whether or not reasonable, foreseeable, contemplated, or avoidable and whether by statute, in tort or contract, under any indemnity provision, or otherwise. The preceding sentence will not apply: (a) for amounts owed to a third party for which this PPA requires indemnification; (b) to limit the liability of Seller for liquidated damages specified in this PPA; (c) to limit the liability of a Person whose actions giving rise to the liability constitute gross negligence or willful misconduct; or (</w:t>
      </w:r>
      <w:r w:rsidR="003673AC">
        <w:rPr>
          <w:b/>
          <w:u w:val="single"/>
        </w:rPr>
        <w:t>d</w:t>
      </w:r>
      <w:r>
        <w:rPr>
          <w:b/>
          <w:u w:val="single"/>
        </w:rPr>
        <w:t>) to limit or reduce the amounts owed by a defaulting Party under Section 16.3 (</w:t>
      </w:r>
      <w:r>
        <w:rPr>
          <w:b/>
          <w:i/>
          <w:iCs/>
          <w:u w:val="single"/>
        </w:rPr>
        <w:t>Remedies</w:t>
      </w:r>
      <w:r>
        <w:rPr>
          <w:b/>
          <w:u w:val="single"/>
        </w:rPr>
        <w:t>), it being expressly agreed that no portion of any amount owed under Section 16.3 will be considered consequential damages and  it being expressly agreed that the lost value of any investment tax credit (ITC), production tax credit (PTC), or any other similar Tax credit or benefit will be considered consequential damages. To the extent any damages required to be paid under this PPA are liquidated, the Parties acknowledge that: (I) the actual damages likely to be incurred are difficult or impossible to determine; (II) otherwise obtaining an adequate remedy is inconvenient; and (III) the liquidated damages do not constitute a penalty and are a reasonable approximation of the actual harm or loss. Despite any other provision in this PPA, in no event will GPC’s liability to Seller for a termination payment under this PPA exceed an amount equal to the sum of any amounts then owed by GPC under this PPA plus the total of all remaining monthly capacity payments following termination that would have been payable to Seller under this PPA had the PPA remained in effect through the end of the Term. The limitations in Section 16.5 (</w:t>
      </w:r>
      <w:r>
        <w:rPr>
          <w:b/>
          <w:i/>
          <w:iCs/>
          <w:u w:val="single"/>
        </w:rPr>
        <w:t>Limitation of Remedies, Liability, and Damages</w:t>
      </w:r>
      <w:r>
        <w:rPr>
          <w:b/>
          <w:u w:val="single"/>
        </w:rPr>
        <w:t>) and this Section 16.6 apply regardless of fault and will survive PPA termination, cancellation, suspension, completion, or expiration.</w:t>
      </w:r>
      <w:bookmarkStart w:name="_Toc158593268" w:id="938"/>
      <w:bookmarkStart w:name="_Toc158597547" w:id="939"/>
      <w:bookmarkStart w:name="_Toc158720171" w:id="940"/>
      <w:bookmarkStart w:name="_Toc158722925" w:id="941"/>
      <w:bookmarkStart w:name="_Toc158929457" w:id="942"/>
      <w:bookmarkEnd w:id="938"/>
      <w:bookmarkEnd w:id="939"/>
      <w:bookmarkEnd w:id="940"/>
      <w:bookmarkEnd w:id="941"/>
      <w:bookmarkEnd w:id="942"/>
      <w:r>
        <w:rPr>
          <w:b/>
          <w:u w:val="single"/>
        </w:rPr>
        <w:t xml:space="preserve"> </w:t>
      </w:r>
    </w:p>
    <w:p w:rsidRPr="00F40F9C" w:rsidR="00A23C85" w:rsidRDefault="008B55A2" w14:paraId="088F0C42" w14:textId="77777777">
      <w:pPr>
        <w:pStyle w:val="zGTC02"/>
        <w:rPr>
          <w:vanish/>
          <w:specVanish/>
        </w:rPr>
      </w:pPr>
      <w:bookmarkStart w:name="_Toc160749180" w:id="943"/>
      <w:bookmarkStart w:name="_Toc194937546" w:id="944"/>
      <w:bookmarkStart w:name="_Toc174624933" w:id="945"/>
      <w:bookmarkStart w:name="_Toc227451594" w:id="946"/>
      <w:r>
        <w:t>Disclaimer of Warranties.</w:t>
      </w:r>
      <w:bookmarkStart w:name="_Toc158593269" w:id="947"/>
      <w:bookmarkStart w:name="_Toc158597548" w:id="948"/>
      <w:bookmarkStart w:name="_Toc158720172" w:id="949"/>
      <w:bookmarkStart w:name="_Toc158722926" w:id="950"/>
      <w:bookmarkStart w:name="_Toc158929458" w:id="951"/>
      <w:bookmarkEnd w:id="943"/>
      <w:bookmarkEnd w:id="944"/>
      <w:bookmarkEnd w:id="945"/>
      <w:bookmarkEnd w:id="946"/>
      <w:bookmarkEnd w:id="947"/>
      <w:bookmarkEnd w:id="948"/>
      <w:bookmarkEnd w:id="949"/>
      <w:bookmarkEnd w:id="950"/>
      <w:bookmarkEnd w:id="951"/>
    </w:p>
    <w:p w:rsidRPr="00F40F9C" w:rsidR="00A23C85" w:rsidP="003647AE" w:rsidRDefault="008B55A2" w14:paraId="72D5FC97" w14:textId="77777777">
      <w:pPr>
        <w:pStyle w:val="zGNormal"/>
        <w:rPr>
          <w:b/>
          <w:bCs/>
          <w:u w:val="single"/>
        </w:rPr>
      </w:pPr>
      <w:r>
        <w:t xml:space="preserve"> </w:t>
      </w:r>
      <w:r>
        <w:rPr>
          <w:b/>
          <w:bCs/>
          <w:u w:val="single"/>
        </w:rPr>
        <w:t>There are no warranties under this PPA except to the extent specifically set forth in this PPA. The Parties specifically disclaim and exclude all implied warranties, including the implied warranties of merchantability and of fitness for a particular purpose.</w:t>
      </w:r>
    </w:p>
    <w:p w:rsidRPr="00F40F9C" w:rsidR="00A23C85" w:rsidP="00A23C85" w:rsidRDefault="008B55A2" w14:paraId="16482B0A" w14:textId="77777777">
      <w:pPr>
        <w:pStyle w:val="zGTC02"/>
        <w:rPr>
          <w:vanish/>
          <w:specVanish/>
        </w:rPr>
      </w:pPr>
      <w:bookmarkStart w:name="_Toc160749181" w:id="952"/>
      <w:bookmarkStart w:name="_Toc194937547" w:id="953"/>
      <w:bookmarkStart w:name="_Toc174624934" w:id="954"/>
      <w:bookmarkStart w:name="_Toc227451595" w:id="955"/>
      <w:r>
        <w:t>No Interruption.</w:t>
      </w:r>
      <w:bookmarkStart w:name="_Toc158593270" w:id="956"/>
      <w:bookmarkStart w:name="_Toc158597549" w:id="957"/>
      <w:bookmarkStart w:name="_Toc158720173" w:id="958"/>
      <w:bookmarkStart w:name="_Toc158722927" w:id="959"/>
      <w:bookmarkStart w:name="_Toc158929459" w:id="960"/>
      <w:bookmarkEnd w:id="952"/>
      <w:bookmarkEnd w:id="953"/>
      <w:bookmarkEnd w:id="954"/>
      <w:bookmarkEnd w:id="955"/>
      <w:bookmarkEnd w:id="956"/>
      <w:bookmarkEnd w:id="957"/>
      <w:bookmarkEnd w:id="958"/>
      <w:bookmarkEnd w:id="959"/>
      <w:bookmarkEnd w:id="960"/>
    </w:p>
    <w:p w:rsidRPr="00F40F9C" w:rsidR="00A23C85" w:rsidP="00A23C85" w:rsidRDefault="008B55A2" w14:paraId="69A7CD9C" w14:textId="77777777">
      <w:pPr>
        <w:pStyle w:val="zGNormal"/>
      </w:pPr>
      <w:r>
        <w:t xml:space="preserve"> Except as otherwise provided in this PPA, unless this PPA has been terminated, neither Party will, because of any breach or alleged breach by the other Party: (i) refuse to deliver, or suspend or delay any delivery of, capacity or associated energy to be provided under this PPA; (ii) refuse to take energy to the extent required under this PPA; or (iii) suspend, delay, or refuse to make any of the payments required under this PPA.</w:t>
      </w:r>
    </w:p>
    <w:p w:rsidRPr="00F40F9C" w:rsidR="00A23C85" w:rsidP="00A23C85" w:rsidRDefault="008B55A2" w14:paraId="6587D59A" w14:textId="77777777">
      <w:pPr>
        <w:pStyle w:val="zGTC02"/>
        <w:rPr>
          <w:vanish/>
          <w:specVanish/>
        </w:rPr>
      </w:pPr>
      <w:bookmarkStart w:name="_Toc160749182" w:id="961"/>
      <w:bookmarkStart w:name="_Toc194937548" w:id="962"/>
      <w:bookmarkStart w:name="_Toc174624935" w:id="963"/>
      <w:bookmarkStart w:name="_Toc227451596" w:id="964"/>
      <w:r>
        <w:lastRenderedPageBreak/>
        <w:t>Duty to Mitigate.</w:t>
      </w:r>
      <w:bookmarkStart w:name="_Toc158593271" w:id="965"/>
      <w:bookmarkStart w:name="_Toc158597550" w:id="966"/>
      <w:bookmarkStart w:name="_Toc158720174" w:id="967"/>
      <w:bookmarkStart w:name="_Toc158722928" w:id="968"/>
      <w:bookmarkStart w:name="_Toc158929460" w:id="969"/>
      <w:bookmarkEnd w:id="961"/>
      <w:bookmarkEnd w:id="962"/>
      <w:bookmarkEnd w:id="963"/>
      <w:bookmarkEnd w:id="964"/>
      <w:bookmarkEnd w:id="965"/>
      <w:bookmarkEnd w:id="966"/>
      <w:bookmarkEnd w:id="967"/>
      <w:bookmarkEnd w:id="968"/>
      <w:bookmarkEnd w:id="969"/>
    </w:p>
    <w:p w:rsidRPr="00F40F9C" w:rsidR="00A23C85" w:rsidP="00A23C85" w:rsidRDefault="008B55A2" w14:paraId="271A5F6C" w14:textId="77777777">
      <w:pPr>
        <w:pStyle w:val="zGNormal"/>
      </w:pPr>
      <w:r>
        <w:t xml:space="preserve"> Despite any other provision of this PPA, each Party must: (i) mitigate damages; and (ii) use commercially reasonable efforts to minimize any damages it may incur because of the other Party’s performance or non-performance.</w:t>
      </w:r>
    </w:p>
    <w:p w:rsidRPr="00F40F9C" w:rsidR="002D54C4" w:rsidP="004B0BBF" w:rsidRDefault="008B55A2" w14:paraId="39CB69FB" w14:textId="77777777">
      <w:pPr>
        <w:pStyle w:val="zGTC01"/>
        <w:tabs>
          <w:tab w:val="clear" w:pos="3762"/>
        </w:tabs>
        <w:ind w:left="1080"/>
        <w:rPr>
          <w:szCs w:val="20"/>
        </w:rPr>
      </w:pPr>
      <w:bookmarkStart w:name="_Toc160749183" w:id="970"/>
      <w:bookmarkStart w:name="_Toc194937549" w:id="971"/>
      <w:bookmarkStart w:name="_Toc174624936" w:id="972"/>
      <w:bookmarkStart w:name="_Toc227451597" w:id="973"/>
      <w:r>
        <w:t>Compliance with Laws</w:t>
      </w:r>
      <w:bookmarkEnd w:id="970"/>
      <w:bookmarkEnd w:id="971"/>
      <w:bookmarkEnd w:id="972"/>
      <w:bookmarkEnd w:id="973"/>
    </w:p>
    <w:p w:rsidRPr="00F40F9C" w:rsidR="002D54C4" w:rsidRDefault="008B55A2" w14:paraId="4BADA16B" w14:textId="77777777">
      <w:pPr>
        <w:pStyle w:val="zGTC02"/>
        <w:rPr>
          <w:vanish/>
          <w:specVanish/>
        </w:rPr>
      </w:pPr>
      <w:bookmarkStart w:name="_Toc160749184" w:id="974"/>
      <w:bookmarkStart w:name="_Toc194937550" w:id="975"/>
      <w:bookmarkStart w:name="_Toc174624937" w:id="976"/>
      <w:bookmarkStart w:name="_Toc227451598" w:id="977"/>
      <w:r>
        <w:t>Change of Law.</w:t>
      </w:r>
      <w:bookmarkStart w:name="_Toc158593273" w:id="978"/>
      <w:bookmarkStart w:name="_Toc158597552" w:id="979"/>
      <w:bookmarkStart w:name="_Toc158720176" w:id="980"/>
      <w:bookmarkStart w:name="_Toc158722930" w:id="981"/>
      <w:bookmarkStart w:name="_Toc158929462" w:id="982"/>
      <w:bookmarkEnd w:id="974"/>
      <w:bookmarkEnd w:id="975"/>
      <w:bookmarkEnd w:id="976"/>
      <w:bookmarkEnd w:id="977"/>
      <w:bookmarkEnd w:id="978"/>
      <w:bookmarkEnd w:id="979"/>
      <w:bookmarkEnd w:id="980"/>
      <w:bookmarkEnd w:id="981"/>
      <w:bookmarkEnd w:id="982"/>
    </w:p>
    <w:p w:rsidRPr="00F40F9C" w:rsidR="002D54C4" w:rsidRDefault="008B55A2" w14:paraId="5F165A8A" w14:textId="697C0D29">
      <w:pPr>
        <w:pStyle w:val="zGNormal"/>
      </w:pPr>
      <w:r>
        <w:t xml:space="preserve">  </w:t>
      </w:r>
      <w:r w:rsidR="005824EE">
        <w:t xml:space="preserve">If a Change of Law occurs, Seller may request to recover Excess </w:t>
      </w:r>
      <w:r w:rsidR="00F50F13">
        <w:t>Expenditures as described in this Section 17.1 (</w:t>
      </w:r>
      <w:r w:rsidRPr="00F50F13" w:rsidR="00F50F13">
        <w:rPr>
          <w:i/>
          <w:iCs/>
        </w:rPr>
        <w:t>Change of Law</w:t>
      </w:r>
      <w:r w:rsidR="00F50F13">
        <w:t xml:space="preserve">). </w:t>
      </w:r>
      <w:r w:rsidRPr="00341121" w:rsidR="003C7F15">
        <w:t xml:space="preserve">Except as described in this </w:t>
      </w:r>
      <w:r w:rsidRPr="00DF1C88" w:rsidR="003C7F15">
        <w:t>Section 17.1</w:t>
      </w:r>
      <w:r w:rsidRPr="00DF1C88" w:rsidR="003C609E">
        <w:t xml:space="preserve"> (</w:t>
      </w:r>
      <w:r w:rsidRPr="00DF1C88" w:rsidR="003C609E">
        <w:rPr>
          <w:i/>
          <w:iCs/>
        </w:rPr>
        <w:t>Change of Law</w:t>
      </w:r>
      <w:r w:rsidRPr="00DF1C88" w:rsidR="003C609E">
        <w:t>)</w:t>
      </w:r>
      <w:r w:rsidRPr="00341121" w:rsidR="003C7F15">
        <w:t>, Seller is not entitled to any PPA modification due to any Change of Law.</w:t>
      </w:r>
      <w:r w:rsidR="002C4A1A">
        <w:t xml:space="preserve"> </w:t>
      </w:r>
      <w:r w:rsidRPr="00321E4B" w:rsidR="002C4A1A">
        <w:t>For the avoidance of doubt, no Change of Law relieves Seller of its obligations to comply with this PPA and applicable law</w:t>
      </w:r>
      <w:r w:rsidR="002C4A1A">
        <w:t>, and</w:t>
      </w:r>
      <w:r w:rsidRPr="00321E4B" w:rsidR="002C4A1A">
        <w:t xml:space="preserve"> Seller’s sole relief, if any, is limited to the remedies expressly set forth in this Section 17.1.</w:t>
      </w:r>
      <w:r w:rsidR="00F474A2">
        <w:t xml:space="preserve"> </w:t>
      </w:r>
    </w:p>
    <w:p w:rsidRPr="00F40F9C" w:rsidR="002D54C4" w:rsidRDefault="008B55A2" w14:paraId="40DE8651" w14:textId="6660A4AF">
      <w:pPr>
        <w:pStyle w:val="zGTC03"/>
      </w:pPr>
      <w:r>
        <w:t>Notice and Periodic Updates.</w:t>
      </w:r>
      <w:r w:rsidRPr="00EC3A43">
        <w:rPr>
          <w:bCs/>
        </w:rPr>
        <w:t xml:space="preserve"> </w:t>
      </w:r>
      <w:r w:rsidRPr="00D92F52" w:rsidR="00460CCD">
        <w:rPr>
          <w:rFonts w:eastAsiaTheme="minorEastAsia"/>
          <w:b w:val="0"/>
          <w:bCs/>
        </w:rPr>
        <w:t>If Seller expects, or should reasonably expect, to incur any Change of Law Expenditures (including amounts less than the Threshold Amount), Seller must</w:t>
      </w:r>
      <w:r w:rsidRPr="00D92F52" w:rsidDel="00D74A7B" w:rsidR="00460CCD">
        <w:rPr>
          <w:rFonts w:eastAsiaTheme="minorEastAsia"/>
          <w:b w:val="0"/>
          <w:bCs/>
        </w:rPr>
        <w:t xml:space="preserve"> </w:t>
      </w:r>
      <w:r w:rsidRPr="00D92F52" w:rsidR="00460CCD">
        <w:rPr>
          <w:rFonts w:eastAsiaTheme="minorEastAsia"/>
          <w:b w:val="0"/>
          <w:bCs/>
        </w:rPr>
        <w:t xml:space="preserve">notify GPC through a Change of Law Notice by no later than 45 Days after the enactment of the applicable Change of Law. The Change of Law Notice must include: (i) a description of Change of Law; (ii) Seller’s preliminary plan to comply with the Change of Law (including any additional or different Facility equipment or other modification of the Facility required to comply with the Change of Law); (iii) identification of the categories of costs or losses Seller will incur because of the Change of Law; and (iv) a good faith preliminary estimate of Change </w:t>
      </w:r>
      <w:r w:rsidR="002462F5">
        <w:rPr>
          <w:rFonts w:eastAsiaTheme="minorEastAsia"/>
          <w:b w:val="0"/>
          <w:bCs/>
        </w:rPr>
        <w:t>of</w:t>
      </w:r>
      <w:r w:rsidRPr="00D92F52" w:rsidR="00460CCD">
        <w:rPr>
          <w:rFonts w:eastAsiaTheme="minorEastAsia"/>
          <w:b w:val="0"/>
          <w:bCs/>
        </w:rPr>
        <w:t xml:space="preserve"> Law Expenditures with supporting documentation.</w:t>
      </w:r>
      <w:r w:rsidRPr="00D92F52" w:rsidDel="00484EA7" w:rsidR="00460CCD">
        <w:rPr>
          <w:rFonts w:eastAsiaTheme="minorEastAsia"/>
          <w:b w:val="0"/>
          <w:bCs/>
        </w:rPr>
        <w:t xml:space="preserve"> </w:t>
      </w:r>
      <w:r w:rsidRPr="00D92F52" w:rsidR="00460CCD">
        <w:rPr>
          <w:rFonts w:eastAsiaTheme="minorEastAsia"/>
          <w:b w:val="0"/>
          <w:bCs/>
        </w:rPr>
        <w:t>Seller must provide GPC with periodic updates regarding Seller’s compliance plan and Change of Law Expenditures and any other information GPC reasonably requests</w:t>
      </w:r>
      <w:r>
        <w:t>.</w:t>
      </w:r>
    </w:p>
    <w:p w:rsidRPr="005D214B" w:rsidR="005D214B" w:rsidRDefault="009C16C4" w14:paraId="2AC4B0A2" w14:textId="4836B839">
      <w:pPr>
        <w:pStyle w:val="zGTC03"/>
      </w:pPr>
      <w:r w:rsidRPr="009C16C4">
        <w:rPr>
          <w:rFonts w:cs="Arial"/>
          <w:bCs/>
        </w:rPr>
        <w:t>Threshold Amount; Excess Expenditures Notice</w:t>
      </w:r>
      <w:r w:rsidR="008B55A2">
        <w:t>.</w:t>
      </w:r>
      <w:r w:rsidRPr="00DD7C28" w:rsidR="005D214B">
        <w:rPr>
          <w:rFonts w:eastAsiaTheme="minorEastAsia"/>
          <w:b w:val="0"/>
          <w:bCs/>
        </w:rPr>
        <w:t xml:space="preserve"> The Threshold Amount applies to each Change of Law and will not be aggregated if one of more Changes of Law occur during the Term. Seller is not entitled to any PPA modification unless Seller will incur Excess Expenditures for the applicable Change of Law, which must be substantiated in accordance with this </w:t>
      </w:r>
      <w:r w:rsidRPr="00DF1C88" w:rsidR="005D214B">
        <w:rPr>
          <w:rFonts w:eastAsiaTheme="minorEastAsia"/>
          <w:b w:val="0"/>
          <w:bCs/>
        </w:rPr>
        <w:t>Section 17.1 (</w:t>
      </w:r>
      <w:r w:rsidRPr="00DF1C88" w:rsidR="005D214B">
        <w:rPr>
          <w:rFonts w:eastAsiaTheme="minorEastAsia"/>
          <w:b w:val="0"/>
          <w:bCs/>
          <w:i/>
          <w:iCs/>
        </w:rPr>
        <w:t>Change of Law</w:t>
      </w:r>
      <w:r w:rsidRPr="00DF1C88" w:rsidR="005D214B">
        <w:rPr>
          <w:rFonts w:eastAsiaTheme="minorEastAsia"/>
          <w:b w:val="0"/>
          <w:bCs/>
        </w:rPr>
        <w:t>).</w:t>
      </w:r>
      <w:r w:rsidRPr="00DD7C28" w:rsidR="005D214B">
        <w:rPr>
          <w:rFonts w:eastAsiaTheme="minorEastAsia"/>
          <w:b w:val="0"/>
          <w:bCs/>
        </w:rPr>
        <w:t xml:space="preserve"> If a Change </w:t>
      </w:r>
      <w:r w:rsidR="002462F5">
        <w:rPr>
          <w:rFonts w:eastAsiaTheme="minorEastAsia"/>
          <w:b w:val="0"/>
          <w:bCs/>
        </w:rPr>
        <w:t>of</w:t>
      </w:r>
      <w:r w:rsidRPr="00DD7C28" w:rsidR="005D214B">
        <w:rPr>
          <w:rFonts w:eastAsiaTheme="minorEastAsia"/>
          <w:b w:val="0"/>
          <w:bCs/>
        </w:rPr>
        <w:t xml:space="preserve"> Law will cause Seller to incur Excess Expenditures, and Seller provided a Change of Law Notice in accordance with </w:t>
      </w:r>
      <w:r w:rsidRPr="00DF1C88" w:rsidR="005D214B">
        <w:rPr>
          <w:rFonts w:eastAsiaTheme="minorEastAsia"/>
          <w:b w:val="0"/>
          <w:bCs/>
        </w:rPr>
        <w:t>Section 17.1.1 (</w:t>
      </w:r>
      <w:r w:rsidRPr="00DF1C88" w:rsidR="005D214B">
        <w:rPr>
          <w:rFonts w:eastAsiaTheme="minorEastAsia"/>
          <w:b w:val="0"/>
          <w:bCs/>
          <w:i/>
          <w:iCs/>
        </w:rPr>
        <w:t>Notice and Periodic Updates</w:t>
      </w:r>
      <w:r w:rsidRPr="00DF1C88" w:rsidR="005D214B">
        <w:rPr>
          <w:rFonts w:eastAsiaTheme="minorEastAsia"/>
          <w:b w:val="0"/>
          <w:bCs/>
        </w:rPr>
        <w:t>),</w:t>
      </w:r>
      <w:r w:rsidRPr="00DD7C28" w:rsidR="005D214B">
        <w:rPr>
          <w:rFonts w:eastAsiaTheme="minorEastAsia"/>
          <w:b w:val="0"/>
          <w:bCs/>
        </w:rPr>
        <w:t xml:space="preserve"> Seller may request recovery of Excess Expenditures by delivering an Excess Expenditures Notice to GPC by no later than </w:t>
      </w:r>
      <w:r w:rsidRPr="00DF1C88" w:rsidR="005D214B">
        <w:rPr>
          <w:rFonts w:eastAsiaTheme="minorEastAsia"/>
          <w:b w:val="0"/>
          <w:bCs/>
        </w:rPr>
        <w:t xml:space="preserve">90 </w:t>
      </w:r>
      <w:r w:rsidRPr="00DD7C28" w:rsidR="005D214B">
        <w:rPr>
          <w:rFonts w:eastAsiaTheme="minorEastAsia"/>
          <w:b w:val="0"/>
          <w:bCs/>
        </w:rPr>
        <w:t xml:space="preserve">Days after the enactment of the Change of Law. </w:t>
      </w:r>
      <w:r w:rsidRPr="00EA7B6B" w:rsidR="00EA7B6B">
        <w:rPr>
          <w:rFonts w:eastAsiaTheme="minorEastAsia"/>
          <w:b w:val="0"/>
          <w:bCs/>
        </w:rPr>
        <w:t xml:space="preserve">If Seller reasonably determines that additional time is required to prepare an Excess Expenditures Notice, Seller may request an extension by notice to GPC delivered before expiration of the deadline. The extension request must describe in reasonable detail the basis for the request and the additional time reasonably needed. If GPC approves the request, the deadline will be extended for the period approved by GPC. </w:t>
      </w:r>
      <w:r w:rsidRPr="00DD7C28" w:rsidR="005D214B">
        <w:rPr>
          <w:rFonts w:eastAsiaTheme="minorEastAsia"/>
          <w:b w:val="0"/>
          <w:bCs/>
        </w:rPr>
        <w:t>Seller may also propose Operational Alternatives</w:t>
      </w:r>
      <w:r w:rsidR="00F25BF5">
        <w:rPr>
          <w:rFonts w:eastAsiaTheme="minorEastAsia"/>
          <w:b w:val="0"/>
          <w:bCs/>
        </w:rPr>
        <w:t xml:space="preserve"> in its Excess Expenditures Notice</w:t>
      </w:r>
      <w:r w:rsidRPr="00DD7C28" w:rsidR="005D214B">
        <w:rPr>
          <w:rFonts w:eastAsiaTheme="minorEastAsia"/>
          <w:b w:val="0"/>
          <w:bCs/>
        </w:rPr>
        <w:t xml:space="preserve">. The Excess Expenditures Notice must include all information and documentation necessary for GPC to validate Change of Law Expenditures or Operational Alternatives, including: (i) evidence that the Change of Law applies to the Facility and will cause Seller to incur Change of Law Expenditures that Seller would not have incurred but for the Change of Law; (ii) Seller’s final plan to comply with the Change of Law (including any additional or different Facility equipment or other modification of the Facility required to comply with the Change of Law); (ii) identification of the categories of costs or losses Seller will incur because of the Change of Law; (iv) a reasonable and good faith estimate of Change </w:t>
      </w:r>
      <w:r w:rsidR="002462F5">
        <w:rPr>
          <w:rFonts w:eastAsiaTheme="minorEastAsia"/>
          <w:b w:val="0"/>
          <w:bCs/>
        </w:rPr>
        <w:t>of</w:t>
      </w:r>
      <w:r w:rsidRPr="00DD7C28" w:rsidR="005D214B">
        <w:rPr>
          <w:rFonts w:eastAsiaTheme="minorEastAsia"/>
          <w:b w:val="0"/>
          <w:bCs/>
        </w:rPr>
        <w:t xml:space="preserve"> Law Expenditures with detail and supporting documentation; and (v) Seller’s proposed adjustment to the Annual Capacity Price, with supporting calculations. Seller’s Excess Expenditures Notice must also include the following information, as applicable:</w:t>
      </w:r>
    </w:p>
    <w:p w:rsidR="0034406F" w:rsidP="0034406F" w:rsidRDefault="0034406F" w14:paraId="45E559FE" w14:textId="77777777">
      <w:pPr>
        <w:pStyle w:val="zGTC04"/>
      </w:pPr>
      <w:r w:rsidRPr="00341121">
        <w:t>Any Initial Capital Expenditures Notice must include: (A) a detailed description of the addition, modification, or other capital work required to comply with the Change of Law, including the scope of work and the key technical and operational assumptions; (B) an itemized list of the capital expenditures and the expected in-service date(s), including supporting documentation (e.g., vendor quotes, invoices, purchase orders, construction contracts, and change orders); (C) identification and substantiation of Seller’s baseline assumptions and costs before the Change of Law and a calculation of the incremental capital expenditures attributable to the Change of Law; and (D) a schedule for engineering, procurement, and construction (including any material milestones) and identification of any material project risks that could affect cost or timing.</w:t>
      </w:r>
      <w:r>
        <w:t xml:space="preserve"> </w:t>
      </w:r>
    </w:p>
    <w:p w:rsidR="0034406F" w:rsidP="0034406F" w:rsidRDefault="0034406F" w14:paraId="0ABA40D7" w14:textId="38E19D8B">
      <w:pPr>
        <w:pStyle w:val="zGTC04"/>
      </w:pPr>
      <w:r w:rsidRPr="00341121">
        <w:lastRenderedPageBreak/>
        <w:t xml:space="preserve">Any Initial Tariff Notice must: (A) identify the applicable </w:t>
      </w:r>
      <w:r w:rsidR="00BC1DE2">
        <w:t>Tariff</w:t>
      </w:r>
      <w:r w:rsidRPr="00341121">
        <w:t xml:space="preserve">; (B) provide evidence that the </w:t>
      </w:r>
      <w:r w:rsidR="00FF2F2F">
        <w:t>Tariff</w:t>
      </w:r>
      <w:r w:rsidRPr="00341121">
        <w:t xml:space="preserve"> applies to the Facility; (C) identify the incremental cost to Seller, including identification and substantiation of Seller’s baseline cost before the Change of Law; and (D) include applicable vendor and governmental authority documentation.</w:t>
      </w:r>
      <w:r>
        <w:t xml:space="preserve"> </w:t>
      </w:r>
    </w:p>
    <w:p w:rsidR="006B2D70" w:rsidP="006B2D70" w:rsidRDefault="0034406F" w14:paraId="27709A03" w14:textId="4265B3AA">
      <w:pPr>
        <w:pStyle w:val="zGTC04"/>
      </w:pPr>
      <w:r w:rsidRPr="00341121">
        <w:t>For any Excess Expenditures resulting from changes in applicable Taxes, the Excess Expenditures Notice must: (A) identify the applicable Tax; (B) evidence that the change in Taxes apply directly to the Facility; (C) identify the incremental increase in Taxes, including identification and substantiation of Seller’s baseline Taxes assumptions before the Change of Law; and (D) include a written certification from an independent accounting firm certifying that the claimed loss is accurate.</w:t>
      </w:r>
      <w:r>
        <w:t xml:space="preserve"> </w:t>
      </w:r>
    </w:p>
    <w:p w:rsidRPr="006B2D70" w:rsidR="002D54C4" w:rsidP="006B2D70" w:rsidRDefault="0034406F" w14:paraId="5A809FD2" w14:textId="52AA5640">
      <w:pPr>
        <w:pStyle w:val="zGTC04"/>
      </w:pPr>
      <w:r w:rsidRPr="006B2D70">
        <w:rPr>
          <w:bCs/>
        </w:rPr>
        <w:t>For any Excess Expenditures comprised of additional Facility operating costs, the Excess Expenditures Notice must: (A) include a detailed explanation of the Change of Law’s impact on Facility operations and operating assumptions; (B) identify the incremental operating costs Seller will incur; (D) include any applicable contracts, invoices, and other documentation; and (E) include supporting calculations.</w:t>
      </w:r>
      <w:r w:rsidRPr="006B2D70" w:rsidR="008B55A2">
        <w:rPr>
          <w:bCs/>
        </w:rPr>
        <w:t xml:space="preserve"> </w:t>
      </w:r>
    </w:p>
    <w:p w:rsidR="006B2D70" w:rsidP="003C502A" w:rsidRDefault="00155A55" w14:paraId="0029C2AB" w14:textId="1BABA659">
      <w:pPr>
        <w:pStyle w:val="zGNormal"/>
        <w:spacing w:before="120"/>
        <w:ind w:left="630"/>
      </w:pPr>
      <w:r w:rsidRPr="00155A55">
        <w:t xml:space="preserve">The Excess Expenditures Notice must demonstrate that: (a) Seller’s proposed plan for complying with the Change of Law is reasonable and conforms with Prudent Industry Practices; and (b) all Excess Expenditures are reasonable, consistent with Prudent Industry Practices, required for compliance with the Change of Law, and otherwise comply with this </w:t>
      </w:r>
      <w:r w:rsidRPr="00DF1C88">
        <w:t>Section 17.1 (</w:t>
      </w:r>
      <w:r w:rsidRPr="00DF1C88">
        <w:rPr>
          <w:i/>
          <w:iCs/>
        </w:rPr>
        <w:t>Change of Law</w:t>
      </w:r>
      <w:r w:rsidRPr="00DF1C88">
        <w:t>).</w:t>
      </w:r>
      <w:r w:rsidRPr="00155A55">
        <w:t xml:space="preserve"> In response to any Excess Expenditures Notice, GPC may request, and Seller must provide, any additional information or documentation reasonably necessary for GPC to evaluate and validate Excess Expenditures. If Seller fails to timely deliver any required notice, supporting information, certification, or other substantiation required under this </w:t>
      </w:r>
      <w:r w:rsidRPr="00DF1C88">
        <w:t>Section 17.1,</w:t>
      </w:r>
      <w:r w:rsidRPr="00155A55">
        <w:t xml:space="preserve"> Seller will be deemed to have waived and released any claim to recover the applicable Excess Expenditures and any related right or entitlement arising from the applicable Change </w:t>
      </w:r>
      <w:r w:rsidR="002462F5">
        <w:t>of</w:t>
      </w:r>
      <w:r w:rsidRPr="00155A55">
        <w:t xml:space="preserve"> Law. GPC will have no obligation to consider, approve, or pay any untimely or unsupported claim.</w:t>
      </w:r>
    </w:p>
    <w:p w:rsidR="009A1BA9" w:rsidP="000C3072" w:rsidRDefault="000C3072" w14:paraId="27B2427F" w14:textId="06727CCA">
      <w:pPr>
        <w:pStyle w:val="zGTC03"/>
      </w:pPr>
      <w:r>
        <w:t xml:space="preserve"> </w:t>
      </w:r>
      <w:r w:rsidRPr="00341121" w:rsidR="008041E1">
        <w:rPr>
          <w:bCs/>
        </w:rPr>
        <w:t>GPC Review; ACP Adjustment</w:t>
      </w:r>
      <w:r w:rsidRPr="00341121" w:rsidR="008041E1">
        <w:t xml:space="preserve">. </w:t>
      </w:r>
      <w:r w:rsidRPr="008041E1" w:rsidR="008041E1">
        <w:rPr>
          <w:b w:val="0"/>
          <w:bCs/>
        </w:rPr>
        <w:t>After receiving a timely and fully substantiated Excess Expenditures Notice, GPC will review the notice and evaluate Seller’s proposed ACP Adjustment. If Seller is entitled to recover Excess Expenditures, the Annual Capacity Price will be increased by a fixed amount ($/kW-year) to recover the approved Excess Expenditures (“</w:t>
      </w:r>
      <w:r w:rsidRPr="00AA7426" w:rsidR="008041E1">
        <w:t>ACP Adjustment</w:t>
      </w:r>
      <w:r w:rsidRPr="008041E1" w:rsidR="008041E1">
        <w:rPr>
          <w:b w:val="0"/>
          <w:bCs/>
        </w:rPr>
        <w:t xml:space="preserve">”). The ACP Adjustment will begin in the Annual Period in which Seller first incurs Excess Expenditures and will be prorated for the remainder of the Term, subject to any applicable not-to-exceed amount and reconciliation. If the Parties are unable to agree on the ACP Adjustment (including the methodology or inputs) by a date that allows GPC to timely deliver the Election Notice in accordance with </w:t>
      </w:r>
      <w:r w:rsidRPr="00C7128A" w:rsidR="008041E1">
        <w:rPr>
          <w:b w:val="0"/>
          <w:bCs/>
        </w:rPr>
        <w:t>Section 17.1.5 (</w:t>
      </w:r>
      <w:r w:rsidRPr="00C7128A" w:rsidR="008041E1">
        <w:rPr>
          <w:b w:val="0"/>
          <w:bCs/>
          <w:i/>
          <w:iCs/>
        </w:rPr>
        <w:t>GPC Election; Objection Period</w:t>
      </w:r>
      <w:r w:rsidRPr="00C7128A" w:rsidR="008041E1">
        <w:rPr>
          <w:b w:val="0"/>
          <w:bCs/>
        </w:rPr>
        <w:t>),</w:t>
      </w:r>
      <w:r w:rsidRPr="008041E1" w:rsidR="008041E1">
        <w:rPr>
          <w:b w:val="0"/>
          <w:bCs/>
        </w:rPr>
        <w:t xml:space="preserve"> then GPC may, for purposes of meeting the GPC Election Deadline, deliver an Election Notice that (a) accepts Seller’s request subject to the Parties’ subsequent agreement on the ACP Adjustment, or (b) rejects Seller’s request, in each case without waiver of either Party’s rights under this </w:t>
      </w:r>
      <w:r w:rsidRPr="00C7128A" w:rsidR="008041E1">
        <w:rPr>
          <w:b w:val="0"/>
          <w:bCs/>
        </w:rPr>
        <w:t>Part 17</w:t>
      </w:r>
      <w:r w:rsidRPr="00C7128A" w:rsidR="000D6E44">
        <w:rPr>
          <w:b w:val="0"/>
          <w:bCs/>
        </w:rPr>
        <w:t xml:space="preserve"> (</w:t>
      </w:r>
      <w:r w:rsidRPr="00C7128A" w:rsidR="000D6E44">
        <w:rPr>
          <w:b w:val="0"/>
          <w:bCs/>
          <w:i/>
          <w:iCs/>
        </w:rPr>
        <w:t>Compliance with Laws</w:t>
      </w:r>
      <w:r w:rsidRPr="00C7128A" w:rsidR="000D6E44">
        <w:rPr>
          <w:b w:val="0"/>
          <w:bCs/>
        </w:rPr>
        <w:t>)</w:t>
      </w:r>
      <w:r w:rsidRPr="00C7128A" w:rsidR="008041E1">
        <w:rPr>
          <w:b w:val="0"/>
          <w:bCs/>
        </w:rPr>
        <w:t>.</w:t>
      </w:r>
      <w:r w:rsidRPr="008041E1" w:rsidR="008041E1">
        <w:rPr>
          <w:b w:val="0"/>
          <w:bCs/>
        </w:rPr>
        <w:t xml:space="preserve"> Subject to </w:t>
      </w:r>
      <w:r w:rsidRPr="00C7128A" w:rsidR="008041E1">
        <w:rPr>
          <w:b w:val="0"/>
          <w:bCs/>
        </w:rPr>
        <w:t>Section 17.1.5,</w:t>
      </w:r>
      <w:r w:rsidRPr="008041E1" w:rsidR="008041E1">
        <w:rPr>
          <w:b w:val="0"/>
          <w:bCs/>
        </w:rPr>
        <w:t xml:space="preserve"> the ACP Adjustment will be calculated as follows:</w:t>
      </w:r>
    </w:p>
    <w:p w:rsidR="000C3072" w:rsidP="000C3072" w:rsidRDefault="000C3072" w14:paraId="1EC62613" w14:textId="73B88FCE">
      <w:pPr>
        <w:pStyle w:val="zGTC04"/>
      </w:pPr>
      <w:r>
        <w:t xml:space="preserve"> </w:t>
      </w:r>
      <w:r w:rsidRPr="00341121" w:rsidR="00802639">
        <w:t xml:space="preserve">For Excess Expenditures comprised of capital expenditures, the ACP Adjustment will be based on substantiated capital expenditures required to comply with the Change of Law. Substantiated Excess Expenditures will be converted into a per-kW amount by dividing the amount by the Contracted Capacity (kW) and then annualized over the remaining Term using a fixed charge rate consistent with generally accepted project finance methodologies and otherwise reasonably acceptable to GPC. GPC will include in its Election Notice a fixed not-to-exceed ACP Adjustment, which will be final and may not be rescinded except to the extent (a) Seller fails to fully substantiate its Initial Capital Expenditures Notice as described in </w:t>
      </w:r>
      <w:r w:rsidRPr="00C7128A" w:rsidR="00802639">
        <w:t>Section 17.1.3(iii) (</w:t>
      </w:r>
      <w:r w:rsidRPr="00C7128A" w:rsidR="00802639">
        <w:rPr>
          <w:i/>
          <w:iCs/>
        </w:rPr>
        <w:t>GPC Review; ACP Adjustment</w:t>
      </w:r>
      <w:r w:rsidRPr="00C7128A" w:rsidR="00802639">
        <w:t>);</w:t>
      </w:r>
      <w:r w:rsidRPr="00341121" w:rsidR="00802639">
        <w:t xml:space="preserve"> or (b) Commission approval is withheld or denied, if required </w:t>
      </w:r>
      <w:r w:rsidRPr="00C7128A" w:rsidR="00802639">
        <w:t>by Section 17.1.7 (</w:t>
      </w:r>
      <w:r w:rsidRPr="00C7128A" w:rsidR="00802639">
        <w:rPr>
          <w:i/>
          <w:iCs/>
        </w:rPr>
        <w:t>Exclusive Relief; Commission Approval</w:t>
      </w:r>
      <w:r w:rsidRPr="00C7128A" w:rsidR="00802639">
        <w:t>).</w:t>
      </w:r>
      <w:r w:rsidRPr="00341121" w:rsidR="00802639">
        <w:t xml:space="preserve"> The not-to-exceed ACP Adjustment will represent the maximum and exclusive amount recoverable by Seller with respect to the Change of Law described in Seller’s Initial Capital Expenditures Notice, and Seller will not be entitled to recover any additional amount </w:t>
      </w:r>
      <w:r w:rsidRPr="00341121" w:rsidR="00802639">
        <w:lastRenderedPageBreak/>
        <w:t>regardless of Seller’s actual incurred costs. By no later than 30 Days after the capital project described in the Initial Capital Expenditures Notice is complete, Seller must deliver to GPC a Final Capital Expenditures Notice substantiating the actual Excess Expenditures incurred by Seller. By no later than 60 Days after receipt of the Final Capital Expenditures Notice, GPC will deliver a final notice to Seller either: (a) confirming the not-to-exceed ACP Adjustment; or (b) proposing a reduced ACP Adjustment if GPC reasonably determines, based on its review of Seller’s Final Capital Expenditures Notice, that a lower adjustment is appropriate. If GPC provides notice that a reduced adjustment is appropriate, GPC and Seller will confer in good faith to mutually agree to an ACP Adjustment that is less than the not-to-exceed ACP Adjustment.</w:t>
      </w:r>
    </w:p>
    <w:p w:rsidR="000C3072" w:rsidP="000C3072" w:rsidRDefault="00D25898" w14:paraId="15A22141" w14:textId="3C5E3328">
      <w:pPr>
        <w:pStyle w:val="zGTC04"/>
      </w:pPr>
      <w:r w:rsidRPr="00341121">
        <w:t xml:space="preserve">For Excess Expenditures comprised of </w:t>
      </w:r>
      <w:r w:rsidR="00916625">
        <w:t>Tariff</w:t>
      </w:r>
      <w:r w:rsidR="00407603">
        <w:t>s</w:t>
      </w:r>
      <w:r w:rsidRPr="00341121">
        <w:t xml:space="preserve">, the ACP Adjustment will be based on substantiated incremental </w:t>
      </w:r>
      <w:r w:rsidR="00027C53">
        <w:t>Tariff</w:t>
      </w:r>
      <w:r w:rsidRPr="00341121" w:rsidR="00027C53">
        <w:t xml:space="preserve"> </w:t>
      </w:r>
      <w:r w:rsidRPr="00341121">
        <w:t xml:space="preserve">costs caused by the Change </w:t>
      </w:r>
      <w:r w:rsidR="002462F5">
        <w:t>of</w:t>
      </w:r>
      <w:r w:rsidRPr="00341121">
        <w:t xml:space="preserve"> Law. Substantiated Excess Expenditures will be converted into a per-kW amount by dividing the amount by the Contracted Capacity (kW) and then prorating it over the remaining Term. GPC will include in its Election Notice a fixed not-to-exceed ACP Adjustment, which will be final and may not be rescinded except to the extent (a) Seller fails to fully substantiate its Initial Tariff Notice as described in </w:t>
      </w:r>
      <w:r w:rsidRPr="00C7128A">
        <w:t>Section 17.1.3(iii) (</w:t>
      </w:r>
      <w:r w:rsidRPr="00C7128A">
        <w:rPr>
          <w:i/>
          <w:iCs/>
        </w:rPr>
        <w:t>GPC Review; ACP Adjustment</w:t>
      </w:r>
      <w:r w:rsidRPr="00C7128A">
        <w:t>);</w:t>
      </w:r>
      <w:r w:rsidRPr="00341121">
        <w:t xml:space="preserve"> or (b) Commission approval is withheld or denied, if required by </w:t>
      </w:r>
      <w:r w:rsidRPr="00C7128A">
        <w:t>Section 17.1.7 (</w:t>
      </w:r>
      <w:r w:rsidRPr="00C7128A">
        <w:rPr>
          <w:i/>
          <w:iCs/>
        </w:rPr>
        <w:t>Exclusive Relief; Commission Approval</w:t>
      </w:r>
      <w:r w:rsidRPr="00C7128A">
        <w:t>).</w:t>
      </w:r>
      <w:r w:rsidRPr="00341121">
        <w:t xml:space="preserve"> The not-to-exceed ACP Adjustment will represent the maximum and exclusive amount recoverable by Seller with respect to the Change of Law described in Seller’s Initial Tariff Notice, and Seller will not be entitled to recover any additional amount regardless of Seller’s actual incurred costs. By no later than 30 Days after delivery at the Site of all equipment or other goods described in the Initial Tariff Notice, Seller must deliver to GPC a Final Tariff Notice substantiating the actual Excess Expenditures incurred by Seller. By no later than 60 Days after receipt of the Final Tariff Notice, GPC will deliver a final notice to Seller either: (a) confirming the not-to-exceed ACP Adjustment; or (b) proposing a reduced ACP Adjustment if GPC reasonably determines, based on its review of Seller’s Final Tariff Notice, that a lower adjustment is appropriate. If GPC provides notice that a reduced ACP Adjustment is appropriate, GPC and Seller will confer in good faith to mutually agree to an ACP Adjustment that is less than the not-to-exceed ACP Adjustment.</w:t>
      </w:r>
      <w:r w:rsidR="000C3072">
        <w:t xml:space="preserve"> </w:t>
      </w:r>
    </w:p>
    <w:p w:rsidR="000C3072" w:rsidP="000C3072" w:rsidRDefault="006A059A" w14:paraId="1681E013" w14:textId="4BAAE2FC">
      <w:pPr>
        <w:pStyle w:val="zGTC04"/>
      </w:pPr>
      <w:r w:rsidRPr="00341121">
        <w:t xml:space="preserve">For Excess Expenditures comprised of Taxes arising from any loss, reduction, or elimination of tax credits, incentives, or other governmental benefits, the ACP Adjustment will be based on the actual loss, reduction, or elimination caused by the Change </w:t>
      </w:r>
      <w:r w:rsidR="00EB5383">
        <w:t>of</w:t>
      </w:r>
      <w:r w:rsidRPr="00341121">
        <w:t xml:space="preserve"> Law. The amount will be determined by comparing the tax credits, incentives, or benefits that would have been available to and claimed by Seller in the absence of the Change </w:t>
      </w:r>
      <w:r w:rsidR="00EB5383">
        <w:t>of</w:t>
      </w:r>
      <w:r w:rsidRPr="00341121">
        <w:t xml:space="preserve"> Law to those available to Seller after the Change </w:t>
      </w:r>
      <w:r w:rsidR="00EB5383">
        <w:t>of</w:t>
      </w:r>
      <w:r w:rsidRPr="00341121">
        <w:t xml:space="preserve"> Law. The value of the loss, reduction, or elimination must be reasonably supported by the substantiation provided in the Excess Expenditures Notice and must be certified by an independent accounting professional as accurately reflecting the value of the loss, reduction, or elimination incurred by Seller. The resulting amount will be converted into an ACP Adjustment without markup or return.</w:t>
      </w:r>
      <w:r w:rsidRPr="00341121" w:rsidR="00D850A4">
        <w:t>.</w:t>
      </w:r>
      <w:r w:rsidR="000C3072">
        <w:t xml:space="preserve"> </w:t>
      </w:r>
    </w:p>
    <w:p w:rsidR="000C3072" w:rsidP="000C3072" w:rsidRDefault="00410800" w14:paraId="5A5C9C91" w14:textId="4858953C">
      <w:pPr>
        <w:pStyle w:val="zGTC04"/>
      </w:pPr>
      <w:r w:rsidRPr="00341121">
        <w:t>For Excess Expenditure comprised of operating costs, the ACP Adjustment will be based on the additional operating costs substantiated by the Excess Expenditures Notice and using assumptions consistent with Prudent Industry Practice and reasonably acceptable to GPC. Substantiated Excess Expenditures will be converted into an ACP Adjustment without markup or return.</w:t>
      </w:r>
    </w:p>
    <w:p w:rsidR="000C3072" w:rsidP="000C3072" w:rsidRDefault="00597FBC" w14:paraId="38F9FFB3" w14:textId="4014DA09">
      <w:pPr>
        <w:pStyle w:val="zGTC03"/>
      </w:pPr>
      <w:r>
        <w:rPr>
          <w:bCs/>
        </w:rPr>
        <w:t xml:space="preserve">Mitigation; </w:t>
      </w:r>
      <w:r w:rsidRPr="00DB5825" w:rsidR="00026005">
        <w:rPr>
          <w:bCs/>
        </w:rPr>
        <w:t xml:space="preserve">Operational Alternatives. </w:t>
      </w:r>
      <w:r w:rsidRPr="00597FBC" w:rsidR="00E91876">
        <w:rPr>
          <w:b w:val="0"/>
        </w:rPr>
        <w:t xml:space="preserve">Seller must use commercially reasonable efforts, consistent with Prudent Industry Practices, to avoid, minimize, and mitigate any Excess Expenditure arising from a Change of Law. Seller must take reasonable steps to evaluate and propose available Operational Alternatives, seek available exemptions, credits, rebates, or other relief, and avoid incurring unnecessary or avoidable costs. Excess Expenditures will exclude any amount to the extent resulting from Seller’s failure to comply with this </w:t>
      </w:r>
      <w:r w:rsidRPr="00C7128A" w:rsidR="00E91876">
        <w:rPr>
          <w:b w:val="0"/>
        </w:rPr>
        <w:t>Section 17.</w:t>
      </w:r>
      <w:r w:rsidRPr="00C7128A">
        <w:rPr>
          <w:b w:val="0"/>
        </w:rPr>
        <w:t>1</w:t>
      </w:r>
      <w:r w:rsidRPr="00C7128A" w:rsidR="00E91876">
        <w:rPr>
          <w:b w:val="0"/>
        </w:rPr>
        <w:t>.4 (</w:t>
      </w:r>
      <w:r w:rsidRPr="00C7128A" w:rsidR="00E91876">
        <w:rPr>
          <w:b w:val="0"/>
          <w:i/>
          <w:iCs/>
        </w:rPr>
        <w:t>Mitigation; Operational Alternatives</w:t>
      </w:r>
      <w:r w:rsidRPr="00C7128A" w:rsidR="00E91876">
        <w:rPr>
          <w:b w:val="0"/>
        </w:rPr>
        <w:t>),</w:t>
      </w:r>
      <w:r w:rsidRPr="00597FBC" w:rsidR="00E91876">
        <w:rPr>
          <w:b w:val="0"/>
        </w:rPr>
        <w:t xml:space="preserve"> and GPC</w:t>
      </w:r>
      <w:r w:rsidRPr="006253D4" w:rsidR="00E91876">
        <w:rPr>
          <w:b w:val="0"/>
        </w:rPr>
        <w:t xml:space="preserve"> will have no obligation to pay or include those amounts in any ACP Adjustment or termination payment.</w:t>
      </w:r>
      <w:r>
        <w:rPr>
          <w:b w:val="0"/>
        </w:rPr>
        <w:t xml:space="preserve"> </w:t>
      </w:r>
      <w:r w:rsidRPr="00026005" w:rsidR="00026005">
        <w:rPr>
          <w:b w:val="0"/>
          <w:bCs/>
        </w:rPr>
        <w:t xml:space="preserve">Despite any other provision of this </w:t>
      </w:r>
      <w:r w:rsidRPr="00C7128A" w:rsidR="00026005">
        <w:rPr>
          <w:b w:val="0"/>
          <w:bCs/>
        </w:rPr>
        <w:t>Section 17.1 (</w:t>
      </w:r>
      <w:r w:rsidRPr="00C7128A" w:rsidR="00026005">
        <w:rPr>
          <w:b w:val="0"/>
          <w:bCs/>
          <w:i/>
          <w:iCs/>
        </w:rPr>
        <w:t xml:space="preserve">Change of </w:t>
      </w:r>
      <w:r w:rsidRPr="00C7128A" w:rsidR="00026005">
        <w:rPr>
          <w:b w:val="0"/>
          <w:bCs/>
          <w:i/>
          <w:iCs/>
        </w:rPr>
        <w:lastRenderedPageBreak/>
        <w:t>Law</w:t>
      </w:r>
      <w:r w:rsidRPr="00C7128A" w:rsidR="00026005">
        <w:rPr>
          <w:b w:val="0"/>
          <w:bCs/>
        </w:rPr>
        <w:t>),</w:t>
      </w:r>
      <w:r w:rsidRPr="00026005" w:rsidR="00026005">
        <w:rPr>
          <w:b w:val="0"/>
          <w:bCs/>
        </w:rPr>
        <w:t xml:space="preserve"> if Seller submits an Excess Expenditures Notice or otherwise seeks recovery of Excess Expenditures, GPC may, in lieu of approving all or any portion of the requested ACP Adjustment or other recovery, require Seller to implement one or more reasonable Operational Alternatives designed to comply with the applicable Change </w:t>
      </w:r>
      <w:r w:rsidR="00EB5383">
        <w:rPr>
          <w:b w:val="0"/>
          <w:bCs/>
        </w:rPr>
        <w:t>of</w:t>
      </w:r>
      <w:r w:rsidRPr="00026005" w:rsidR="00026005">
        <w:rPr>
          <w:b w:val="0"/>
          <w:bCs/>
        </w:rPr>
        <w:t xml:space="preserve"> Law while avoiding or reducing such Excess Expenditures. Operational Alternatives may include changes to operating procedures, dispatch practices, maintenance scheduling, </w:t>
      </w:r>
      <w:r w:rsidRPr="00C7128A" w:rsidR="003060E0">
        <w:rPr>
          <w:b w:val="0"/>
          <w:bCs/>
        </w:rPr>
        <w:t>charging or discharging profiles,</w:t>
      </w:r>
      <w:r w:rsidR="00C7128A">
        <w:rPr>
          <w:b w:val="0"/>
          <w:bCs/>
        </w:rPr>
        <w:t xml:space="preserve"> </w:t>
      </w:r>
      <w:r w:rsidRPr="00C7128A" w:rsidR="00026005">
        <w:rPr>
          <w:b w:val="0"/>
          <w:bCs/>
        </w:rPr>
        <w:t>cycling limits,</w:t>
      </w:r>
      <w:r w:rsidRPr="00026005" w:rsidR="00026005">
        <w:rPr>
          <w:b w:val="0"/>
          <w:bCs/>
        </w:rPr>
        <w:t xml:space="preserve"> monitoring or reporting processes, or other non-capital operational measures that do not require material modification of the Facility. Seller must implement any Operational Alternative directed by GPC within a commercially reasonable period, provided that such Operational Alternative: (i) permits continued compliance with applicable law, (ii) does not materially impair the safe and prudent operation of the Facility, and (iii) does not require Seller to violate any Permit, interconnection requirement, or reliability standard. If GPC requires an Operational Alternative under this Section, GPC will be responsible only for the incremental direct, out-of-pocket operating costs reasonably incurred by Seller solely as a result of implementing the Operational Alternative, to the extent approved by GPC. Seller will not be entitled to recover any avoided capital expenditures, avoided Taxes, avoided tariffs, lost profits, financing costs, or any other Excess Expenditures that would have been incurred absent the </w:t>
      </w:r>
      <w:r w:rsidR="00D11B28">
        <w:rPr>
          <w:b w:val="0"/>
          <w:bCs/>
        </w:rPr>
        <w:t>O</w:t>
      </w:r>
      <w:r w:rsidRPr="00026005" w:rsidR="00026005">
        <w:rPr>
          <w:b w:val="0"/>
          <w:bCs/>
        </w:rPr>
        <w:t xml:space="preserve">perational </w:t>
      </w:r>
      <w:r w:rsidR="00D11B28">
        <w:rPr>
          <w:b w:val="0"/>
          <w:bCs/>
        </w:rPr>
        <w:t>A</w:t>
      </w:r>
      <w:r w:rsidRPr="00026005" w:rsidR="00026005">
        <w:rPr>
          <w:b w:val="0"/>
          <w:bCs/>
        </w:rPr>
        <w:t>lternative. If any Operational Alternative is accepted by GPC or otherwise requested by GPC that impacts Seller’s ability to achieve required availability or other Facility performance requirements, the Parties will confer in good faith to agree to corresponding adjustments to those performance requirements.</w:t>
      </w:r>
      <w:r w:rsidRPr="00026005" w:rsidR="000C3072">
        <w:rPr>
          <w:b w:val="0"/>
          <w:bCs/>
        </w:rPr>
        <w:t xml:space="preserve"> </w:t>
      </w:r>
    </w:p>
    <w:p w:rsidR="000C3072" w:rsidP="000C3072" w:rsidRDefault="00E7647B" w14:paraId="2DE19A66" w14:textId="3E17BB6D">
      <w:pPr>
        <w:pStyle w:val="zGTC03"/>
      </w:pPr>
      <w:r w:rsidRPr="00341121">
        <w:rPr>
          <w:bCs/>
        </w:rPr>
        <w:t xml:space="preserve">GPC Election; Objection Period. </w:t>
      </w:r>
      <w:r w:rsidRPr="00E7647B">
        <w:rPr>
          <w:b w:val="0"/>
          <w:bCs/>
        </w:rPr>
        <w:t xml:space="preserve">In response to an Excess Expenditures Notice, GPC may elect to either: (i) agree to accept an ACP Adjustment and/or Operational Alternatives; or (ii) terminate this PPA. After receipt of an Excess Expenditures Notice submitted and substantiated in accordance with this </w:t>
      </w:r>
      <w:r w:rsidRPr="00832EBB">
        <w:rPr>
          <w:b w:val="0"/>
          <w:bCs/>
        </w:rPr>
        <w:t>Section 17.1 (</w:t>
      </w:r>
      <w:r w:rsidRPr="00832EBB">
        <w:rPr>
          <w:b w:val="0"/>
          <w:bCs/>
          <w:i/>
          <w:iCs/>
        </w:rPr>
        <w:t>Change of Law</w:t>
      </w:r>
      <w:r w:rsidRPr="00832EBB">
        <w:rPr>
          <w:b w:val="0"/>
          <w:bCs/>
        </w:rPr>
        <w:t>), and by no later than the applicable GPC Election Deadline, GPC will provide its GPC Election Notice to Seller. If GPC elects, in its sole discretion, to terminate this PPA, GPC will state in its GPC Election Notice any termination payment to be paid to Seller, as determined in accordance with Section 17.1.6 (</w:t>
      </w:r>
      <w:r w:rsidRPr="00832EBB">
        <w:rPr>
          <w:b w:val="0"/>
          <w:bCs/>
          <w:i/>
          <w:iCs/>
        </w:rPr>
        <w:t>Change of Law Termination</w:t>
      </w:r>
      <w:r w:rsidRPr="00832EBB">
        <w:rPr>
          <w:b w:val="0"/>
          <w:bCs/>
        </w:rPr>
        <w:t xml:space="preserve">). Any election made by GPC is conditioned on GPC’s receipt of Commission approval, as contemplated by Section </w:t>
      </w:r>
      <w:r w:rsidRPr="00832EBB" w:rsidR="00AC6260">
        <w:rPr>
          <w:b w:val="0"/>
          <w:bCs/>
        </w:rPr>
        <w:t>17.1.7</w:t>
      </w:r>
      <w:r w:rsidRPr="00832EBB">
        <w:rPr>
          <w:b w:val="0"/>
          <w:bCs/>
        </w:rPr>
        <w:t xml:space="preserve"> (</w:t>
      </w:r>
      <w:r w:rsidRPr="00832EBB">
        <w:rPr>
          <w:b w:val="0"/>
          <w:bCs/>
          <w:i/>
          <w:iCs/>
        </w:rPr>
        <w:t>Exclusive Relief; Commission Approval</w:t>
      </w:r>
      <w:r w:rsidRPr="00832EBB">
        <w:rPr>
          <w:b w:val="0"/>
          <w:bCs/>
        </w:rPr>
        <w:t>), and GPC will have no liability to Seller for GPC’s election until Commission approval is received. By no later than 15 Days after receipt of the GPC Election Notice, Seller may object to any ACP Adjustment stated in the GPC Election Notice by notice delivered to GPC describing in reasonable detail the basis for Seller’s objection. If Seller does not deliver a timely objection, Seller will be deemed to have accepted the ACP Adjustment. After the expiration of any applicable objection period, GPC will seek Commission approval of GPC’s election as contemplated by Section 17.1.7.</w:t>
      </w:r>
    </w:p>
    <w:p w:rsidRPr="006D081F" w:rsidR="000C3072" w:rsidP="000C3072" w:rsidRDefault="000C3072" w14:paraId="4C2796BD" w14:textId="180C831F">
      <w:pPr>
        <w:pStyle w:val="zGTC03"/>
      </w:pPr>
      <w:r>
        <w:t xml:space="preserve">  </w:t>
      </w:r>
      <w:r w:rsidRPr="00341121" w:rsidR="00C0696C">
        <w:rPr>
          <w:bCs/>
        </w:rPr>
        <w:t>Change of Law Termination.</w:t>
      </w:r>
      <w:r w:rsidRPr="00341121" w:rsidR="00C0696C">
        <w:rPr>
          <w:bCs/>
          <w:kern w:val="0"/>
        </w:rPr>
        <w:t xml:space="preserve"> </w:t>
      </w:r>
      <w:r w:rsidRPr="00C0696C" w:rsidR="00C0696C">
        <w:rPr>
          <w:b w:val="0"/>
          <w:bCs/>
          <w:kern w:val="0"/>
        </w:rPr>
        <w:t xml:space="preserve">Subject to </w:t>
      </w:r>
      <w:r w:rsidRPr="006D081F" w:rsidR="00C0696C">
        <w:rPr>
          <w:b w:val="0"/>
          <w:bCs/>
          <w:kern w:val="0"/>
        </w:rPr>
        <w:t>Section 17.1.7 (</w:t>
      </w:r>
      <w:r w:rsidRPr="006D081F" w:rsidR="00C0696C">
        <w:rPr>
          <w:b w:val="0"/>
          <w:bCs/>
          <w:i/>
          <w:iCs/>
          <w:kern w:val="0"/>
        </w:rPr>
        <w:t>Exclusive Relief; Commission Approval</w:t>
      </w:r>
      <w:r w:rsidRPr="006D081F" w:rsidR="00C0696C">
        <w:rPr>
          <w:b w:val="0"/>
          <w:bCs/>
          <w:kern w:val="0"/>
        </w:rPr>
        <w:t xml:space="preserve">), if the Facility has achieved Commercial Operation and GPC elects to terminate this </w:t>
      </w:r>
      <w:r w:rsidRPr="006D081F" w:rsidR="00277C44">
        <w:rPr>
          <w:b w:val="0"/>
          <w:bCs/>
          <w:kern w:val="0"/>
        </w:rPr>
        <w:t>PPA</w:t>
      </w:r>
      <w:r w:rsidRPr="006D081F" w:rsidR="00C0696C">
        <w:rPr>
          <w:b w:val="0"/>
          <w:bCs/>
          <w:kern w:val="0"/>
        </w:rPr>
        <w:t xml:space="preserve"> in lieu of accepting an ACP Adjustment, GPC will pay to Seller a termination payment calculated per the formula set forth in Section 17.1.6(i). The termination payment will be Seller’s sole and exclusive remedy arising from or relating to GPC’s termination of th</w:t>
      </w:r>
      <w:r w:rsidRPr="006D081F" w:rsidR="00410969">
        <w:rPr>
          <w:b w:val="0"/>
          <w:bCs/>
          <w:kern w:val="0"/>
        </w:rPr>
        <w:t>is</w:t>
      </w:r>
      <w:r w:rsidRPr="006D081F" w:rsidR="00C0696C">
        <w:rPr>
          <w:b w:val="0"/>
          <w:bCs/>
          <w:kern w:val="0"/>
        </w:rPr>
        <w:t xml:space="preserve"> PPA, and, upon GPC’s payment of the termination payment, Seller will have no further right to payment, damages, or other recovery under this PPA arising from or relating to the termination or any Change of Law. If the Facility has not achieved Commercial Operation by the effective date of termination, GPC will not owe any termination payment and may terminate this PPA in accordance with Section 17.1.6 (</w:t>
      </w:r>
      <w:r w:rsidRPr="006D081F" w:rsidR="00C0696C">
        <w:rPr>
          <w:b w:val="0"/>
          <w:bCs/>
          <w:i/>
          <w:iCs/>
          <w:kern w:val="0"/>
        </w:rPr>
        <w:t>GPC Election; Objection Period</w:t>
      </w:r>
      <w:r w:rsidRPr="006D081F" w:rsidR="00C0696C">
        <w:rPr>
          <w:b w:val="0"/>
          <w:bCs/>
          <w:kern w:val="0"/>
        </w:rPr>
        <w:t>) without any liability to Seller. Upon termination under this Section 17.1 (</w:t>
      </w:r>
      <w:r w:rsidRPr="006D081F" w:rsidR="00C0696C">
        <w:rPr>
          <w:b w:val="0"/>
          <w:bCs/>
          <w:i/>
          <w:iCs/>
          <w:kern w:val="0"/>
        </w:rPr>
        <w:t>Change of Law</w:t>
      </w:r>
      <w:r w:rsidRPr="006D081F" w:rsidR="00C0696C">
        <w:rPr>
          <w:b w:val="0"/>
          <w:bCs/>
          <w:kern w:val="0"/>
        </w:rPr>
        <w:t>) and payment of the termination payment, if required and approved by the Commission, neither Party will have any further liability under this PPA except for obligations that expressly survive termination.</w:t>
      </w:r>
    </w:p>
    <w:p w:rsidR="00384487" w:rsidP="00384487" w:rsidRDefault="008B18AA" w14:paraId="48C424A9" w14:textId="002B450E">
      <w:pPr>
        <w:pStyle w:val="zGTC04"/>
      </w:pPr>
      <w:r>
        <w:t>T</w:t>
      </w:r>
      <w:r w:rsidR="00384487">
        <w:t>ermination Payment = 0.25 x NPV (Remaining Capacity Payments) x Performance Adjustment</w:t>
      </w:r>
    </w:p>
    <w:p w:rsidR="00384487" w:rsidP="00384487" w:rsidRDefault="00384487" w14:paraId="27BF310D" w14:textId="77777777">
      <w:pPr>
        <w:pStyle w:val="zGTC04"/>
        <w:numPr>
          <w:ilvl w:val="0"/>
          <w:numId w:val="0"/>
        </w:numPr>
        <w:ind w:left="1440"/>
      </w:pPr>
      <w:r>
        <w:t xml:space="preserve">Where: </w:t>
      </w:r>
    </w:p>
    <w:p w:rsidR="00384487" w:rsidP="00384487" w:rsidRDefault="00384487" w14:paraId="6CC98867" w14:textId="6E377724">
      <w:pPr>
        <w:pStyle w:val="zGTC04"/>
        <w:numPr>
          <w:ilvl w:val="0"/>
          <w:numId w:val="0"/>
        </w:numPr>
        <w:ind w:left="2160"/>
        <w:rPr>
          <w:rFonts w:cs="Arial"/>
          <w:szCs w:val="20"/>
        </w:rPr>
      </w:pPr>
      <w:r w:rsidRPr="00341121">
        <w:rPr>
          <w:rFonts w:cs="Arial"/>
          <w:b/>
          <w:bCs/>
          <w:szCs w:val="20"/>
        </w:rPr>
        <w:lastRenderedPageBreak/>
        <w:t>NPV</w:t>
      </w:r>
      <w:r w:rsidRPr="00341121">
        <w:rPr>
          <w:rFonts w:cs="Arial"/>
          <w:szCs w:val="20"/>
        </w:rPr>
        <w:t xml:space="preserve"> = </w:t>
      </w:r>
      <w:r w:rsidR="007E71A9">
        <w:rPr>
          <w:rFonts w:cs="Arial"/>
          <w:szCs w:val="20"/>
        </w:rPr>
        <w:t xml:space="preserve">the </w:t>
      </w:r>
      <w:r w:rsidRPr="00341121">
        <w:rPr>
          <w:rFonts w:cs="Arial"/>
          <w:szCs w:val="20"/>
        </w:rPr>
        <w:t>net present value</w:t>
      </w:r>
      <w:r w:rsidR="0028209C">
        <w:rPr>
          <w:rFonts w:cs="Arial"/>
          <w:szCs w:val="20"/>
        </w:rPr>
        <w:t>,</w:t>
      </w:r>
      <w:r w:rsidRPr="00D62F40" w:rsidR="0028209C">
        <w:t xml:space="preserve"> </w:t>
      </w:r>
      <w:r w:rsidRPr="00D62F40" w:rsidR="0028209C">
        <w:rPr>
          <w:rFonts w:cs="Arial"/>
          <w:szCs w:val="20"/>
        </w:rPr>
        <w:t xml:space="preserve">calculated as of the effective date of termination, of the </w:t>
      </w:r>
      <w:r w:rsidR="0028209C">
        <w:rPr>
          <w:rFonts w:cs="Arial"/>
          <w:szCs w:val="20"/>
        </w:rPr>
        <w:t>Remaining Capacity Payments</w:t>
      </w:r>
      <w:r w:rsidRPr="00D62F40" w:rsidR="0028209C">
        <w:rPr>
          <w:rFonts w:cs="Arial"/>
          <w:szCs w:val="20"/>
        </w:rPr>
        <w:t xml:space="preserve"> using a discount rate </w:t>
      </w:r>
      <w:r w:rsidR="0028209C">
        <w:rPr>
          <w:rFonts w:cs="Arial"/>
          <w:szCs w:val="20"/>
        </w:rPr>
        <w:t>based on GPC’s Commission approved return on equity</w:t>
      </w:r>
      <w:r>
        <w:rPr>
          <w:rFonts w:cs="Arial"/>
          <w:szCs w:val="20"/>
        </w:rPr>
        <w:t>.</w:t>
      </w:r>
    </w:p>
    <w:p w:rsidR="008B18AA" w:rsidP="008B18AA" w:rsidRDefault="00384487" w14:paraId="6BCB722A" w14:textId="77777777">
      <w:pPr>
        <w:pStyle w:val="zGTC04"/>
        <w:numPr>
          <w:ilvl w:val="0"/>
          <w:numId w:val="0"/>
        </w:numPr>
        <w:ind w:left="2160"/>
        <w:rPr>
          <w:rFonts w:cs="Arial"/>
          <w:szCs w:val="20"/>
        </w:rPr>
      </w:pPr>
      <w:r w:rsidRPr="00341121">
        <w:rPr>
          <w:rFonts w:cs="Arial"/>
          <w:b/>
          <w:bCs/>
          <w:szCs w:val="20"/>
        </w:rPr>
        <w:t>Remaining Capacity Payments</w:t>
      </w:r>
      <w:r w:rsidRPr="00341121">
        <w:rPr>
          <w:rFonts w:cs="Arial"/>
          <w:szCs w:val="20"/>
        </w:rPr>
        <w:t xml:space="preserve"> = the sum of Monthly Capacity Payments that would have become payable during the remainder of the Term if this PPA had not been terminated.</w:t>
      </w:r>
    </w:p>
    <w:p w:rsidRPr="006D081F" w:rsidR="000C3072" w:rsidP="008B18AA" w:rsidRDefault="00384487" w14:paraId="39F3F0D8" w14:textId="5F3555A6">
      <w:pPr>
        <w:pStyle w:val="zGTC04"/>
        <w:numPr>
          <w:ilvl w:val="0"/>
          <w:numId w:val="0"/>
        </w:numPr>
        <w:ind w:left="2160"/>
        <w:rPr>
          <w:rFonts w:cs="Arial"/>
          <w:szCs w:val="20"/>
        </w:rPr>
      </w:pPr>
      <w:r w:rsidRPr="00341121">
        <w:rPr>
          <w:rFonts w:cs="Arial"/>
          <w:b/>
          <w:bCs/>
          <w:szCs w:val="20"/>
        </w:rPr>
        <w:t xml:space="preserve">Performance Adjustment </w:t>
      </w:r>
      <w:r w:rsidRPr="00341121">
        <w:rPr>
          <w:rFonts w:cs="Arial"/>
          <w:szCs w:val="20"/>
        </w:rPr>
        <w:t xml:space="preserve">= </w:t>
      </w:r>
      <w:r w:rsidRPr="00370E16">
        <w:rPr>
          <w:rFonts w:cs="Arial"/>
          <w:szCs w:val="20"/>
        </w:rPr>
        <w:t xml:space="preserve">the average </w:t>
      </w:r>
      <w:r w:rsidRPr="006D081F">
        <w:rPr>
          <w:rFonts w:cs="Arial"/>
          <w:szCs w:val="20"/>
        </w:rPr>
        <w:t>Storage Performance Metric Achieved for the 36 Month period ending the last day of the Month immediately preceding the effective date of termination, expressed as a decimal and capped at 1.00. Any availability of, and any delivery from, an Alternate Resource will be excluded from the calculation of each Monthly Availability Percentage and the resulting average.</w:t>
      </w:r>
      <w:r w:rsidRPr="006D081F" w:rsidR="00F93041">
        <w:t xml:space="preserve"> </w:t>
      </w:r>
    </w:p>
    <w:p w:rsidR="000C3072" w:rsidP="000C3072" w:rsidRDefault="008946D0" w14:paraId="3A570AF6" w14:textId="206AA4EE">
      <w:pPr>
        <w:pStyle w:val="zGTC03"/>
      </w:pPr>
      <w:r w:rsidRPr="006D081F">
        <w:rPr>
          <w:bCs/>
        </w:rPr>
        <w:t xml:space="preserve">Exclusive Relief; Commission Approval. </w:t>
      </w:r>
      <w:r w:rsidRPr="006D081F">
        <w:rPr>
          <w:b w:val="0"/>
          <w:bCs/>
        </w:rPr>
        <w:t>The Parties acknowledge that, except as provided in this Section 17.1 (</w:t>
      </w:r>
      <w:r w:rsidRPr="006D081F">
        <w:rPr>
          <w:b w:val="0"/>
          <w:bCs/>
          <w:i/>
          <w:iCs/>
        </w:rPr>
        <w:t>Change of Law</w:t>
      </w:r>
      <w:r w:rsidRPr="006D081F">
        <w:rPr>
          <w:b w:val="0"/>
          <w:bCs/>
        </w:rPr>
        <w:t>), the PPA will not be amended or terminated because of any Change of Law. If GPC accepts an ACP Adjustment, Seller may not seek any additional adjustment to Annual Capacity Prices for the same Change of Law(s) addressed in the GPC Election Notice (including for any additional or different Change of Law Expenditures arising from such Change of Law(s)). Any election by GPC under Section 17.1.5 (</w:t>
      </w:r>
      <w:r w:rsidRPr="006D081F">
        <w:rPr>
          <w:b w:val="0"/>
          <w:bCs/>
          <w:i/>
          <w:iCs/>
        </w:rPr>
        <w:t>GPC Election; Objection Period</w:t>
      </w:r>
      <w:r w:rsidRPr="006D081F">
        <w:rPr>
          <w:b w:val="0"/>
          <w:bCs/>
        </w:rPr>
        <w:t>)</w:t>
      </w:r>
      <w:r w:rsidRPr="008946D0">
        <w:rPr>
          <w:b w:val="0"/>
          <w:bCs/>
        </w:rPr>
        <w:t xml:space="preserve"> to allow Seller to recover Excess Expenditures will apply only to the Change of Law and Excess Expenditures addressed in GPC’s Election Notice. Further, for the avoidance of doubt: (i) any agreement by GPC to adjust the Annual Capacity Price because of a Change of Law is conditioned on approval of the Commission, where required by applicable law; and (ii) if the Commission denies approval of any such agreement and corresponding amendment, Seller may elect to terminate this PPA without any liability to GPC and GPC will have no liability to Seller for the termination.</w:t>
      </w:r>
      <w:r w:rsidRPr="008946D0" w:rsidR="000C3072">
        <w:rPr>
          <w:b w:val="0"/>
          <w:bCs/>
        </w:rPr>
        <w:t xml:space="preserve"> </w:t>
      </w:r>
    </w:p>
    <w:p w:rsidRPr="006D081F" w:rsidR="000C3072" w:rsidP="000C3072" w:rsidRDefault="00180E37" w14:paraId="70CA0212" w14:textId="3450C3B6">
      <w:pPr>
        <w:pStyle w:val="zGTC03"/>
      </w:pPr>
      <w:r w:rsidRPr="00341121">
        <w:rPr>
          <w:bCs/>
        </w:rPr>
        <w:t>Disputes.</w:t>
      </w:r>
      <w:r w:rsidRPr="00180E37">
        <w:rPr>
          <w:b w:val="0"/>
          <w:bCs/>
        </w:rPr>
        <w:t xml:space="preserve"> Any dispute arising out of or relating to any Change of Law, including any dispute concerning the adequacy of substantiation, an ACP Adjustment, or the termination payment, will be resolved in accordance with this </w:t>
      </w:r>
      <w:r w:rsidRPr="006D081F">
        <w:rPr>
          <w:b w:val="0"/>
          <w:bCs/>
        </w:rPr>
        <w:t>Section 17.1.8 (</w:t>
      </w:r>
      <w:r w:rsidRPr="006D081F">
        <w:rPr>
          <w:b w:val="0"/>
          <w:bCs/>
          <w:i/>
          <w:iCs/>
        </w:rPr>
        <w:t>Disputes</w:t>
      </w:r>
      <w:r w:rsidRPr="006D081F">
        <w:rPr>
          <w:b w:val="0"/>
          <w:bCs/>
        </w:rPr>
        <w:t xml:space="preserve">). Pending resolution of a Change </w:t>
      </w:r>
      <w:r w:rsidRPr="006D081F" w:rsidR="00EB5383">
        <w:rPr>
          <w:b w:val="0"/>
          <w:bCs/>
        </w:rPr>
        <w:t>of</w:t>
      </w:r>
      <w:r w:rsidRPr="006D081F">
        <w:rPr>
          <w:b w:val="0"/>
          <w:bCs/>
        </w:rPr>
        <w:t xml:space="preserve"> Law dispute, the Parties must continue to perform their undisputed obligations under this</w:t>
      </w:r>
      <w:r w:rsidRPr="006D081F" w:rsidR="00277C44">
        <w:rPr>
          <w:b w:val="0"/>
          <w:bCs/>
        </w:rPr>
        <w:t xml:space="preserve"> PPA</w:t>
      </w:r>
      <w:r w:rsidRPr="006D081F">
        <w:rPr>
          <w:b w:val="0"/>
          <w:bCs/>
        </w:rPr>
        <w:t>.</w:t>
      </w:r>
    </w:p>
    <w:p w:rsidRPr="006D081F" w:rsidR="00F93041" w:rsidP="00F93041" w:rsidRDefault="00FF3950" w14:paraId="6D9F5E81" w14:textId="1D23ADA9">
      <w:pPr>
        <w:pStyle w:val="zGTC04"/>
      </w:pPr>
      <w:r w:rsidRPr="006D081F">
        <w:rPr>
          <w:rFonts w:cs="Arial"/>
          <w:szCs w:val="20"/>
        </w:rPr>
        <w:t xml:space="preserve">The Party initiating a Change </w:t>
      </w:r>
      <w:r w:rsidRPr="006D081F" w:rsidR="00EB5383">
        <w:rPr>
          <w:rFonts w:cs="Arial"/>
          <w:szCs w:val="20"/>
        </w:rPr>
        <w:t>of</w:t>
      </w:r>
      <w:r w:rsidRPr="006D081F">
        <w:rPr>
          <w:rFonts w:cs="Arial"/>
          <w:szCs w:val="20"/>
        </w:rPr>
        <w:t xml:space="preserve"> Law dispute must provide notice to the other Party describing the dispute in reasonable detail and the relief requested. The dispute will be promptly referred to. Within 15 Days after receipt of the dispute notice, GPC’s Director of Resource Planning and Seller’s #IdentifiyRepresentative must meet and attempt in good faith to resolve the dispute.</w:t>
      </w:r>
    </w:p>
    <w:p w:rsidR="00F93041" w:rsidP="00F93041" w:rsidRDefault="005B339B" w14:paraId="2E09D307" w14:textId="2A4624B1">
      <w:pPr>
        <w:pStyle w:val="zGTC04"/>
      </w:pPr>
      <w:r w:rsidRPr="00341121">
        <w:rPr>
          <w:rFonts w:cs="Arial"/>
          <w:szCs w:val="20"/>
        </w:rPr>
        <w:t xml:space="preserve">If the Change </w:t>
      </w:r>
      <w:r w:rsidR="00EB5383">
        <w:rPr>
          <w:rFonts w:cs="Arial"/>
          <w:szCs w:val="20"/>
        </w:rPr>
        <w:t>of</w:t>
      </w:r>
      <w:r w:rsidRPr="00341121">
        <w:rPr>
          <w:rFonts w:cs="Arial"/>
          <w:szCs w:val="20"/>
        </w:rPr>
        <w:t xml:space="preserve"> Law dispute is not resolved 15 Days after the meeting described in </w:t>
      </w:r>
      <w:r w:rsidRPr="006D081F">
        <w:rPr>
          <w:rFonts w:cs="Arial"/>
          <w:szCs w:val="20"/>
        </w:rPr>
        <w:t>Section 17.1.8(i) (</w:t>
      </w:r>
      <w:r w:rsidRPr="006D081F">
        <w:rPr>
          <w:rFonts w:cs="Arial"/>
          <w:i/>
          <w:iCs/>
          <w:szCs w:val="20"/>
        </w:rPr>
        <w:t>Disputes</w:t>
      </w:r>
      <w:r w:rsidRPr="006D081F">
        <w:rPr>
          <w:rFonts w:cs="Arial"/>
          <w:szCs w:val="20"/>
        </w:rPr>
        <w:t>),</w:t>
      </w:r>
      <w:r w:rsidRPr="00341121">
        <w:rPr>
          <w:rFonts w:cs="Arial"/>
          <w:szCs w:val="20"/>
        </w:rPr>
        <w:t xml:space="preserve"> either Party may escalate the dispute by</w:t>
      </w:r>
      <w:r w:rsidR="0098683B">
        <w:rPr>
          <w:rFonts w:cs="Arial"/>
          <w:szCs w:val="20"/>
        </w:rPr>
        <w:t xml:space="preserve"> providing</w:t>
      </w:r>
      <w:r w:rsidRPr="00341121">
        <w:rPr>
          <w:rFonts w:cs="Arial"/>
          <w:szCs w:val="20"/>
        </w:rPr>
        <w:t xml:space="preserve"> notice</w:t>
      </w:r>
      <w:r w:rsidR="0098683B">
        <w:rPr>
          <w:rFonts w:cs="Arial"/>
          <w:szCs w:val="20"/>
        </w:rPr>
        <w:t xml:space="preserve"> to the other Party</w:t>
      </w:r>
      <w:r w:rsidRPr="00341121">
        <w:rPr>
          <w:rFonts w:cs="Arial"/>
          <w:szCs w:val="20"/>
        </w:rPr>
        <w:t>. Within 10 Days after receipt of the escalation</w:t>
      </w:r>
      <w:r w:rsidR="00EB5383">
        <w:rPr>
          <w:rFonts w:cs="Arial"/>
          <w:szCs w:val="20"/>
        </w:rPr>
        <w:t xml:space="preserve"> notice</w:t>
      </w:r>
      <w:r w:rsidRPr="00341121">
        <w:rPr>
          <w:rFonts w:cs="Arial"/>
          <w:szCs w:val="20"/>
        </w:rPr>
        <w:t>, one executive of each Party with authority to resolve the dispute must meet and attempt in good faith to resolve the dispute.</w:t>
      </w:r>
      <w:r w:rsidR="00F93041">
        <w:t xml:space="preserve"> </w:t>
      </w:r>
    </w:p>
    <w:p w:rsidR="00F93041" w:rsidP="00F93041" w:rsidRDefault="007D7A47" w14:paraId="799331ED" w14:textId="153F9DD1">
      <w:pPr>
        <w:pStyle w:val="zGTC04"/>
      </w:pPr>
      <w:r w:rsidRPr="00341121">
        <w:rPr>
          <w:rFonts w:cs="Arial"/>
          <w:szCs w:val="20"/>
        </w:rPr>
        <w:t xml:space="preserve">If the Change </w:t>
      </w:r>
      <w:r w:rsidR="00EB5383">
        <w:rPr>
          <w:rFonts w:cs="Arial"/>
          <w:szCs w:val="20"/>
        </w:rPr>
        <w:t>of</w:t>
      </w:r>
      <w:r w:rsidRPr="00341121">
        <w:rPr>
          <w:rFonts w:cs="Arial"/>
          <w:szCs w:val="20"/>
        </w:rPr>
        <w:t xml:space="preserve"> Law dispute is not resolved by 15 Days after the meeting described in </w:t>
      </w:r>
      <w:r w:rsidRPr="006D081F">
        <w:rPr>
          <w:rFonts w:cs="Arial"/>
          <w:szCs w:val="20"/>
        </w:rPr>
        <w:t>Section 17.1.8(ii) (</w:t>
      </w:r>
      <w:r w:rsidRPr="006D081F">
        <w:rPr>
          <w:rFonts w:cs="Arial"/>
          <w:i/>
          <w:iCs/>
          <w:szCs w:val="20"/>
        </w:rPr>
        <w:t>Disputes</w:t>
      </w:r>
      <w:r w:rsidRPr="006D081F">
        <w:rPr>
          <w:rFonts w:cs="Arial"/>
          <w:szCs w:val="20"/>
        </w:rPr>
        <w:t>),</w:t>
      </w:r>
      <w:r w:rsidRPr="00341121">
        <w:rPr>
          <w:rFonts w:cs="Arial"/>
          <w:szCs w:val="20"/>
        </w:rPr>
        <w:t xml:space="preserve"> either Party may initiate mediation</w:t>
      </w:r>
      <w:r w:rsidR="0098683B">
        <w:rPr>
          <w:rFonts w:cs="Arial"/>
          <w:szCs w:val="20"/>
        </w:rPr>
        <w:t xml:space="preserve"> by providing notice to the other Party</w:t>
      </w:r>
      <w:r w:rsidRPr="00341121">
        <w:rPr>
          <w:rFonts w:cs="Arial"/>
          <w:szCs w:val="20"/>
        </w:rPr>
        <w:t xml:space="preserve">, which </w:t>
      </w:r>
      <w:r w:rsidR="0098683B">
        <w:rPr>
          <w:rFonts w:cs="Arial"/>
          <w:szCs w:val="20"/>
        </w:rPr>
        <w:t xml:space="preserve">mediation </w:t>
      </w:r>
      <w:r w:rsidRPr="00341121">
        <w:rPr>
          <w:rFonts w:cs="Arial"/>
          <w:szCs w:val="20"/>
        </w:rPr>
        <w:t xml:space="preserve">must then be conducted within 30 Days after the mediation </w:t>
      </w:r>
      <w:r w:rsidR="00EA1921">
        <w:rPr>
          <w:rFonts w:cs="Arial"/>
          <w:szCs w:val="20"/>
        </w:rPr>
        <w:t>notice</w:t>
      </w:r>
      <w:r w:rsidRPr="00341121">
        <w:rPr>
          <w:rFonts w:cs="Arial"/>
          <w:szCs w:val="20"/>
        </w:rPr>
        <w:t xml:space="preserve"> is received.</w:t>
      </w:r>
    </w:p>
    <w:p w:rsidRPr="006D081F" w:rsidR="000C3072" w:rsidP="000C3072" w:rsidRDefault="008B0788" w14:paraId="01A0E7B3" w14:textId="5C0F3167">
      <w:pPr>
        <w:pStyle w:val="zGTC03"/>
      </w:pPr>
      <w:r w:rsidRPr="004F753A">
        <w:rPr>
          <w:bCs/>
        </w:rPr>
        <w:t>New or Different Changes in Applicable Law; Payments; Repeal.</w:t>
      </w:r>
      <w:r w:rsidRPr="00BE4317">
        <w:t xml:space="preserve"> </w:t>
      </w:r>
      <w:r w:rsidRPr="008B0788">
        <w:rPr>
          <w:b w:val="0"/>
          <w:bCs/>
        </w:rPr>
        <w:t xml:space="preserve">Seller acknowledges and agrees that except as provided in this </w:t>
      </w:r>
      <w:r w:rsidRPr="006D081F">
        <w:rPr>
          <w:b w:val="0"/>
          <w:bCs/>
        </w:rPr>
        <w:t>Part 17 (</w:t>
      </w:r>
      <w:r w:rsidRPr="006D081F">
        <w:rPr>
          <w:b w:val="0"/>
          <w:bCs/>
          <w:i/>
          <w:iCs/>
        </w:rPr>
        <w:t>Compliance with Laws</w:t>
      </w:r>
      <w:r w:rsidRPr="006D081F">
        <w:rPr>
          <w:b w:val="0"/>
          <w:bCs/>
        </w:rPr>
        <w:t>):</w:t>
      </w:r>
      <w:r w:rsidRPr="008B0788">
        <w:rPr>
          <w:b w:val="0"/>
          <w:bCs/>
        </w:rPr>
        <w:t xml:space="preserve"> (i) GPC will not be responsible for any cost, expense, or loss incurred by Seller that result</w:t>
      </w:r>
      <w:r w:rsidR="00993202">
        <w:rPr>
          <w:b w:val="0"/>
          <w:bCs/>
        </w:rPr>
        <w:t>s</w:t>
      </w:r>
      <w:r w:rsidRPr="008B0788">
        <w:rPr>
          <w:b w:val="0"/>
          <w:bCs/>
        </w:rPr>
        <w:t xml:space="preserve"> from any Change of Law; and (ii) in no event will the payments required to be made by GPC under this PPA be increased because of any cost or expense that Seller incurs because of any Change of Law. If any Change of Law that forms the basis for an ACP Adjustment or Operational Alternative repealed, rescinded, invalidated, overturned, or otherwise ceases to be legally effective or applicable to the Facility (in whole or in part), then, effective as of the date the Change of Law no longer has legal effect: (a) the ACP Adjustment will be reduced or eliminated, as applicable, to reflect the remaining legally effective portion of the Change of Law; (b) Seller will no longer be entitled to recover any further Excess </w:t>
      </w:r>
      <w:r w:rsidRPr="008B0788">
        <w:rPr>
          <w:b w:val="0"/>
          <w:bCs/>
        </w:rPr>
        <w:lastRenderedPageBreak/>
        <w:t xml:space="preserve">Expenditures attributable to the Change of Law (or portion thereof); and (c) if Seller is no longer required to comply with the Change of Law (or portion thereof), Seller will use commercially reasonable efforts to discontinue or unwind any related capital expenditure or operational measure to the extent practicable and consistent with Prudent Industry Practice. Notwithstanding the foregoing, Seller will not be required to refund or credit amounts attributable to irreversible capital expenditures reasonably incurred before the date the Change of Law ceased to be effective, provided the expenditures were prudently incurred in compliance with this </w:t>
      </w:r>
      <w:r w:rsidRPr="006D081F">
        <w:rPr>
          <w:b w:val="0"/>
          <w:bCs/>
        </w:rPr>
        <w:t>Section 17.1 (</w:t>
      </w:r>
      <w:r w:rsidRPr="006D081F">
        <w:rPr>
          <w:b w:val="0"/>
          <w:bCs/>
          <w:i/>
          <w:iCs/>
        </w:rPr>
        <w:t>Change of Law</w:t>
      </w:r>
      <w:r w:rsidRPr="006D081F">
        <w:rPr>
          <w:b w:val="0"/>
          <w:bCs/>
        </w:rPr>
        <w:t>).</w:t>
      </w:r>
    </w:p>
    <w:p w:rsidRPr="00F40F9C" w:rsidR="002D54C4" w:rsidRDefault="008B55A2" w14:paraId="2CD121AC" w14:textId="77777777">
      <w:pPr>
        <w:pStyle w:val="zGTC02"/>
        <w:rPr>
          <w:vanish/>
          <w:specVanish/>
        </w:rPr>
      </w:pPr>
      <w:bookmarkStart w:name="_Toc160749185" w:id="983"/>
      <w:bookmarkStart w:name="_Toc194937551" w:id="984"/>
      <w:bookmarkStart w:name="_Toc174624938" w:id="985"/>
      <w:bookmarkStart w:name="_Toc227451599" w:id="986"/>
      <w:r>
        <w:t>No Dedication.</w:t>
      </w:r>
      <w:bookmarkStart w:name="_Toc158593274" w:id="987"/>
      <w:bookmarkStart w:name="_Toc158597553" w:id="988"/>
      <w:bookmarkStart w:name="_Toc158720177" w:id="989"/>
      <w:bookmarkStart w:name="_Toc158722931" w:id="990"/>
      <w:bookmarkStart w:name="_Toc158929463" w:id="991"/>
      <w:bookmarkEnd w:id="983"/>
      <w:bookmarkEnd w:id="984"/>
      <w:bookmarkEnd w:id="985"/>
      <w:bookmarkEnd w:id="986"/>
      <w:bookmarkEnd w:id="987"/>
      <w:bookmarkEnd w:id="988"/>
      <w:bookmarkEnd w:id="989"/>
      <w:bookmarkEnd w:id="990"/>
      <w:bookmarkEnd w:id="991"/>
    </w:p>
    <w:p w:rsidRPr="00F40F9C" w:rsidR="002D54C4" w:rsidRDefault="008B55A2" w14:paraId="6E0599E0" w14:textId="77777777">
      <w:pPr>
        <w:pStyle w:val="zGNormal"/>
      </w:pPr>
      <w:r>
        <w:t xml:space="preserve"> No undertaking by Seller under this PPA is intended to constitute: (i) the dedication to the public of the Facility or any part of the Facility; or (ii) affect Seller’s status as an independent entity and not a public utility or public service company.</w:t>
      </w:r>
    </w:p>
    <w:p w:rsidRPr="00F40F9C" w:rsidR="002D54C4" w:rsidRDefault="008B55A2" w14:paraId="67ED10C5" w14:textId="77777777">
      <w:pPr>
        <w:pStyle w:val="zGTC02"/>
        <w:rPr>
          <w:rFonts w:ascii="Arial" w:hAnsi="Arial" w:cs="Arial"/>
          <w:vanish/>
          <w:szCs w:val="20"/>
          <w:specVanish/>
        </w:rPr>
      </w:pPr>
      <w:bookmarkStart w:name="_Toc160749186" w:id="992"/>
      <w:bookmarkStart w:name="_Toc194937552" w:id="993"/>
      <w:bookmarkStart w:name="_Toc174624939" w:id="994"/>
      <w:bookmarkStart w:name="_Toc227451600" w:id="995"/>
      <w:r>
        <w:t>Compliance.</w:t>
      </w:r>
      <w:bookmarkStart w:name="_Toc158593275" w:id="996"/>
      <w:bookmarkStart w:name="_Toc158597554" w:id="997"/>
      <w:bookmarkStart w:name="_Toc158720178" w:id="998"/>
      <w:bookmarkStart w:name="_Toc158722932" w:id="999"/>
      <w:bookmarkStart w:name="_Toc158929464" w:id="1000"/>
      <w:bookmarkEnd w:id="992"/>
      <w:bookmarkEnd w:id="993"/>
      <w:bookmarkEnd w:id="994"/>
      <w:bookmarkEnd w:id="995"/>
      <w:bookmarkEnd w:id="996"/>
      <w:bookmarkEnd w:id="997"/>
      <w:bookmarkEnd w:id="998"/>
      <w:bookmarkEnd w:id="999"/>
      <w:bookmarkEnd w:id="1000"/>
    </w:p>
    <w:p w:rsidRPr="00F40F9C" w:rsidR="002D54C4" w:rsidRDefault="008B55A2" w14:paraId="0CA95313" w14:textId="741F48A9">
      <w:pPr>
        <w:pStyle w:val="zGNormal"/>
        <w:rPr>
          <w:b/>
          <w:bCs/>
        </w:rPr>
      </w:pPr>
      <w:r>
        <w:t xml:space="preserve"> Throughout the Term, Seller must comply with all applicable laws, including </w:t>
      </w:r>
      <w:r w:rsidR="002F3881">
        <w:t xml:space="preserve">(i) laws </w:t>
      </w:r>
      <w:r>
        <w:t xml:space="preserve">regarding the </w:t>
      </w:r>
      <w:r w:rsidR="002F3881">
        <w:t xml:space="preserve">Site or the Facility, including the </w:t>
      </w:r>
      <w:r>
        <w:t>design, construction, ownership, operation, maintenance, and decommissioning (if applicable) of the Facility</w:t>
      </w:r>
      <w:r w:rsidR="002F3881">
        <w:t>; (ii)</w:t>
      </w:r>
      <w:r>
        <w:t xml:space="preserve"> required Consents</w:t>
      </w:r>
      <w:r w:rsidR="002F3881">
        <w:t xml:space="preserve">, including </w:t>
      </w:r>
      <w:r w:rsidR="00C8351E">
        <w:t>requirements</w:t>
      </w:r>
      <w:r w:rsidRPr="00540449" w:rsidR="00C8351E">
        <w:t xml:space="preserve"> to seek, obtain, comply with,</w:t>
      </w:r>
      <w:r w:rsidR="00C8351E">
        <w:t xml:space="preserve"> maintain compliance with,</w:t>
      </w:r>
      <w:r w:rsidRPr="00540449" w:rsidR="00C8351E">
        <w:t xml:space="preserve"> and, as necessary, renew or modify from time to time, all applicable certificates, licenses, </w:t>
      </w:r>
      <w:r w:rsidR="00C8351E">
        <w:t>p</w:t>
      </w:r>
      <w:r w:rsidRPr="00540449" w:rsidR="00C8351E">
        <w:t>ermits, Governmental Authority approvals</w:t>
      </w:r>
      <w:r w:rsidR="00C8351E">
        <w:t>; (iii) Environmental Laws;</w:t>
      </w:r>
      <w:r w:rsidRPr="00540449" w:rsidR="00C8351E">
        <w:t xml:space="preserve"> and</w:t>
      </w:r>
      <w:r w:rsidR="00C8351E">
        <w:t xml:space="preserve"> (iv) laws pertaining to environmental emissions</w:t>
      </w:r>
      <w:r>
        <w:t xml:space="preserve">. Seller </w:t>
      </w:r>
      <w:r w:rsidR="00C8351E">
        <w:t>is</w:t>
      </w:r>
      <w:r>
        <w:t xml:space="preserve"> responsible for all costs, expenses, charges, and fees concerning all compliance required in this Section 17.3</w:t>
      </w:r>
      <w:r w:rsidR="00C3581A">
        <w:t>, subject to Seller’s rights under Section 17.1 (</w:t>
      </w:r>
      <w:r w:rsidRPr="00455335" w:rsidR="00C3581A">
        <w:rPr>
          <w:i/>
          <w:iCs/>
        </w:rPr>
        <w:t>Change of Law</w:t>
      </w:r>
      <w:r w:rsidR="00C3581A">
        <w:t>), if applicable</w:t>
      </w:r>
      <w:r>
        <w:t>.</w:t>
      </w:r>
    </w:p>
    <w:p w:rsidRPr="00F40F9C" w:rsidR="002D54C4" w:rsidRDefault="008E110F" w14:paraId="56E4BCE5" w14:textId="6F337753">
      <w:pPr>
        <w:pStyle w:val="zGTC02"/>
        <w:rPr>
          <w:rFonts w:ascii="Arial" w:hAnsi="Arial" w:cs="Arial"/>
          <w:vanish/>
          <w:szCs w:val="20"/>
          <w:specVanish/>
        </w:rPr>
      </w:pPr>
      <w:bookmarkStart w:name="_Toc160749187" w:id="1001"/>
      <w:bookmarkStart w:name="_Toc194937553" w:id="1002"/>
      <w:bookmarkStart w:name="_Toc174624940" w:id="1003"/>
      <w:bookmarkStart w:name="_Toc227451601" w:id="1004"/>
      <w:r>
        <w:t xml:space="preserve">Environmental </w:t>
      </w:r>
      <w:r w:rsidR="008B55A2">
        <w:t>Compliance.</w:t>
      </w:r>
      <w:bookmarkStart w:name="_Toc158593276" w:id="1005"/>
      <w:bookmarkStart w:name="_Toc158597555" w:id="1006"/>
      <w:bookmarkStart w:name="_Toc158720179" w:id="1007"/>
      <w:bookmarkStart w:name="_Toc158722933" w:id="1008"/>
      <w:bookmarkStart w:name="_Toc158929465" w:id="1009"/>
      <w:bookmarkEnd w:id="1001"/>
      <w:bookmarkEnd w:id="1002"/>
      <w:bookmarkEnd w:id="1003"/>
      <w:bookmarkEnd w:id="1004"/>
      <w:bookmarkEnd w:id="1005"/>
      <w:bookmarkEnd w:id="1006"/>
      <w:bookmarkEnd w:id="1007"/>
      <w:bookmarkEnd w:id="1008"/>
      <w:bookmarkEnd w:id="1009"/>
    </w:p>
    <w:p w:rsidRPr="00AF0CDD" w:rsidR="00AF0CDD" w:rsidP="001815FE" w:rsidRDefault="008B55A2" w14:paraId="0C27BB68" w14:textId="6955FBB6">
      <w:pPr>
        <w:pStyle w:val="zGNormal"/>
      </w:pPr>
      <w:r>
        <w:t xml:space="preserve"> </w:t>
      </w:r>
      <w:r w:rsidR="001815FE">
        <w:t>Throughout the Term, Seller must comply with (i) Required BMPs as set forth in Section 17.4.1 (</w:t>
      </w:r>
      <w:r w:rsidRPr="00587168" w:rsidR="001815FE">
        <w:rPr>
          <w:i/>
          <w:iCs/>
        </w:rPr>
        <w:t>Required BMPs</w:t>
      </w:r>
      <w:r w:rsidR="001815FE">
        <w:t>), and (ii) Environmental Recommendations as set forth in Section 17.4.2 (</w:t>
      </w:r>
      <w:r w:rsidRPr="00587168" w:rsidR="001815FE">
        <w:rPr>
          <w:i/>
          <w:iCs/>
        </w:rPr>
        <w:t>Environmental Recommendations</w:t>
      </w:r>
      <w:r w:rsidR="001815FE">
        <w:t>).</w:t>
      </w:r>
    </w:p>
    <w:p w:rsidRPr="00CD50C2" w:rsidR="002D54C4" w:rsidP="00AF0CDD" w:rsidRDefault="00491C14" w14:paraId="202F717D" w14:textId="4798AE88">
      <w:pPr>
        <w:pStyle w:val="zGTC03"/>
      </w:pPr>
      <w:r w:rsidRPr="0097078A">
        <w:rPr>
          <w:bCs/>
        </w:rPr>
        <w:t>Required BMPs.</w:t>
      </w:r>
      <w:r>
        <w:t xml:space="preserve"> </w:t>
      </w:r>
      <w:r>
        <w:rPr>
          <w:b w:val="0"/>
          <w:bCs/>
        </w:rPr>
        <w:t xml:space="preserve">Throughout the Term, </w:t>
      </w:r>
      <w:r w:rsidRPr="00CD50C2" w:rsidR="00CD50C2">
        <w:rPr>
          <w:b w:val="0"/>
          <w:bCs/>
        </w:rPr>
        <w:t>Seller must comply with all Required BMPs regarding the Site or the Facility, including the design, construction, ownership, operation, maintenance, and decommissioning (if applicable) of the Facility. “</w:t>
      </w:r>
      <w:r w:rsidRPr="00F06E1B" w:rsidR="00CD50C2">
        <w:t>Required BMPs</w:t>
      </w:r>
      <w:r w:rsidRPr="00CD50C2" w:rsidR="00CD50C2">
        <w:rPr>
          <w:b w:val="0"/>
          <w:bCs/>
        </w:rPr>
        <w:t>” are those “</w:t>
      </w:r>
      <w:r w:rsidRPr="00CD50C2" w:rsidR="00CD50C2">
        <w:rPr>
          <w:b w:val="0"/>
          <w:bCs/>
          <w:u w:color="0000FF"/>
        </w:rPr>
        <w:t>Best Management Practices” required by a Governmental Authority as made available</w:t>
      </w:r>
      <w:hyperlink w:history="1" r:id="rId20">
        <w:r w:rsidRPr="00CD50C2" w:rsidR="00CD50C2">
          <w:rPr>
            <w:rStyle w:val="Hyperlink"/>
            <w:b w:val="0"/>
            <w:bCs/>
            <w:color w:val="auto"/>
            <w:u w:val="none"/>
          </w:rPr>
          <w:t xml:space="preserve"> at </w:t>
        </w:r>
        <w:hyperlink w:history="1" r:id="rId21">
          <w:r w:rsidR="00ED3017">
            <w:rPr>
              <w:rStyle w:val="Hyperlink"/>
              <w:b w:val="0"/>
              <w:bCs/>
            </w:rPr>
            <w:t>https://gadnr.org/</w:t>
          </w:r>
        </w:hyperlink>
      </w:hyperlink>
      <w:r w:rsidRPr="00CD50C2" w:rsidR="00CD50C2">
        <w:rPr>
          <w:b w:val="0"/>
          <w:bCs/>
        </w:rPr>
        <w:t xml:space="preserve">  or, for a facility outside Georgia, similar best management practices applicable in the state where the Facility is located, in each case whether in effect as of the Effective Date or implemented during the Term. Seller is responsible for all costs, expenses, charges, and fees concerning all compliance required in this Section 17.4.1 (</w:t>
      </w:r>
      <w:r w:rsidRPr="00CD50C2" w:rsidR="00CD50C2">
        <w:rPr>
          <w:b w:val="0"/>
          <w:bCs/>
          <w:i/>
          <w:iCs/>
        </w:rPr>
        <w:t>Required BMPs</w:t>
      </w:r>
      <w:r w:rsidRPr="00CD50C2" w:rsidR="00CD50C2">
        <w:rPr>
          <w:b w:val="0"/>
          <w:bCs/>
        </w:rPr>
        <w:t>), subject to Seller’s rights under Section 17.1 (</w:t>
      </w:r>
      <w:r w:rsidRPr="00CD50C2" w:rsidR="00CD50C2">
        <w:rPr>
          <w:b w:val="0"/>
          <w:bCs/>
          <w:i/>
          <w:iCs/>
        </w:rPr>
        <w:t>Change of Law</w:t>
      </w:r>
      <w:r w:rsidRPr="00CD50C2" w:rsidR="00CD50C2">
        <w:rPr>
          <w:b w:val="0"/>
          <w:bCs/>
        </w:rPr>
        <w:t>), if applicable.</w:t>
      </w:r>
    </w:p>
    <w:p w:rsidRPr="00F40F9C" w:rsidR="00CD50C2" w:rsidP="00AF0CDD" w:rsidRDefault="00CD50C2" w14:paraId="3A164D5D" w14:textId="5C49EF7F">
      <w:pPr>
        <w:pStyle w:val="zGTC03"/>
      </w:pPr>
      <w:r>
        <w:rPr>
          <w:bCs/>
        </w:rPr>
        <w:t>Environmental Recommendations.</w:t>
      </w:r>
      <w:r>
        <w:t xml:space="preserve"> </w:t>
      </w:r>
      <w:r w:rsidR="00D11B56">
        <w:rPr>
          <w:b w:val="0"/>
          <w:bCs/>
        </w:rPr>
        <w:t xml:space="preserve">Throughout the Term, to the extent commercially practicable, Seller must </w:t>
      </w:r>
      <w:r w:rsidRPr="002F06DC" w:rsidR="002F06DC">
        <w:rPr>
          <w:b w:val="0"/>
          <w:bCs/>
        </w:rPr>
        <w:t xml:space="preserve">comply with all Environmental Recommendations </w:t>
      </w:r>
      <w:r w:rsidR="00AF0812">
        <w:rPr>
          <w:b w:val="0"/>
          <w:bCs/>
        </w:rPr>
        <w:t>applicable to the</w:t>
      </w:r>
      <w:r w:rsidRPr="002F06DC" w:rsidR="002F06DC">
        <w:rPr>
          <w:b w:val="0"/>
          <w:bCs/>
        </w:rPr>
        <w:t xml:space="preserve"> Site or the Facility, including the design, construction, ownership, operation, maintenance, and decommissioning (if applicable) of the Facility. </w:t>
      </w:r>
      <w:r w:rsidR="003B09E9">
        <w:rPr>
          <w:b w:val="0"/>
          <w:bCs/>
        </w:rPr>
        <w:t>“</w:t>
      </w:r>
      <w:r w:rsidRPr="003B09E9" w:rsidR="003B09E9">
        <w:t>Environmental Recommendations</w:t>
      </w:r>
      <w:r w:rsidR="003B09E9">
        <w:rPr>
          <w:b w:val="0"/>
          <w:bCs/>
        </w:rPr>
        <w:t>” mean n</w:t>
      </w:r>
      <w:r w:rsidRPr="003B09E9" w:rsidR="003B09E9">
        <w:rPr>
          <w:b w:val="0"/>
          <w:bCs/>
        </w:rPr>
        <w:t>on-binding recommendations made pursuant to Environmental Law or by a Governmental Authority</w:t>
      </w:r>
      <w:r w:rsidR="001C06D8">
        <w:rPr>
          <w:b w:val="0"/>
          <w:bCs/>
        </w:rPr>
        <w:t xml:space="preserve"> published </w:t>
      </w:r>
      <w:r w:rsidR="004D0E1E">
        <w:rPr>
          <w:b w:val="0"/>
          <w:bCs/>
        </w:rPr>
        <w:t>before or during the Term</w:t>
      </w:r>
      <w:r w:rsidRPr="003B09E9" w:rsidR="003B09E9">
        <w:rPr>
          <w:b w:val="0"/>
          <w:bCs/>
        </w:rPr>
        <w:t>, including those regarding: (i) studies or assessments of the actual or potential impacts of the Facility on the environment, wildlife, or cultural resources, (ii) the mitigation or avoidance of environmental impacts, including mitigation measures to reduce or avoid impacts to environmental, wildlife, or cultural resources, such as a species conservation strategy, conservation agreement, or cultural resources treatment plan; and (iii) for a Facility located in Georgia, recommended practices published by the Georgia DNR and made available at https://gadnr.org</w:t>
      </w:r>
      <w:r w:rsidR="007C2921">
        <w:rPr>
          <w:b w:val="0"/>
          <w:bCs/>
        </w:rPr>
        <w:t>.</w:t>
      </w:r>
      <w:r w:rsidRPr="003B09E9" w:rsidDel="00F511FF" w:rsidR="003B09E9">
        <w:rPr>
          <w:b w:val="0"/>
          <w:bCs/>
        </w:rPr>
        <w:t xml:space="preserve"> </w:t>
      </w:r>
      <w:r w:rsidRPr="002F06DC" w:rsidR="002F06DC">
        <w:rPr>
          <w:b w:val="0"/>
          <w:bCs/>
        </w:rPr>
        <w:t>Seller’s compliance with Environmental Recommendations includes</w:t>
      </w:r>
      <w:r w:rsidR="001F091D">
        <w:rPr>
          <w:b w:val="0"/>
          <w:bCs/>
        </w:rPr>
        <w:t>, to the extent commercially practicable,</w:t>
      </w:r>
      <w:r w:rsidRPr="002F06DC" w:rsidR="002F06DC">
        <w:rPr>
          <w:b w:val="0"/>
          <w:bCs/>
        </w:rPr>
        <w:t xml:space="preserve"> adopting, maintaining, and updating policies and procedures in accordance with </w:t>
      </w:r>
      <w:r w:rsidR="00AB7612">
        <w:rPr>
          <w:b w:val="0"/>
          <w:bCs/>
        </w:rPr>
        <w:t>Environmental Recommendations</w:t>
      </w:r>
      <w:r w:rsidRPr="002F06DC" w:rsidR="002F06DC">
        <w:rPr>
          <w:b w:val="0"/>
          <w:bCs/>
        </w:rPr>
        <w:t>. Accordingly, on a regular basis throughout the Term, Seller must review  Environmental Recommendations and take steps to comply with the same in accordance with this Section 17.4.2 (</w:t>
      </w:r>
      <w:r w:rsidRPr="002F06DC" w:rsidR="002F06DC">
        <w:rPr>
          <w:b w:val="0"/>
          <w:bCs/>
          <w:i/>
          <w:iCs/>
        </w:rPr>
        <w:t>Environmental Recommendations</w:t>
      </w:r>
      <w:r w:rsidRPr="002F06DC" w:rsidR="002F06DC">
        <w:rPr>
          <w:b w:val="0"/>
          <w:bCs/>
        </w:rPr>
        <w:t>). Seller is responsible for all costs, expenses, charges, and fees concerning all compliance required in this Section 17.4.2.</w:t>
      </w:r>
    </w:p>
    <w:p w:rsidRPr="00F40F9C" w:rsidR="002D54C4" w:rsidRDefault="008B55A2" w14:paraId="57218926" w14:textId="77777777">
      <w:pPr>
        <w:pStyle w:val="zGTC02"/>
        <w:rPr>
          <w:rFonts w:ascii="Arial" w:hAnsi="Arial" w:cs="Arial"/>
          <w:vanish/>
          <w:szCs w:val="20"/>
          <w:specVanish/>
        </w:rPr>
      </w:pPr>
      <w:bookmarkStart w:name="_Toc160749188" w:id="1010"/>
      <w:bookmarkStart w:name="_Toc194937554" w:id="1011"/>
      <w:bookmarkStart w:name="_Toc174624941" w:id="1012"/>
      <w:bookmarkStart w:name="_Toc227451602" w:id="1013"/>
      <w:r>
        <w:t>Wildlife.</w:t>
      </w:r>
      <w:bookmarkStart w:name="_Toc158593277" w:id="1014"/>
      <w:bookmarkStart w:name="_Toc158597556" w:id="1015"/>
      <w:bookmarkStart w:name="_Toc158720180" w:id="1016"/>
      <w:bookmarkStart w:name="_Toc158722934" w:id="1017"/>
      <w:bookmarkStart w:name="_Toc158929466" w:id="1018"/>
      <w:bookmarkEnd w:id="1010"/>
      <w:bookmarkEnd w:id="1011"/>
      <w:bookmarkEnd w:id="1012"/>
      <w:bookmarkEnd w:id="1013"/>
      <w:bookmarkEnd w:id="1014"/>
      <w:bookmarkEnd w:id="1015"/>
      <w:bookmarkEnd w:id="1016"/>
      <w:bookmarkEnd w:id="1017"/>
      <w:bookmarkEnd w:id="1018"/>
    </w:p>
    <w:p w:rsidRPr="00F40F9C" w:rsidR="002D54C4" w:rsidRDefault="008B55A2" w14:paraId="3C974E3F" w14:textId="49A01F87">
      <w:pPr>
        <w:pStyle w:val="zGNormal"/>
      </w:pPr>
      <w:r>
        <w:t xml:space="preserve"> If any species survey or study indicates that a direct or indirect taking of wildlife listed as threatened, endangered, or other special status under Environmental Laws, or any impacts to habitat of such wildlife, will occur as a result of development or construction activities (including due to grading, ground disturbance, tree clearing, or nest removal) or during operation of the Facility, Seller will consult with </w:t>
      </w:r>
      <w:r>
        <w:lastRenderedPageBreak/>
        <w:t xml:space="preserve">the relevant Governmental Authority to determine whether incidental take authorization or a species habitat conservation or management plan is required under Environmental Laws for the Facility or the Site. If required by any </w:t>
      </w:r>
      <w:r w:rsidR="00CE5C3C">
        <w:t>p</w:t>
      </w:r>
      <w:r>
        <w:t>ermit, Seller will develop and share with GPC a plan for addressing such impacts. During development and construction of the Facility, any wildlife protected by Environmental Laws discovered on the Site must be reported by Seller in accordance with any applicable conservation or management plans.</w:t>
      </w:r>
    </w:p>
    <w:p w:rsidRPr="00F40F9C" w:rsidR="002D54C4" w:rsidRDefault="008B55A2" w14:paraId="13A19FC1" w14:textId="77777777">
      <w:pPr>
        <w:pStyle w:val="zGTC02"/>
      </w:pPr>
      <w:bookmarkStart w:name="_Toc160749189" w:id="1019"/>
      <w:bookmarkStart w:name="_Toc194937555" w:id="1020"/>
      <w:bookmarkStart w:name="_Toc174624942" w:id="1021"/>
      <w:bookmarkStart w:name="_Toc227451603" w:id="1022"/>
      <w:r>
        <w:t>Notices of Violations and Potential Violations; NOV Remediation Plan.</w:t>
      </w:r>
      <w:bookmarkEnd w:id="1019"/>
      <w:bookmarkEnd w:id="1020"/>
      <w:bookmarkEnd w:id="1021"/>
      <w:bookmarkEnd w:id="1022"/>
      <w:r>
        <w:t xml:space="preserve"> </w:t>
      </w:r>
      <w:bookmarkStart w:name="_Toc158593278" w:id="1023"/>
      <w:bookmarkStart w:name="_Toc158597557" w:id="1024"/>
      <w:bookmarkStart w:name="_Toc158720181" w:id="1025"/>
      <w:bookmarkStart w:name="_Toc158722935" w:id="1026"/>
      <w:bookmarkStart w:name="_Toc158929467" w:id="1027"/>
      <w:bookmarkEnd w:id="1023"/>
      <w:bookmarkEnd w:id="1024"/>
      <w:bookmarkEnd w:id="1025"/>
      <w:bookmarkEnd w:id="1026"/>
      <w:bookmarkEnd w:id="1027"/>
    </w:p>
    <w:p w:rsidRPr="00F40F9C" w:rsidR="002D54C4" w:rsidP="00C22140" w:rsidRDefault="008B55A2" w14:paraId="3A7A72ED" w14:textId="77777777">
      <w:pPr>
        <w:pStyle w:val="zGTC03"/>
        <w:rPr>
          <w:vanish/>
          <w:specVanish/>
        </w:rPr>
      </w:pPr>
      <w:r>
        <w:t>Notices of Violations.</w:t>
      </w:r>
    </w:p>
    <w:p w:rsidRPr="00F40F9C" w:rsidR="002D54C4" w:rsidRDefault="008B55A2" w14:paraId="0697B057" w14:textId="77777777">
      <w:pPr>
        <w:pStyle w:val="zGNormal"/>
      </w:pPr>
      <w:r>
        <w:rPr>
          <w:b/>
          <w:bCs/>
        </w:rPr>
        <w:t xml:space="preserve"> </w:t>
      </w:r>
      <w:r>
        <w:t>Within seven Days after receipt, Seller must provide GPC with copies of any written notification from any Governmental Authority alleging that Seller is in violation of any law, including any Environmental Law applicable to the Facility or the Site with respect to the design, construction, ownership, operation, maintenance, or decommissioning of the Facility (an “</w:t>
      </w:r>
      <w:r>
        <w:rPr>
          <w:b/>
          <w:bCs/>
        </w:rPr>
        <w:t>NOV</w:t>
      </w:r>
      <w:r>
        <w:t>”).</w:t>
      </w:r>
    </w:p>
    <w:p w:rsidRPr="00F40F9C" w:rsidR="002D54C4" w:rsidP="00C22140" w:rsidRDefault="008B55A2" w14:paraId="04549C9A" w14:textId="77777777">
      <w:pPr>
        <w:pStyle w:val="zGTC03"/>
        <w:rPr>
          <w:vanish/>
          <w:specVanish/>
        </w:rPr>
      </w:pPr>
      <w:r>
        <w:t>NOV Remedy Plan.</w:t>
      </w:r>
    </w:p>
    <w:p w:rsidRPr="00F40F9C" w:rsidR="002D54C4" w:rsidRDefault="00C86A11" w14:paraId="3D086CC1" w14:textId="11CB9D08">
      <w:pPr>
        <w:pStyle w:val="zGNormal"/>
      </w:pPr>
      <w:r>
        <w:t>If (i) an NOV impacts, or is reasonably expected to impact, Seller’s performance of its PPA obligations; and (ii) GPC requests a remedy plan from Seller in writing</w:t>
      </w:r>
      <w:r w:rsidR="008B55A2">
        <w:t>, Seller must prepare and submit to GPC an “</w:t>
      </w:r>
      <w:r w:rsidR="008B55A2">
        <w:rPr>
          <w:b/>
          <w:bCs/>
        </w:rPr>
        <w:t xml:space="preserve">NOV </w:t>
      </w:r>
      <w:r w:rsidR="008B55A2">
        <w:rPr>
          <w:b/>
        </w:rPr>
        <w:t>Remedy Plan</w:t>
      </w:r>
      <w:r w:rsidR="008B55A2">
        <w:t>” setting forth Seller’s plan and schedule for mitigation and other remedial measures to cure such NOV as soon as reasonably practicable and in accordance with any requirements of any applicable Governmental Authority. Seller must diligently pursue the performance of the NOV Remedy Plan to completion.</w:t>
      </w:r>
    </w:p>
    <w:p w:rsidRPr="00F40F9C" w:rsidR="002D54C4" w:rsidP="00C22140" w:rsidRDefault="008B55A2" w14:paraId="0740F36C" w14:textId="77777777">
      <w:pPr>
        <w:pStyle w:val="zGTC03"/>
        <w:rPr>
          <w:vanish/>
          <w:specVanish/>
        </w:rPr>
      </w:pPr>
      <w:r>
        <w:t>Monthly Status Reports and Updates to NOV Remedy Plan.</w:t>
      </w:r>
    </w:p>
    <w:p w:rsidR="002D54C4" w:rsidRDefault="008B55A2" w14:paraId="61C71866" w14:textId="77777777">
      <w:pPr>
        <w:pStyle w:val="zGNormal"/>
      </w:pPr>
      <w:r>
        <w:t xml:space="preserve"> While an NOV Remedy Plan is in effect, Seller must provide Monthly status reports to GPC, notifying GPC of the implementation of the NOV Remedy Plan, including the steps taken to remedy the NOV, any change to the NOV Remedy Plan, any impact on Seller’s performance of its obligations under this PPA, as well as any additional relevant information as may be reasonably requested by GPC. Seller must modify the NOV Remedy Plan if and as required to comply with any requirement of any applicable law or Governmental Authority.</w:t>
      </w:r>
    </w:p>
    <w:p w:rsidRPr="00F40F9C" w:rsidR="002D54C4" w:rsidP="004B0BBF" w:rsidRDefault="008B55A2" w14:paraId="46CCDD51" w14:textId="69A5309C">
      <w:pPr>
        <w:pStyle w:val="zGTC01"/>
        <w:tabs>
          <w:tab w:val="clear" w:pos="3762"/>
        </w:tabs>
        <w:ind w:left="1080"/>
        <w:rPr>
          <w:szCs w:val="20"/>
        </w:rPr>
      </w:pPr>
      <w:bookmarkStart w:name="_Toc160749190" w:id="1028"/>
      <w:bookmarkStart w:name="_Toc194937557" w:id="1029"/>
      <w:bookmarkStart w:name="_Toc174624943" w:id="1030"/>
      <w:bookmarkStart w:name="_Toc227451604" w:id="1031"/>
      <w:r>
        <w:t>Assignment, Transfers, and Changes of Control</w:t>
      </w:r>
      <w:bookmarkEnd w:id="1028"/>
      <w:bookmarkEnd w:id="1029"/>
      <w:bookmarkEnd w:id="1030"/>
      <w:bookmarkEnd w:id="1031"/>
    </w:p>
    <w:p w:rsidRPr="00735FFB" w:rsidR="00D2136A" w:rsidP="005C73A3" w:rsidRDefault="008B55A2" w14:paraId="2193AB77" w14:textId="06AF204D">
      <w:pPr>
        <w:pStyle w:val="zGTC02"/>
        <w:rPr>
          <w:specVanish/>
        </w:rPr>
      </w:pPr>
      <w:bookmarkStart w:name="_Toc174624944" w:id="1032"/>
      <w:bookmarkStart w:name="_Toc227451605" w:id="1033"/>
      <w:bookmarkStart w:name="_Toc160749191" w:id="1034"/>
      <w:bookmarkStart w:name="_Toc194937558" w:id="1035"/>
      <w:r>
        <w:t>Assignment</w:t>
      </w:r>
      <w:r w:rsidR="00A0339A">
        <w:t>, Transfers, and Changes of Control</w:t>
      </w:r>
      <w:r>
        <w:t>.</w:t>
      </w:r>
      <w:bookmarkStart w:name="_Toc158593280" w:id="1036"/>
      <w:bookmarkStart w:name="_Toc158597559" w:id="1037"/>
      <w:bookmarkStart w:name="_Toc158720183" w:id="1038"/>
      <w:bookmarkStart w:name="_Toc158722937" w:id="1039"/>
      <w:bookmarkStart w:name="_Toc158929469" w:id="1040"/>
      <w:bookmarkEnd w:id="1032"/>
      <w:bookmarkEnd w:id="1033"/>
      <w:bookmarkEnd w:id="1036"/>
      <w:bookmarkEnd w:id="1037"/>
      <w:bookmarkEnd w:id="1038"/>
      <w:bookmarkEnd w:id="1039"/>
      <w:bookmarkEnd w:id="1040"/>
    </w:p>
    <w:p w:rsidRPr="00F837A1" w:rsidR="005150E2" w:rsidP="004B0BBF" w:rsidRDefault="005150E2" w14:paraId="01A36E92" w14:textId="49BC935A">
      <w:pPr>
        <w:pStyle w:val="zGTC03"/>
        <w:widowControl w:val="0"/>
        <w:spacing w:after="120"/>
        <w:ind w:left="720"/>
      </w:pPr>
      <w:r w:rsidRPr="00FA1446">
        <w:rPr>
          <w:bCs/>
        </w:rPr>
        <w:t>Assignment</w:t>
      </w:r>
      <w:r>
        <w:rPr>
          <w:bCs/>
        </w:rPr>
        <w:t xml:space="preserve"> by Seller</w:t>
      </w:r>
      <w:r>
        <w:t xml:space="preserve">. </w:t>
      </w:r>
      <w:bookmarkStart w:name="_Hlk201050541" w:id="1041"/>
      <w:r w:rsidRPr="00F21356">
        <w:rPr>
          <w:b w:val="0"/>
          <w:bCs/>
        </w:rPr>
        <w:t>Except as expressly provided in Section 18.2 (</w:t>
      </w:r>
      <w:r w:rsidRPr="00F21356">
        <w:rPr>
          <w:b w:val="0"/>
          <w:bCs/>
          <w:i/>
          <w:iCs/>
        </w:rPr>
        <w:t xml:space="preserve">Financing </w:t>
      </w:r>
      <w:r w:rsidRPr="004B0BBF">
        <w:rPr>
          <w:b w:val="0"/>
          <w:i/>
        </w:rPr>
        <w:t>Assignment</w:t>
      </w:r>
      <w:r w:rsidRPr="00F21356">
        <w:rPr>
          <w:b w:val="0"/>
          <w:bCs/>
          <w:i/>
          <w:iCs/>
        </w:rPr>
        <w:t>;</w:t>
      </w:r>
      <w:r w:rsidRPr="00F21356">
        <w:rPr>
          <w:b w:val="0"/>
          <w:bCs/>
        </w:rPr>
        <w:t xml:space="preserve"> </w:t>
      </w:r>
      <w:r w:rsidRPr="00F21356">
        <w:rPr>
          <w:b w:val="0"/>
          <w:bCs/>
          <w:i/>
          <w:iCs/>
        </w:rPr>
        <w:t>Estoppels</w:t>
      </w:r>
      <w:r w:rsidRPr="00F21356">
        <w:rPr>
          <w:b w:val="0"/>
          <w:bCs/>
        </w:rPr>
        <w:t>),</w:t>
      </w:r>
      <w:r w:rsidRPr="00F837A1">
        <w:rPr>
          <w:b w:val="0"/>
        </w:rPr>
        <w:t xml:space="preserve"> Seller must not assign this PPA in whole or in part </w:t>
      </w:r>
      <w:r w:rsidRPr="00F21356">
        <w:rPr>
          <w:b w:val="0"/>
          <w:bCs/>
        </w:rPr>
        <w:t xml:space="preserve">to any Person </w:t>
      </w:r>
      <w:r w:rsidRPr="00F837A1">
        <w:rPr>
          <w:b w:val="0"/>
        </w:rPr>
        <w:t xml:space="preserve">without </w:t>
      </w:r>
      <w:r w:rsidRPr="00F21356">
        <w:rPr>
          <w:b w:val="0"/>
          <w:bCs/>
        </w:rPr>
        <w:t>the</w:t>
      </w:r>
      <w:r w:rsidRPr="00F837A1">
        <w:rPr>
          <w:b w:val="0"/>
        </w:rPr>
        <w:t xml:space="preserve"> prior written consent of GPC</w:t>
      </w:r>
      <w:r w:rsidRPr="00F21356">
        <w:rPr>
          <w:b w:val="0"/>
          <w:bCs/>
        </w:rPr>
        <w:t>.</w:t>
      </w:r>
      <w:r w:rsidRPr="00F837A1">
        <w:rPr>
          <w:b w:val="0"/>
        </w:rPr>
        <w:t xml:space="preserve"> Any proposed assignee of this PPA must: (</w:t>
      </w:r>
      <w:r w:rsidRPr="00F21356">
        <w:rPr>
          <w:b w:val="0"/>
          <w:bCs/>
        </w:rPr>
        <w:t>i</w:t>
      </w:r>
      <w:r w:rsidRPr="00F837A1">
        <w:rPr>
          <w:b w:val="0"/>
        </w:rPr>
        <w:t xml:space="preserve">) agree to assume Seller’s </w:t>
      </w:r>
      <w:r w:rsidRPr="00F21356">
        <w:rPr>
          <w:b w:val="0"/>
          <w:bCs/>
        </w:rPr>
        <w:t xml:space="preserve">obligations under this PPA and provide assurances of its ability to perform all </w:t>
      </w:r>
      <w:r w:rsidRPr="00F837A1">
        <w:rPr>
          <w:b w:val="0"/>
        </w:rPr>
        <w:t xml:space="preserve">PPA obligations; </w:t>
      </w:r>
      <w:r w:rsidRPr="00F21356">
        <w:rPr>
          <w:b w:val="0"/>
          <w:bCs/>
        </w:rPr>
        <w:t>(ii</w:t>
      </w:r>
      <w:r w:rsidRPr="00F837A1">
        <w:rPr>
          <w:b w:val="0"/>
        </w:rPr>
        <w:t xml:space="preserve">) deliver, on GPC’s reasonable request, assurances </w:t>
      </w:r>
      <w:r w:rsidRPr="00F21356">
        <w:rPr>
          <w:b w:val="0"/>
          <w:bCs/>
        </w:rPr>
        <w:t xml:space="preserve">of its </w:t>
      </w:r>
      <w:r w:rsidRPr="00F837A1">
        <w:rPr>
          <w:b w:val="0"/>
        </w:rPr>
        <w:t>Creditworthiness and</w:t>
      </w:r>
      <w:r w:rsidRPr="00F21356">
        <w:rPr>
          <w:b w:val="0"/>
          <w:bCs/>
        </w:rPr>
        <w:t>, if applicable, Eligible Collateral; and (iii) cooperate with GPC to comply with any legal requirement that results from such assignment</w:t>
      </w:r>
      <w:bookmarkEnd w:id="1041"/>
      <w:r w:rsidRPr="00F21356">
        <w:rPr>
          <w:b w:val="0"/>
          <w:bCs/>
        </w:rPr>
        <w:t>.</w:t>
      </w:r>
      <w:r w:rsidRPr="00F837A1">
        <w:rPr>
          <w:b w:val="0"/>
        </w:rPr>
        <w:t xml:space="preserve"> </w:t>
      </w:r>
    </w:p>
    <w:p w:rsidRPr="00154F6B" w:rsidR="005150E2" w:rsidP="004B0BBF" w:rsidRDefault="005150E2" w14:paraId="75D57768" w14:textId="30E9D6A4">
      <w:pPr>
        <w:pStyle w:val="zGTC03"/>
        <w:widowControl w:val="0"/>
        <w:spacing w:after="120"/>
        <w:ind w:left="720"/>
      </w:pPr>
      <w:r w:rsidRPr="001A3DC9">
        <w:t>Release.</w:t>
      </w:r>
      <w:r w:rsidRPr="004B0BBF">
        <w:rPr>
          <w:b w:val="0"/>
        </w:rPr>
        <w:t xml:space="preserve"> </w:t>
      </w:r>
      <w:r w:rsidRPr="001A3DC9">
        <w:rPr>
          <w:b w:val="0"/>
        </w:rPr>
        <w:t>Any assignment of this PPA made in compliance with Section 18.1.1 (</w:t>
      </w:r>
      <w:r w:rsidRPr="001A3DC9">
        <w:rPr>
          <w:b w:val="0"/>
          <w:i/>
        </w:rPr>
        <w:t xml:space="preserve">Assignment by Seller) </w:t>
      </w:r>
      <w:r w:rsidRPr="001A3DC9">
        <w:rPr>
          <w:b w:val="0"/>
        </w:rPr>
        <w:t>will constitute, as of the effective date of the assignment, an acceptance and assumption by assignee of all obligations under this PPA and a release and discharge by GPC of Seller from all obligations</w:t>
      </w:r>
      <w:r w:rsidRPr="00735FFB">
        <w:t xml:space="preserve"> </w:t>
      </w:r>
      <w:r w:rsidRPr="00F21356">
        <w:rPr>
          <w:b w:val="0"/>
          <w:bCs/>
        </w:rPr>
        <w:t xml:space="preserve">under </w:t>
      </w:r>
      <w:r w:rsidRPr="00F837A1">
        <w:rPr>
          <w:b w:val="0"/>
        </w:rPr>
        <w:t>this PPA</w:t>
      </w:r>
      <w:r w:rsidRPr="00F21356">
        <w:rPr>
          <w:b w:val="0"/>
          <w:bCs/>
        </w:rPr>
        <w:t xml:space="preserve"> arising</w:t>
      </w:r>
      <w:r w:rsidRPr="00F837A1">
        <w:rPr>
          <w:b w:val="0"/>
        </w:rPr>
        <w:t xml:space="preserve"> after the effective date of the assignment.</w:t>
      </w:r>
    </w:p>
    <w:p w:rsidRPr="00154F6B" w:rsidR="005150E2" w:rsidP="004B0BBF" w:rsidRDefault="005150E2" w14:paraId="1952BC9B" w14:textId="4B540509">
      <w:pPr>
        <w:pStyle w:val="zGTC03"/>
        <w:widowControl w:val="0"/>
        <w:spacing w:after="120"/>
        <w:ind w:left="720"/>
      </w:pPr>
      <w:r w:rsidRPr="00FA1446">
        <w:rPr>
          <w:bCs/>
        </w:rPr>
        <w:t xml:space="preserve">Assignment </w:t>
      </w:r>
      <w:r>
        <w:rPr>
          <w:bCs/>
        </w:rPr>
        <w:t>by GPC</w:t>
      </w:r>
      <w:r>
        <w:t xml:space="preserve">. </w:t>
      </w:r>
      <w:r w:rsidRPr="004B0BBF">
        <w:rPr>
          <w:b w:val="0"/>
        </w:rPr>
        <w:t>GPC may not assign this PPA or any portion of this PPA to any Person without the prior written consent of Seller</w:t>
      </w:r>
      <w:r w:rsidRPr="00F21356">
        <w:rPr>
          <w:b w:val="0"/>
          <w:bCs/>
        </w:rPr>
        <w:t xml:space="preserve">. However, GPC may, without the consent of Seller and with the approval of the Commission, assign this PPA to a </w:t>
      </w:r>
      <w:r w:rsidR="00735654">
        <w:rPr>
          <w:b w:val="0"/>
          <w:bCs/>
        </w:rPr>
        <w:t xml:space="preserve">Creditworthy </w:t>
      </w:r>
      <w:r w:rsidRPr="00F21356">
        <w:rPr>
          <w:b w:val="0"/>
          <w:bCs/>
        </w:rPr>
        <w:t>Affiliate subject to the jurisdiction of a state regulatory commission</w:t>
      </w:r>
      <w:r w:rsidRPr="00154F6B">
        <w:t>.</w:t>
      </w:r>
    </w:p>
    <w:p w:rsidRPr="00FB38D0" w:rsidR="005150E2" w:rsidP="005150E2" w:rsidRDefault="005150E2" w14:paraId="161A5403" w14:textId="16BB0B41">
      <w:pPr>
        <w:pStyle w:val="zGTC03"/>
        <w:widowControl w:val="0"/>
        <w:spacing w:after="120"/>
        <w:ind w:left="720"/>
      </w:pPr>
      <w:bookmarkStart w:name="_Toc379477333" w:id="1042"/>
      <w:bookmarkStart w:name="_Toc160749192" w:id="1043"/>
      <w:bookmarkStart w:name="_Toc174624945" w:id="1044"/>
      <w:r w:rsidRPr="00FB38D0">
        <w:rPr>
          <w:bCs/>
        </w:rPr>
        <w:t>Transfer; Change of Control</w:t>
      </w:r>
      <w:r w:rsidRPr="00FB38D0">
        <w:t xml:space="preserve">. </w:t>
      </w:r>
      <w:bookmarkStart w:name="_Hlk201050589" w:id="1045"/>
      <w:r w:rsidRPr="00F21356">
        <w:rPr>
          <w:b w:val="0"/>
          <w:bCs/>
        </w:rPr>
        <w:t>Seller agrees that, without the prior written consent of GPC, there will be no: (i) Change of Control Transaction with respect to Seller; or (ii) delegation by Seller of operational responsibility for the Facility</w:t>
      </w:r>
      <w:r w:rsidRPr="00D16942">
        <w:rPr>
          <w:b w:val="0"/>
          <w:bCs/>
        </w:rPr>
        <w:t>.</w:t>
      </w:r>
      <w:r w:rsidRPr="00D16942" w:rsidR="00D16942">
        <w:rPr>
          <w:b w:val="0"/>
          <w:bCs/>
        </w:rPr>
        <w:t xml:space="preserve"> For the avoidance of doubt, nothing in Section 18.1.4(ii) </w:t>
      </w:r>
      <w:r w:rsidR="00884A97">
        <w:rPr>
          <w:b w:val="0"/>
          <w:bCs/>
        </w:rPr>
        <w:t>(</w:t>
      </w:r>
      <w:r w:rsidRPr="00884A97" w:rsidR="00884A97">
        <w:rPr>
          <w:b w:val="0"/>
          <w:bCs/>
          <w:i/>
          <w:iCs/>
        </w:rPr>
        <w:t>Transfer; Change of Control</w:t>
      </w:r>
      <w:r w:rsidRPr="00D16942" w:rsidR="00D16942">
        <w:rPr>
          <w:b w:val="0"/>
          <w:bCs/>
        </w:rPr>
        <w:t>) will be construed to prohibit Seller from engaging qualified contractors for discrete services related to day-to-day Facility operations without GPC’s prior written consent.</w:t>
      </w:r>
      <w:r w:rsidRPr="00F21356">
        <w:rPr>
          <w:b w:val="0"/>
          <w:bCs/>
        </w:rPr>
        <w:t xml:space="preserve"> Seller, without GPC’s consent, may enter into a Reorganization Transaction so long as: (a) Seller provides notice to GPC at least 30 Days before the anticipated effective date of the proposed transaction; and (b) the Reorganization Transaction does not: (1) limit GPC’s rights under </w:t>
      </w:r>
      <w:r w:rsidRPr="00F21356">
        <w:rPr>
          <w:b w:val="0"/>
          <w:bCs/>
        </w:rPr>
        <w:lastRenderedPageBreak/>
        <w:t xml:space="preserve">this PPA; (2) expand the liability, risks, or obligations imposed on GPC under this PPA; (3) release or discharge Seller from any PPA obligation or liability; or (4) require substitution or amendment of (I) </w:t>
      </w:r>
      <w:r w:rsidR="00E82B99">
        <w:rPr>
          <w:b w:val="0"/>
          <w:bCs/>
        </w:rPr>
        <w:t>Eligible Collateral</w:t>
      </w:r>
      <w:r w:rsidRPr="00F21356">
        <w:rPr>
          <w:b w:val="0"/>
          <w:bCs/>
        </w:rPr>
        <w:t xml:space="preserve">, (II) insurance, or (III) W-9. A Reorganization Transaction that requires or will result in substitution or amendment of (I) </w:t>
      </w:r>
      <w:r w:rsidR="00AA65D7">
        <w:rPr>
          <w:b w:val="0"/>
          <w:bCs/>
        </w:rPr>
        <w:t>Eligible Collateral</w:t>
      </w:r>
      <w:r w:rsidRPr="00F21356">
        <w:rPr>
          <w:b w:val="0"/>
          <w:bCs/>
        </w:rPr>
        <w:t>, (II) insurance, or (III) W-9 will be documented and treated as if it were an assignment of this PPA and Section 18.1.1 (</w:t>
      </w:r>
      <w:r w:rsidRPr="00F21356">
        <w:rPr>
          <w:b w:val="0"/>
          <w:bCs/>
          <w:i/>
          <w:iCs/>
        </w:rPr>
        <w:t>Assignment by Seller</w:t>
      </w:r>
      <w:r w:rsidRPr="00F21356">
        <w:rPr>
          <w:b w:val="0"/>
          <w:bCs/>
        </w:rPr>
        <w:t>) will apply</w:t>
      </w:r>
      <w:bookmarkEnd w:id="1042"/>
      <w:bookmarkEnd w:id="1045"/>
      <w:r w:rsidRPr="00F21356">
        <w:rPr>
          <w:b w:val="0"/>
          <w:bCs/>
        </w:rPr>
        <w:t>.</w:t>
      </w:r>
    </w:p>
    <w:p w:rsidR="005150E2" w:rsidP="004B0BBF" w:rsidRDefault="005150E2" w14:paraId="0B15B86E" w14:textId="1C1190E7">
      <w:pPr>
        <w:pStyle w:val="zGTC03"/>
        <w:widowControl w:val="0"/>
        <w:spacing w:after="120"/>
        <w:ind w:left="720"/>
      </w:pPr>
      <w:r w:rsidRPr="00A46390">
        <w:rPr>
          <w:bCs/>
        </w:rPr>
        <w:t>Request for Consent</w:t>
      </w:r>
      <w:r>
        <w:t xml:space="preserve">. </w:t>
      </w:r>
      <w:bookmarkStart w:name="_Hlk201050618" w:id="1046"/>
      <w:r w:rsidRPr="00F21356">
        <w:rPr>
          <w:b w:val="0"/>
          <w:bCs/>
        </w:rPr>
        <w:t xml:space="preserve">When GPC’s consent is required under Sections 18.1.1 </w:t>
      </w:r>
      <w:r w:rsidRPr="00FD35D5">
        <w:rPr>
          <w:b w:val="0"/>
          <w:bCs/>
        </w:rPr>
        <w:t>(</w:t>
      </w:r>
      <w:bookmarkEnd w:id="1043"/>
      <w:bookmarkEnd w:id="1044"/>
      <w:r w:rsidR="00FD35D5">
        <w:rPr>
          <w:b w:val="0"/>
          <w:bCs/>
          <w:i/>
          <w:iCs/>
        </w:rPr>
        <w:t xml:space="preserve">Assignment </w:t>
      </w:r>
      <w:r w:rsidRPr="00FD35D5">
        <w:rPr>
          <w:b w:val="0"/>
          <w:bCs/>
          <w:i/>
          <w:iCs/>
        </w:rPr>
        <w:t>by Seller</w:t>
      </w:r>
      <w:r w:rsidRPr="00FD35D5">
        <w:rPr>
          <w:b w:val="0"/>
          <w:bCs/>
        </w:rPr>
        <w:t>) or 18.1.4 (</w:t>
      </w:r>
      <w:r w:rsidRPr="00FD35D5">
        <w:rPr>
          <w:b w:val="0"/>
          <w:bCs/>
          <w:i/>
        </w:rPr>
        <w:t>Transfer</w:t>
      </w:r>
      <w:r w:rsidRPr="00FD35D5">
        <w:rPr>
          <w:b w:val="0"/>
          <w:bCs/>
          <w:i/>
          <w:iCs/>
        </w:rPr>
        <w:t>;</w:t>
      </w:r>
      <w:r w:rsidRPr="00FD35D5">
        <w:rPr>
          <w:b w:val="0"/>
          <w:bCs/>
          <w:i/>
        </w:rPr>
        <w:t xml:space="preserve"> Change of Control</w:t>
      </w:r>
      <w:r w:rsidRPr="00FD35D5">
        <w:rPr>
          <w:b w:val="0"/>
          <w:bCs/>
        </w:rPr>
        <w:t>), Seller must:</w:t>
      </w:r>
      <w:r w:rsidRPr="004B0BBF">
        <w:rPr>
          <w:b w:val="0"/>
        </w:rPr>
        <w:t xml:space="preserve"> (i) request GPC’s consent to </w:t>
      </w:r>
      <w:r w:rsidRPr="00F21356">
        <w:rPr>
          <w:b w:val="0"/>
          <w:bCs/>
        </w:rPr>
        <w:t>the transaction</w:t>
      </w:r>
      <w:r w:rsidRPr="004B0BBF">
        <w:rPr>
          <w:b w:val="0"/>
        </w:rPr>
        <w:t xml:space="preserve"> by providing notice at least </w:t>
      </w:r>
      <w:r w:rsidRPr="00F21356">
        <w:rPr>
          <w:b w:val="0"/>
          <w:bCs/>
        </w:rPr>
        <w:t>30</w:t>
      </w:r>
      <w:r w:rsidRPr="004B0BBF">
        <w:rPr>
          <w:b w:val="0"/>
        </w:rPr>
        <w:t xml:space="preserve"> Days before the anticipated effective date of the </w:t>
      </w:r>
      <w:r w:rsidRPr="00F21356">
        <w:rPr>
          <w:b w:val="0"/>
          <w:bCs/>
        </w:rPr>
        <w:t>proposed transaction</w:t>
      </w:r>
      <w:r w:rsidRPr="004B0BBF">
        <w:rPr>
          <w:b w:val="0"/>
        </w:rPr>
        <w:t xml:space="preserve">; and (ii) receive GPC’s </w:t>
      </w:r>
      <w:r w:rsidRPr="00F21356">
        <w:rPr>
          <w:b w:val="0"/>
          <w:bCs/>
        </w:rPr>
        <w:t>written consent.</w:t>
      </w:r>
      <w:r w:rsidRPr="004B0BBF">
        <w:rPr>
          <w:b w:val="0"/>
        </w:rPr>
        <w:t xml:space="preserve"> GPC and Seller will cooperate to finalize the form of written consent between </w:t>
      </w:r>
      <w:r w:rsidRPr="00F21356">
        <w:rPr>
          <w:b w:val="0"/>
          <w:bCs/>
        </w:rPr>
        <w:t>the relevant parties.</w:t>
      </w:r>
      <w:r w:rsidRPr="004B0BBF">
        <w:rPr>
          <w:b w:val="0"/>
        </w:rPr>
        <w:t xml:space="preserve"> Subject to Seller’s satisfaction of </w:t>
      </w:r>
      <w:r w:rsidRPr="00F21356">
        <w:rPr>
          <w:b w:val="0"/>
          <w:bCs/>
        </w:rPr>
        <w:t>all applicable provisions of Sections 18.1 through 18.4, inclusive,</w:t>
      </w:r>
      <w:r w:rsidRPr="004B0BBF">
        <w:rPr>
          <w:b w:val="0"/>
        </w:rPr>
        <w:t xml:space="preserve"> GPC will seek any required Consent from the Commission after GPC is satisfied that: (a) Seller’s transaction is final but for such Consent; (b) a plan for any replacement of Eligible Collateral is satisfactory and sufficient; and (c) any required accounting </w:t>
      </w:r>
      <w:r w:rsidRPr="00F21356">
        <w:rPr>
          <w:b w:val="0"/>
          <w:bCs/>
        </w:rPr>
        <w:t>determination ha</w:t>
      </w:r>
      <w:r w:rsidR="006A45A7">
        <w:rPr>
          <w:b w:val="0"/>
          <w:bCs/>
        </w:rPr>
        <w:t>s</w:t>
      </w:r>
      <w:r w:rsidRPr="004B0BBF">
        <w:rPr>
          <w:b w:val="0"/>
        </w:rPr>
        <w:t xml:space="preserve"> been made by GPC and </w:t>
      </w:r>
      <w:r w:rsidR="006A45A7">
        <w:rPr>
          <w:b w:val="0"/>
          <w:bCs/>
        </w:rPr>
        <w:t>is</w:t>
      </w:r>
      <w:r w:rsidRPr="004B0BBF" w:rsidR="006A45A7">
        <w:rPr>
          <w:b w:val="0"/>
        </w:rPr>
        <w:t xml:space="preserve"> </w:t>
      </w:r>
      <w:r w:rsidRPr="004B0BBF">
        <w:rPr>
          <w:b w:val="0"/>
        </w:rPr>
        <w:t>acceptable</w:t>
      </w:r>
      <w:bookmarkEnd w:id="1046"/>
      <w:r w:rsidRPr="004B0BBF">
        <w:rPr>
          <w:b w:val="0"/>
        </w:rPr>
        <w:t>.</w:t>
      </w:r>
      <w:r w:rsidRPr="00154F6B">
        <w:t xml:space="preserve"> </w:t>
      </w:r>
    </w:p>
    <w:p w:rsidRPr="00564BE1" w:rsidR="005150E2" w:rsidP="004B0BBF" w:rsidRDefault="005150E2" w14:paraId="5B51166C" w14:textId="01F3A906">
      <w:pPr>
        <w:pStyle w:val="zGTC03"/>
        <w:widowControl w:val="0"/>
        <w:spacing w:after="120"/>
        <w:ind w:left="720"/>
      </w:pPr>
      <w:bookmarkStart w:name="_Toc160749196" w:id="1047"/>
      <w:bookmarkStart w:name="_Toc174624949" w:id="1048"/>
      <w:r>
        <w:rPr>
          <w:bCs/>
        </w:rPr>
        <w:t>Transferee Assurances</w:t>
      </w:r>
      <w:r w:rsidRPr="00B9482B">
        <w:t>.</w:t>
      </w:r>
      <w:bookmarkEnd w:id="1047"/>
      <w:bookmarkEnd w:id="1048"/>
      <w:r>
        <w:t xml:space="preserve"> </w:t>
      </w:r>
      <w:bookmarkStart w:name="_Hlk201050646" w:id="1049"/>
      <w:r w:rsidRPr="004B0BBF">
        <w:rPr>
          <w:b w:val="0"/>
        </w:rPr>
        <w:t>Before any</w:t>
      </w:r>
      <w:r w:rsidRPr="00F21356">
        <w:rPr>
          <w:b w:val="0"/>
          <w:bCs/>
        </w:rPr>
        <w:t xml:space="preserve"> transaction requiring GPC’s consent under Section 18.1.1 (</w:t>
      </w:r>
      <w:r w:rsidRPr="00F21356">
        <w:rPr>
          <w:b w:val="0"/>
          <w:bCs/>
          <w:i/>
          <w:iCs/>
        </w:rPr>
        <w:t>Assignment by Selle</w:t>
      </w:r>
      <w:r w:rsidRPr="00F21356">
        <w:rPr>
          <w:b w:val="0"/>
          <w:bCs/>
        </w:rPr>
        <w:t>r)</w:t>
      </w:r>
      <w:r w:rsidRPr="004B0BBF">
        <w:rPr>
          <w:b w:val="0"/>
        </w:rPr>
        <w:t xml:space="preserve"> or </w:t>
      </w:r>
      <w:r w:rsidRPr="00F21356">
        <w:rPr>
          <w:b w:val="0"/>
          <w:bCs/>
        </w:rPr>
        <w:t>Section 18.1.4 (</w:t>
      </w:r>
      <w:r w:rsidRPr="00F21356">
        <w:rPr>
          <w:b w:val="0"/>
          <w:bCs/>
          <w:i/>
          <w:iCs/>
        </w:rPr>
        <w:t>Transfer;</w:t>
      </w:r>
      <w:r w:rsidRPr="004B0BBF">
        <w:rPr>
          <w:b w:val="0"/>
          <w:i/>
        </w:rPr>
        <w:t xml:space="preserve"> Change of Control</w:t>
      </w:r>
      <w:r w:rsidRPr="00F21356">
        <w:rPr>
          <w:b w:val="0"/>
          <w:bCs/>
        </w:rPr>
        <w:t>),</w:t>
      </w:r>
      <w:r w:rsidRPr="004B0BBF">
        <w:rPr>
          <w:b w:val="0"/>
        </w:rPr>
        <w:t xml:space="preserve"> </w:t>
      </w:r>
      <w:bookmarkEnd w:id="1049"/>
      <w:r w:rsidRPr="004B0BBF">
        <w:rPr>
          <w:b w:val="0"/>
        </w:rPr>
        <w:t xml:space="preserve">Seller must obtain for GPC written assurances from the transferee of the limitations of and protections against liability following the proposed transfer at least equivalent to those afforded GPC </w:t>
      </w:r>
      <w:r w:rsidRPr="00F21356">
        <w:rPr>
          <w:rFonts w:cs="Arial"/>
          <w:b w:val="0"/>
          <w:bCs/>
        </w:rPr>
        <w:t>and its</w:t>
      </w:r>
      <w:r w:rsidRPr="004B0BBF">
        <w:rPr>
          <w:b w:val="0"/>
        </w:rPr>
        <w:t xml:space="preserve"> Affiliates under this PPA. Any transfer contrary to </w:t>
      </w:r>
      <w:r w:rsidRPr="00F21356">
        <w:rPr>
          <w:rFonts w:cs="Arial"/>
          <w:b w:val="0"/>
          <w:bCs/>
        </w:rPr>
        <w:t xml:space="preserve">the provisions of </w:t>
      </w:r>
      <w:r w:rsidRPr="004B0BBF">
        <w:rPr>
          <w:b w:val="0"/>
        </w:rPr>
        <w:t>this Section 18.</w:t>
      </w:r>
      <w:r w:rsidRPr="00F21356">
        <w:rPr>
          <w:rFonts w:cs="Arial"/>
          <w:b w:val="0"/>
          <w:bCs/>
        </w:rPr>
        <w:t>1.</w:t>
      </w:r>
      <w:r w:rsidRPr="004B0BBF">
        <w:rPr>
          <w:b w:val="0"/>
        </w:rPr>
        <w:t>6</w:t>
      </w:r>
      <w:r w:rsidRPr="00F21356">
        <w:rPr>
          <w:rFonts w:cs="Arial"/>
          <w:b w:val="0"/>
          <w:bCs/>
        </w:rPr>
        <w:t xml:space="preserve"> (</w:t>
      </w:r>
      <w:r w:rsidRPr="00F21356">
        <w:rPr>
          <w:rFonts w:cs="Arial"/>
          <w:b w:val="0"/>
          <w:bCs/>
          <w:i/>
          <w:iCs/>
        </w:rPr>
        <w:t>Transferee Assurances</w:t>
      </w:r>
      <w:r w:rsidRPr="00F21356">
        <w:rPr>
          <w:rFonts w:cs="Arial"/>
          <w:b w:val="0"/>
          <w:bCs/>
        </w:rPr>
        <w:t>),</w:t>
      </w:r>
      <w:r w:rsidRPr="004B0BBF">
        <w:rPr>
          <w:b w:val="0"/>
        </w:rPr>
        <w:t xml:space="preserve"> will make Seller the indemnitor of GPC </w:t>
      </w:r>
      <w:r w:rsidRPr="00F21356">
        <w:rPr>
          <w:rFonts w:cs="Arial"/>
          <w:b w:val="0"/>
          <w:bCs/>
        </w:rPr>
        <w:t>and its</w:t>
      </w:r>
      <w:r w:rsidRPr="004B0BBF">
        <w:rPr>
          <w:b w:val="0"/>
        </w:rPr>
        <w:t xml:space="preserve"> Affiliates against any liabilities incurred by GPC </w:t>
      </w:r>
      <w:r w:rsidRPr="00F21356">
        <w:rPr>
          <w:rFonts w:cs="Arial"/>
          <w:b w:val="0"/>
          <w:bCs/>
        </w:rPr>
        <w:t>and its</w:t>
      </w:r>
      <w:r w:rsidRPr="004B0BBF">
        <w:rPr>
          <w:b w:val="0"/>
        </w:rPr>
        <w:t xml:space="preserve"> Affiliates </w:t>
      </w:r>
      <w:r w:rsidRPr="00F21356">
        <w:rPr>
          <w:rFonts w:cs="Arial"/>
          <w:b w:val="0"/>
          <w:bCs/>
        </w:rPr>
        <w:t>in excess of</w:t>
      </w:r>
      <w:r w:rsidRPr="004B0BBF">
        <w:rPr>
          <w:b w:val="0"/>
        </w:rPr>
        <w:t xml:space="preserve"> those that would have been incurred had no</w:t>
      </w:r>
      <w:r w:rsidRPr="00F21356">
        <w:rPr>
          <w:rFonts w:cs="Arial"/>
          <w:b w:val="0"/>
          <w:bCs/>
        </w:rPr>
        <w:t xml:space="preserve"> such</w:t>
      </w:r>
      <w:r w:rsidRPr="004B0BBF">
        <w:rPr>
          <w:b w:val="0"/>
        </w:rPr>
        <w:t xml:space="preserve"> transfer taken place. If Seller is not the sole owner of the Facility, Seller represents and warrants that </w:t>
      </w:r>
      <w:r w:rsidRPr="00F21356">
        <w:rPr>
          <w:rFonts w:cs="Arial"/>
          <w:b w:val="0"/>
          <w:bCs/>
        </w:rPr>
        <w:t>it</w:t>
      </w:r>
      <w:r w:rsidRPr="004B0BBF">
        <w:rPr>
          <w:b w:val="0"/>
        </w:rPr>
        <w:t xml:space="preserve"> has</w:t>
      </w:r>
      <w:r w:rsidRPr="00F21356">
        <w:rPr>
          <w:rFonts w:cs="Arial"/>
          <w:b w:val="0"/>
          <w:bCs/>
        </w:rPr>
        <w:t xml:space="preserve"> (</w:t>
      </w:r>
      <w:r w:rsidRPr="004B0BBF">
        <w:rPr>
          <w:b w:val="0"/>
        </w:rPr>
        <w:t xml:space="preserve">and </w:t>
      </w:r>
      <w:r w:rsidRPr="00F21356">
        <w:rPr>
          <w:rFonts w:cs="Arial"/>
          <w:b w:val="0"/>
          <w:bCs/>
        </w:rPr>
        <w:t xml:space="preserve">will </w:t>
      </w:r>
      <w:r w:rsidRPr="004B0BBF">
        <w:rPr>
          <w:b w:val="0"/>
        </w:rPr>
        <w:t>maintain</w:t>
      </w:r>
      <w:r w:rsidRPr="00F21356">
        <w:rPr>
          <w:rFonts w:cs="Arial"/>
          <w:b w:val="0"/>
          <w:bCs/>
        </w:rPr>
        <w:t>)</w:t>
      </w:r>
      <w:r w:rsidRPr="004B0BBF">
        <w:rPr>
          <w:b w:val="0"/>
        </w:rPr>
        <w:t xml:space="preserve"> written assurances from each other owner of the Facility limitations of and protections against </w:t>
      </w:r>
      <w:r w:rsidRPr="00F21356">
        <w:rPr>
          <w:rFonts w:cs="Arial"/>
          <w:b w:val="0"/>
          <w:bCs/>
        </w:rPr>
        <w:t>liability of GPC and its</w:t>
      </w:r>
      <w:r w:rsidRPr="004B0BBF">
        <w:rPr>
          <w:b w:val="0"/>
        </w:rPr>
        <w:t xml:space="preserve"> Affiliates </w:t>
      </w:r>
      <w:r w:rsidRPr="00F21356">
        <w:rPr>
          <w:rFonts w:cs="Arial"/>
          <w:b w:val="0"/>
          <w:bCs/>
        </w:rPr>
        <w:t xml:space="preserve">with respect to </w:t>
      </w:r>
      <w:r w:rsidRPr="004B0BBF">
        <w:rPr>
          <w:b w:val="0"/>
        </w:rPr>
        <w:t xml:space="preserve">each </w:t>
      </w:r>
      <w:r w:rsidRPr="00F21356">
        <w:rPr>
          <w:rFonts w:cs="Arial"/>
          <w:b w:val="0"/>
          <w:bCs/>
        </w:rPr>
        <w:t xml:space="preserve">such </w:t>
      </w:r>
      <w:r w:rsidRPr="004B0BBF">
        <w:rPr>
          <w:b w:val="0"/>
        </w:rPr>
        <w:t xml:space="preserve">other owner at least equivalent to </w:t>
      </w:r>
      <w:r w:rsidRPr="00F21356">
        <w:rPr>
          <w:rFonts w:cs="Arial"/>
          <w:b w:val="0"/>
          <w:bCs/>
        </w:rPr>
        <w:t>that</w:t>
      </w:r>
      <w:r w:rsidRPr="004B0BBF">
        <w:rPr>
          <w:b w:val="0"/>
        </w:rPr>
        <w:t xml:space="preserve"> afforded GPC and </w:t>
      </w:r>
      <w:r w:rsidRPr="00F21356">
        <w:rPr>
          <w:rFonts w:cs="Arial"/>
          <w:b w:val="0"/>
          <w:bCs/>
        </w:rPr>
        <w:t>its</w:t>
      </w:r>
      <w:r w:rsidRPr="004B0BBF">
        <w:rPr>
          <w:b w:val="0"/>
        </w:rPr>
        <w:t xml:space="preserve"> Affiliates under this PPA. Any breach of this Section 18.</w:t>
      </w:r>
      <w:r w:rsidRPr="00F21356">
        <w:rPr>
          <w:rFonts w:cs="Arial"/>
          <w:b w:val="0"/>
          <w:bCs/>
        </w:rPr>
        <w:t>1.</w:t>
      </w:r>
      <w:r w:rsidRPr="004B0BBF">
        <w:rPr>
          <w:b w:val="0"/>
        </w:rPr>
        <w:t xml:space="preserve">6 </w:t>
      </w:r>
      <w:r w:rsidRPr="00F21356">
        <w:rPr>
          <w:rFonts w:cs="Arial"/>
          <w:b w:val="0"/>
          <w:bCs/>
        </w:rPr>
        <w:t xml:space="preserve">by Seller </w:t>
      </w:r>
      <w:r w:rsidRPr="004B0BBF">
        <w:rPr>
          <w:b w:val="0"/>
        </w:rPr>
        <w:t xml:space="preserve">will make Seller the indemnitor of GPC and </w:t>
      </w:r>
      <w:r w:rsidRPr="00F21356">
        <w:rPr>
          <w:rFonts w:cs="Arial"/>
          <w:b w:val="0"/>
          <w:bCs/>
        </w:rPr>
        <w:t>its</w:t>
      </w:r>
      <w:r w:rsidRPr="004B0BBF">
        <w:rPr>
          <w:b w:val="0"/>
        </w:rPr>
        <w:t xml:space="preserve"> Affiliates against any liabilities incurred by any of them arising out of </w:t>
      </w:r>
      <w:r w:rsidRPr="00F21356">
        <w:rPr>
          <w:rFonts w:cs="Arial"/>
          <w:b w:val="0"/>
          <w:bCs/>
        </w:rPr>
        <w:t>any such</w:t>
      </w:r>
      <w:r w:rsidRPr="004B0BBF">
        <w:rPr>
          <w:b w:val="0"/>
        </w:rPr>
        <w:t xml:space="preserve"> breach.</w:t>
      </w:r>
    </w:p>
    <w:p w:rsidRPr="007B46DD" w:rsidR="007A6E1E" w:rsidP="007A6E1E" w:rsidRDefault="007A6E1E" w14:paraId="6BAFE958" w14:textId="77777777">
      <w:pPr>
        <w:pStyle w:val="zGTC02"/>
        <w:widowControl w:val="0"/>
        <w:tabs>
          <w:tab w:val="clear" w:pos="648"/>
          <w:tab w:val="num" w:pos="720"/>
        </w:tabs>
        <w:spacing w:after="120"/>
        <w:rPr>
          <w:vanish/>
          <w:specVanish/>
        </w:rPr>
      </w:pPr>
      <w:bookmarkStart w:name="_Hlk159339373" w:id="1050"/>
      <w:bookmarkStart w:name="_Toc201593177" w:id="1051"/>
      <w:bookmarkStart w:name="_Toc227451606" w:id="1052"/>
      <w:r w:rsidRPr="0075245F">
        <w:t xml:space="preserve">Financing </w:t>
      </w:r>
      <w:r>
        <w:t>Assignment; Estoppels</w:t>
      </w:r>
      <w:bookmarkEnd w:id="1050"/>
      <w:r w:rsidRPr="005A171F">
        <w:t>.</w:t>
      </w:r>
      <w:bookmarkEnd w:id="1051"/>
      <w:bookmarkEnd w:id="1052"/>
    </w:p>
    <w:p w:rsidRPr="0021585A" w:rsidR="007A6E1E" w:rsidP="007A6E1E" w:rsidRDefault="007A6E1E" w14:paraId="5697D339" w14:textId="5AF97521">
      <w:pPr>
        <w:pStyle w:val="zGNormal"/>
        <w:widowControl w:val="0"/>
        <w:spacing w:after="120"/>
      </w:pPr>
      <w:r w:rsidRPr="005A171F">
        <w:t xml:space="preserve"> </w:t>
      </w:r>
      <w:bookmarkStart w:name="_Hlk201050721" w:id="1053"/>
      <w:r w:rsidRPr="00154F6B">
        <w:t xml:space="preserve">Seller, without the consent of </w:t>
      </w:r>
      <w:r>
        <w:t>GPC</w:t>
      </w:r>
      <w:r w:rsidRPr="00154F6B">
        <w:t xml:space="preserve">, </w:t>
      </w:r>
      <w:r>
        <w:t>may make a Financing Assignment. GPC agrees to execute a reasonable written consent to the collateral assignment in a form acceptable to GPC if the financing party reasonably requests such consent</w:t>
      </w:r>
      <w:r w:rsidRPr="00154F6B">
        <w:t xml:space="preserve">. </w:t>
      </w:r>
      <w:r w:rsidRPr="005A171F">
        <w:t>Upon reasonable request to G</w:t>
      </w:r>
      <w:r>
        <w:t xml:space="preserve">PC in connection with a </w:t>
      </w:r>
      <w:r w:rsidRPr="00674ACD">
        <w:t xml:space="preserve">Financing Assignment or any transaction </w:t>
      </w:r>
      <w:r>
        <w:t xml:space="preserve">for which GPC’s consent is required under </w:t>
      </w:r>
      <w:r w:rsidRPr="00674ACD">
        <w:t xml:space="preserve">Sections 18.1 </w:t>
      </w:r>
      <w:r w:rsidR="00CB4A59">
        <w:t>(</w:t>
      </w:r>
      <w:r w:rsidRPr="00CB4A59" w:rsidR="00CB4A59">
        <w:rPr>
          <w:i/>
          <w:iCs/>
        </w:rPr>
        <w:t>Assignment, Transfers, and Changes of Control</w:t>
      </w:r>
      <w:r w:rsidR="00CB4A59">
        <w:t xml:space="preserve">) </w:t>
      </w:r>
      <w:r w:rsidRPr="00674ACD">
        <w:t>through 18.4</w:t>
      </w:r>
      <w:r w:rsidR="00CB4A59">
        <w:t xml:space="preserve"> (</w:t>
      </w:r>
      <w:r w:rsidRPr="00CB4A59" w:rsidR="00CB4A59">
        <w:rPr>
          <w:i/>
          <w:iCs/>
        </w:rPr>
        <w:t>General Requirements</w:t>
      </w:r>
      <w:r w:rsidR="00CB4A59">
        <w:t>)</w:t>
      </w:r>
      <w:r w:rsidRPr="00674ACD">
        <w:t xml:space="preserve">, inclusive, </w:t>
      </w:r>
      <w:r>
        <w:t>GPC will</w:t>
      </w:r>
      <w:r w:rsidRPr="005A171F">
        <w:t xml:space="preserve"> execute a written confirmation, if true, </w:t>
      </w:r>
      <w:r>
        <w:t>but without investigation, that</w:t>
      </w:r>
      <w:r w:rsidRPr="005A171F">
        <w:t xml:space="preserve"> to the best of </w:t>
      </w:r>
      <w:r>
        <w:t>GPC’s</w:t>
      </w:r>
      <w:r w:rsidRPr="005A171F">
        <w:t xml:space="preserve"> knowledge at the time of the request, Seller is not in default of this </w:t>
      </w:r>
      <w:r>
        <w:t>PPA</w:t>
      </w:r>
      <w:bookmarkEnd w:id="1053"/>
      <w:r w:rsidRPr="0021585A">
        <w:t>.</w:t>
      </w:r>
    </w:p>
    <w:p w:rsidRPr="0075245F" w:rsidR="006F2D6F" w:rsidP="006F2D6F" w:rsidRDefault="006F2D6F" w14:paraId="4D19C17A" w14:textId="77777777">
      <w:pPr>
        <w:pStyle w:val="zGTC02"/>
        <w:widowControl w:val="0"/>
        <w:tabs>
          <w:tab w:val="clear" w:pos="648"/>
          <w:tab w:val="num" w:pos="720"/>
        </w:tabs>
        <w:spacing w:after="120"/>
        <w:rPr>
          <w:vanish/>
          <w:specVanish/>
        </w:rPr>
      </w:pPr>
      <w:bookmarkStart w:name="_Toc137409358" w:id="1054"/>
      <w:bookmarkStart w:name="_Toc201593178" w:id="1055"/>
      <w:bookmarkStart w:name="_Toc227451607" w:id="1056"/>
      <w:bookmarkStart w:name="_Toc379477334" w:id="1057"/>
      <w:r w:rsidRPr="0075245F">
        <w:t>Reimbursement of GPC’s Costs.</w:t>
      </w:r>
      <w:bookmarkEnd w:id="1054"/>
      <w:bookmarkEnd w:id="1055"/>
      <w:bookmarkEnd w:id="1056"/>
    </w:p>
    <w:p w:rsidRPr="00154F6B" w:rsidR="006F2D6F" w:rsidP="006F2D6F" w:rsidRDefault="006F2D6F" w14:paraId="70203F15" w14:textId="77777777">
      <w:pPr>
        <w:pStyle w:val="zGNormal"/>
        <w:widowControl w:val="0"/>
        <w:spacing w:after="120"/>
      </w:pPr>
      <w:r w:rsidRPr="00154F6B">
        <w:t xml:space="preserve"> </w:t>
      </w:r>
      <w:bookmarkStart w:name="_Hlk201050745" w:id="1058"/>
      <w:bookmarkStart w:name="_Hlk159339275" w:id="1059"/>
      <w:r w:rsidRPr="00154F6B">
        <w:t xml:space="preserve">Seller agrees that Seller will pay to </w:t>
      </w:r>
      <w:r>
        <w:t>GPC a fee</w:t>
      </w:r>
      <w:r w:rsidRPr="00154F6B">
        <w:t xml:space="preserve"> of </w:t>
      </w:r>
      <w:r>
        <w:t xml:space="preserve">$15,000 </w:t>
      </w:r>
      <w:r w:rsidRPr="00154F6B">
        <w:t>per occurrence for each proposed transaction for which Seller requests G</w:t>
      </w:r>
      <w:r>
        <w:t>PC</w:t>
      </w:r>
      <w:r w:rsidRPr="00154F6B">
        <w:t xml:space="preserve">’s consent under </w:t>
      </w:r>
      <w:r>
        <w:t>Section</w:t>
      </w:r>
      <w:r w:rsidRPr="00154F6B">
        <w:t> 1</w:t>
      </w:r>
      <w:r>
        <w:t>8</w:t>
      </w:r>
      <w:r w:rsidRPr="00154F6B">
        <w:t xml:space="preserve">.1.1 </w:t>
      </w:r>
      <w:r>
        <w:t>(</w:t>
      </w:r>
      <w:r w:rsidRPr="00A46390">
        <w:rPr>
          <w:i/>
          <w:iCs/>
        </w:rPr>
        <w:t>Assignment by Seller</w:t>
      </w:r>
      <w:r>
        <w:t xml:space="preserve">) </w:t>
      </w:r>
      <w:r w:rsidRPr="00154F6B">
        <w:t>or 1</w:t>
      </w:r>
      <w:r>
        <w:t>8</w:t>
      </w:r>
      <w:r w:rsidRPr="00154F6B">
        <w:t>.1.4</w:t>
      </w:r>
      <w:r>
        <w:t xml:space="preserve"> (</w:t>
      </w:r>
      <w:r w:rsidRPr="00A46390">
        <w:rPr>
          <w:i/>
          <w:iCs/>
        </w:rPr>
        <w:t>Transfer; Change of Control</w:t>
      </w:r>
      <w:r>
        <w:t>) and will pay to GPC a fee of $10,000 per occurrence for each request for an estoppel under Section 18.2 (</w:t>
      </w:r>
      <w:r w:rsidRPr="0034250E">
        <w:rPr>
          <w:i/>
          <w:iCs/>
        </w:rPr>
        <w:t xml:space="preserve">Financing Assignment; </w:t>
      </w:r>
      <w:r w:rsidRPr="001D31E9">
        <w:rPr>
          <w:i/>
          <w:iCs/>
        </w:rPr>
        <w:t>Estoppels).</w:t>
      </w:r>
      <w:r w:rsidRPr="00154F6B">
        <w:t xml:space="preserve"> For the avoidance of doubt, if Seller requests G</w:t>
      </w:r>
      <w:r>
        <w:t>PC</w:t>
      </w:r>
      <w:r w:rsidRPr="00154F6B">
        <w:t xml:space="preserve">’s consent under </w:t>
      </w:r>
      <w:r>
        <w:t>Sections</w:t>
      </w:r>
      <w:r w:rsidRPr="00154F6B">
        <w:t xml:space="preserve"> 1</w:t>
      </w:r>
      <w:r>
        <w:t>8</w:t>
      </w:r>
      <w:r w:rsidRPr="00154F6B">
        <w:t>.1.1 or 1</w:t>
      </w:r>
      <w:r>
        <w:t>8</w:t>
      </w:r>
      <w:r w:rsidRPr="00154F6B">
        <w:t>.1.4</w:t>
      </w:r>
      <w:r>
        <w:t xml:space="preserve"> or an estoppel under Section 18.2</w:t>
      </w:r>
      <w:r w:rsidRPr="00154F6B">
        <w:t xml:space="preserve">, and </w:t>
      </w:r>
      <w:r>
        <w:t xml:space="preserve">GPC </w:t>
      </w:r>
      <w:r w:rsidRPr="00154F6B">
        <w:t>undertakes drafting of documents to provide such consent</w:t>
      </w:r>
      <w:r>
        <w:t xml:space="preserve"> or estoppel</w:t>
      </w:r>
      <w:r w:rsidRPr="00154F6B">
        <w:t xml:space="preserve">, and Seller </w:t>
      </w:r>
      <w:r>
        <w:t>does not</w:t>
      </w:r>
      <w:r w:rsidRPr="00154F6B">
        <w:t xml:space="preserve"> consummate the proposed transaction, </w:t>
      </w:r>
      <w:r>
        <w:t xml:space="preserve">GPC </w:t>
      </w:r>
      <w:r w:rsidRPr="00154F6B">
        <w:t xml:space="preserve">reserves the right, in its sole discretion, to require Seller to </w:t>
      </w:r>
      <w:r>
        <w:t xml:space="preserve">pay the applicable fee under this </w:t>
      </w:r>
      <w:r w:rsidRPr="00154F6B">
        <w:t>Section 1</w:t>
      </w:r>
      <w:r>
        <w:t>8</w:t>
      </w:r>
      <w:r w:rsidRPr="00154F6B">
        <w:t>.3</w:t>
      </w:r>
      <w:r>
        <w:t xml:space="preserve"> (</w:t>
      </w:r>
      <w:r>
        <w:rPr>
          <w:i/>
          <w:iCs/>
        </w:rPr>
        <w:t>Reimbursement of GPC’s Costs)</w:t>
      </w:r>
      <w:bookmarkEnd w:id="1058"/>
      <w:bookmarkEnd w:id="1059"/>
      <w:r w:rsidRPr="00154F6B">
        <w:t>.</w:t>
      </w:r>
      <w:bookmarkEnd w:id="1057"/>
      <w:r w:rsidRPr="00154F6B">
        <w:t xml:space="preserve"> </w:t>
      </w:r>
    </w:p>
    <w:p w:rsidRPr="007B46DD" w:rsidR="0072700A" w:rsidP="0072700A" w:rsidRDefault="0072700A" w14:paraId="2B7C7716" w14:textId="77777777">
      <w:pPr>
        <w:pStyle w:val="zGTC02"/>
        <w:tabs>
          <w:tab w:val="clear" w:pos="648"/>
          <w:tab w:val="num" w:pos="720"/>
        </w:tabs>
        <w:spacing w:after="120"/>
        <w:rPr>
          <w:vanish/>
          <w:specVanish/>
        </w:rPr>
      </w:pPr>
      <w:bookmarkStart w:name="_Toc137409359" w:id="1060"/>
      <w:bookmarkStart w:name="_Toc201593179" w:id="1061"/>
      <w:bookmarkStart w:name="_Toc227451608" w:id="1062"/>
      <w:bookmarkStart w:name="_Toc379477335" w:id="1063"/>
      <w:r w:rsidRPr="0075245F">
        <w:t>General Requirements</w:t>
      </w:r>
      <w:r w:rsidRPr="00154F6B">
        <w:t>.</w:t>
      </w:r>
      <w:bookmarkEnd w:id="1060"/>
      <w:bookmarkEnd w:id="1061"/>
      <w:bookmarkEnd w:id="1062"/>
    </w:p>
    <w:bookmarkEnd w:id="1034"/>
    <w:bookmarkEnd w:id="1035"/>
    <w:p w:rsidRPr="00B428D9" w:rsidR="002D54C4" w:rsidP="00E94928" w:rsidRDefault="0072700A" w14:paraId="2D0EC64A" w14:textId="04905C74">
      <w:pPr>
        <w:pStyle w:val="zGNormal"/>
        <w:rPr>
          <w:b/>
        </w:rPr>
      </w:pPr>
      <w:r w:rsidRPr="00154F6B">
        <w:t xml:space="preserve"> </w:t>
      </w:r>
      <w:bookmarkStart w:name="_Toc206672581" w:id="1064"/>
      <w:bookmarkStart w:name="_Toc212476191" w:id="1065"/>
      <w:bookmarkStart w:name="_Toc214870294" w:id="1066"/>
      <w:bookmarkStart w:name="_Hlk201050793" w:id="1067"/>
      <w:r w:rsidRPr="00B428D9" w:rsidR="00F30C8F">
        <w:t>In connection with any transaction for which GPC’s consent is required under Section 18.1.1 (</w:t>
      </w:r>
      <w:r w:rsidRPr="00B428D9" w:rsidR="00F30C8F">
        <w:rPr>
          <w:i/>
        </w:rPr>
        <w:t>Assignment by Seller</w:t>
      </w:r>
      <w:r w:rsidRPr="00B428D9" w:rsidR="00F30C8F">
        <w:t>) or 18.1.4 (</w:t>
      </w:r>
      <w:r w:rsidRPr="00B428D9" w:rsidR="00F30C8F">
        <w:rPr>
          <w:i/>
        </w:rPr>
        <w:t>Transfer; Change of Control</w:t>
      </w:r>
      <w:r w:rsidRPr="00B428D9" w:rsidR="00F30C8F">
        <w:t>) or for which Seller’s consent is required under Section 18.1.3 (</w:t>
      </w:r>
      <w:r w:rsidRPr="00B428D9" w:rsidR="00F30C8F">
        <w:rPr>
          <w:i/>
        </w:rPr>
        <w:t>Assignment by GPC</w:t>
      </w:r>
      <w:r w:rsidRPr="00B428D9" w:rsidR="00F30C8F">
        <w:t>), it is a condition of the required consent that it will not place any limitation on either Party’s rights under this PPA or expand the PPA liability, risks, or obligations of the other Party (including changes in accounting treatment). It will be reasonable for either Party to condition its consent under Section 18.1 (</w:t>
      </w:r>
      <w:r w:rsidRPr="00B428D9" w:rsidR="00F30C8F">
        <w:rPr>
          <w:i/>
        </w:rPr>
        <w:t>Assignment, Transfers, and Change of Control</w:t>
      </w:r>
      <w:r w:rsidRPr="00B428D9" w:rsidR="00F30C8F">
        <w:t xml:space="preserve">) on the execution of amendments to this PPA that are reasonably determined by such Party to be necessary to preserve the value and protection afforded to such Party under this PPA. It will be a condition of GPC’s consent to any transaction under Sections 18.1.1 or 18.1.4 or other disposition with respect to this PPA or </w:t>
      </w:r>
      <w:r w:rsidRPr="00B428D9" w:rsidR="00F30C8F">
        <w:lastRenderedPageBreak/>
        <w:t>the Facility, including those contemplated in Section 2.1.10 (</w:t>
      </w:r>
      <w:r w:rsidRPr="00B428D9" w:rsidR="00F30C8F">
        <w:rPr>
          <w:i/>
          <w:iCs/>
        </w:rPr>
        <w:t>Sale, Lease, Transfer, or Other Disposal of Business or Assets Resulting in Material Adverse Effect</w:t>
      </w:r>
      <w:r w:rsidRPr="00B428D9" w:rsidR="00F30C8F">
        <w:t>), that all Performance Security required under Section 6.1 (</w:t>
      </w:r>
      <w:r w:rsidRPr="00B428D9" w:rsidR="00F30C8F">
        <w:rPr>
          <w:i/>
        </w:rPr>
        <w:t>Performance Security</w:t>
      </w:r>
      <w:r w:rsidRPr="00B428D9" w:rsidR="00F30C8F">
        <w:t>)  will remain in full force and effect unless and until GPC has received (i) Commission approval, if applicable, and (ii) replacement security in form, substance, and amount in full compliance with this PPA, if applicable.</w:t>
      </w:r>
      <w:r w:rsidRPr="00B428D9" w:rsidDel="001C2358" w:rsidR="00F30C8F">
        <w:t>.</w:t>
      </w:r>
      <w:r w:rsidRPr="00B428D9" w:rsidR="00F30C8F">
        <w:t xml:space="preserve"> Following GPC’s receipt of such applicable Commission approval and replacement security, GPC will return to Seller any unused portion of Seller’s Performance Security. Any purported assignment, transfer of interest in the Facility or this PPA, or Change of Control Transaction that is not in compliance with the applicable provisions of Sections 18.1 through 18.4, inclusive,</w:t>
      </w:r>
      <w:r w:rsidRPr="00B428D9" w:rsidDel="00CB58AF" w:rsidR="00F30C8F">
        <w:t xml:space="preserve"> </w:t>
      </w:r>
      <w:r w:rsidRPr="00B428D9" w:rsidR="00F30C8F">
        <w:t>will be void.</w:t>
      </w:r>
      <w:bookmarkStart w:name="_Toc158593281" w:id="1068"/>
      <w:bookmarkStart w:name="_Toc158597560" w:id="1069"/>
      <w:bookmarkStart w:name="_Toc158720184" w:id="1070"/>
      <w:bookmarkStart w:name="_Toc158722938" w:id="1071"/>
      <w:bookmarkStart w:name="_Toc158929470" w:id="1072"/>
      <w:bookmarkStart w:name="_Toc158593282" w:id="1073"/>
      <w:bookmarkStart w:name="_Toc158597561" w:id="1074"/>
      <w:bookmarkStart w:name="_Toc158720185" w:id="1075"/>
      <w:bookmarkStart w:name="_Toc158722939" w:id="1076"/>
      <w:bookmarkStart w:name="_Toc158929471" w:id="1077"/>
      <w:bookmarkStart w:name="_Toc158593283" w:id="1078"/>
      <w:bookmarkStart w:name="_Toc158597562" w:id="1079"/>
      <w:bookmarkStart w:name="_Toc158720186" w:id="1080"/>
      <w:bookmarkStart w:name="_Toc158722940" w:id="1081"/>
      <w:bookmarkStart w:name="_Toc158929472" w:id="1082"/>
      <w:bookmarkStart w:name="_Toc158593284" w:id="1083"/>
      <w:bookmarkStart w:name="_Toc158597563" w:id="1084"/>
      <w:bookmarkStart w:name="_Toc158720187" w:id="1085"/>
      <w:bookmarkStart w:name="_Toc158722941" w:id="1086"/>
      <w:bookmarkStart w:name="_Toc158929473" w:id="1087"/>
      <w:bookmarkStart w:name="_Toc158593285" w:id="1088"/>
      <w:bookmarkStart w:name="_Toc158597564" w:id="1089"/>
      <w:bookmarkStart w:name="_Toc158720188" w:id="1090"/>
      <w:bookmarkStart w:name="_Toc158722942" w:id="1091"/>
      <w:bookmarkStart w:name="_Toc158929474" w:id="109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Pr="00F40F9C" w:rsidR="002D54C4" w:rsidP="004B0BBF" w:rsidRDefault="008B55A2" w14:paraId="2AD9D189" w14:textId="77777777">
      <w:pPr>
        <w:pStyle w:val="zGTC01"/>
        <w:tabs>
          <w:tab w:val="clear" w:pos="3762"/>
        </w:tabs>
        <w:ind w:left="1080"/>
        <w:rPr>
          <w:szCs w:val="20"/>
        </w:rPr>
      </w:pPr>
      <w:bookmarkStart w:name="_Toc160749197" w:id="1093"/>
      <w:bookmarkStart w:name="_Toc194937564" w:id="1094"/>
      <w:bookmarkStart w:name="_Toc174624950" w:id="1095"/>
      <w:bookmarkStart w:name="_Toc227451609" w:id="1096"/>
      <w:r>
        <w:t>Dispute Resolution</w:t>
      </w:r>
      <w:bookmarkEnd w:id="1093"/>
      <w:bookmarkEnd w:id="1094"/>
      <w:bookmarkEnd w:id="1095"/>
      <w:bookmarkEnd w:id="1096"/>
    </w:p>
    <w:p w:rsidRPr="00F40F9C" w:rsidR="00850733" w:rsidP="00850733" w:rsidRDefault="008B55A2" w14:paraId="014847A5" w14:textId="77777777">
      <w:pPr>
        <w:pStyle w:val="zGTC02"/>
        <w:rPr>
          <w:vanish/>
          <w:specVanish/>
        </w:rPr>
      </w:pPr>
      <w:bookmarkStart w:name="_Toc160749198" w:id="1097"/>
      <w:bookmarkStart w:name="_Toc194937565" w:id="1098"/>
      <w:bookmarkStart w:name="_Toc174624951" w:id="1099"/>
      <w:bookmarkStart w:name="_Toc227451610" w:id="1100"/>
      <w:r>
        <w:t>Notice of Dispute; Dispute Resolution Process.</w:t>
      </w:r>
      <w:bookmarkStart w:name="_Toc158593287" w:id="1101"/>
      <w:bookmarkStart w:name="_Toc158597566" w:id="1102"/>
      <w:bookmarkStart w:name="_Toc158720190" w:id="1103"/>
      <w:bookmarkStart w:name="_Toc158722944" w:id="1104"/>
      <w:bookmarkStart w:name="_Toc158929476" w:id="1105"/>
      <w:bookmarkEnd w:id="1097"/>
      <w:bookmarkEnd w:id="1098"/>
      <w:bookmarkEnd w:id="1099"/>
      <w:bookmarkEnd w:id="1100"/>
      <w:bookmarkEnd w:id="1101"/>
      <w:bookmarkEnd w:id="1102"/>
      <w:bookmarkEnd w:id="1103"/>
      <w:bookmarkEnd w:id="1104"/>
      <w:bookmarkEnd w:id="1105"/>
    </w:p>
    <w:p w:rsidRPr="00F40F9C" w:rsidR="002D54C4" w:rsidP="00850733" w:rsidRDefault="008B55A2" w14:paraId="4CF1345F" w14:textId="3137837E">
      <w:pPr>
        <w:pStyle w:val="zGNormal"/>
      </w:pPr>
      <w:r>
        <w:t xml:space="preserve"> </w:t>
      </w:r>
      <w:bookmarkStart w:name="_Hlk37507641" w:id="1106"/>
      <w:r>
        <w:t>Either Party (“</w:t>
      </w:r>
      <w:r>
        <w:rPr>
          <w:b/>
        </w:rPr>
        <w:t>Disputing Party</w:t>
      </w:r>
      <w:r>
        <w:t>”) has the right to give notice to the other Party (“</w:t>
      </w:r>
      <w:r>
        <w:rPr>
          <w:b/>
        </w:rPr>
        <w:t>Responding Party</w:t>
      </w:r>
      <w:r>
        <w:t>”) that the Responding Party is not performing in accordance with the terms and conditions of this PPA. The notice (“</w:t>
      </w:r>
      <w:r>
        <w:rPr>
          <w:b/>
        </w:rPr>
        <w:t>Notice of Dispute</w:t>
      </w:r>
      <w:r>
        <w:t xml:space="preserve">”) </w:t>
      </w:r>
      <w:bookmarkStart w:name="_Hlk37329422" w:id="1107"/>
      <w:r>
        <w:t xml:space="preserve">must describe with specificity the basis for the Disputing Party’s </w:t>
      </w:r>
      <w:bookmarkEnd w:id="1107"/>
      <w:r>
        <w:t>belief and may propose a resolution of such dispute. Within 15 Business Days after receiving the Notice of Dispute, the Responding Party must provide the Disputing Party with a written response to the Notice of Dispute, which will describe with specificity the basis for the Responding Party’s position and which may include additional issues (if any) regarding the dispute raised by the Notice of Dispute and may propose a resolution of the dispute (“</w:t>
      </w:r>
      <w:r>
        <w:rPr>
          <w:b/>
        </w:rPr>
        <w:t>Dispute Response</w:t>
      </w:r>
      <w:r>
        <w:t>”). This Section 19.1 will not apply to a Billing Dispute until the completion of the dispute resolution process for Billing Disputes set forth in Section 5.2 (</w:t>
      </w:r>
      <w:r>
        <w:rPr>
          <w:i/>
        </w:rPr>
        <w:t xml:space="preserve">Billing Disputes and </w:t>
      </w:r>
      <w:r>
        <w:rPr>
          <w:i/>
          <w:iCs/>
        </w:rPr>
        <w:t xml:space="preserve">Financial </w:t>
      </w:r>
      <w:r>
        <w:rPr>
          <w:i/>
        </w:rPr>
        <w:t>Accounting</w:t>
      </w:r>
      <w:r>
        <w:t>). Within five Business Days after the submission of the Dispute Response, the dispute must be submitted to a Seller designated senior Representative and a GPC designated senior Representative for resolution. If the designated senior Representatives are unable to resolve the dispute to the mutual satisfaction of the Parties within 20 Business Days after the submission to the designated senior Representatives, or any other period as the Parties may agree upon, then: (i) in the case of disputes described in Section 19.2 (</w:t>
      </w:r>
      <w:r>
        <w:rPr>
          <w:i/>
        </w:rPr>
        <w:t>Expert Arbitration</w:t>
      </w:r>
      <w:r>
        <w:t>), either Party may provide notice to the other Party declaring an impasse (“</w:t>
      </w:r>
      <w:r>
        <w:rPr>
          <w:b/>
        </w:rPr>
        <w:t>Impasse Notice</w:t>
      </w:r>
      <w:r>
        <w:t>”) and, after notice is given, the Parties must arbitrate the disputes under Section 19.2; (ii) in the case of disputes described in Section 19.3 (</w:t>
      </w:r>
      <w:r>
        <w:rPr>
          <w:i/>
        </w:rPr>
        <w:t>JAMS Arbitration</w:t>
      </w:r>
      <w:r>
        <w:t xml:space="preserve">), either Party may provide an </w:t>
      </w:r>
      <w:r>
        <w:rPr>
          <w:bCs/>
        </w:rPr>
        <w:t>Impasse Notice</w:t>
      </w:r>
      <w:r>
        <w:t xml:space="preserve"> and then the Parties must arbitrate the disputes under Section 19.3; or (iii) in the case of any dispute that is not described in Section 19.2 or Section 19.3, either Party may pursue rights and remedies as may be available under applicable law or in equity subject to the terms and conditions of this PPA.</w:t>
      </w:r>
      <w:bookmarkEnd w:id="1106"/>
    </w:p>
    <w:p w:rsidRPr="00F40F9C" w:rsidR="002D54C4" w:rsidRDefault="008B55A2" w14:paraId="5C72F987" w14:textId="77777777">
      <w:pPr>
        <w:pStyle w:val="zGTC02"/>
        <w:rPr>
          <w:vanish/>
          <w:specVanish/>
        </w:rPr>
      </w:pPr>
      <w:bookmarkStart w:name="_Toc160749199" w:id="1108"/>
      <w:bookmarkStart w:name="_Toc194937566" w:id="1109"/>
      <w:bookmarkStart w:name="_Toc174624952" w:id="1110"/>
      <w:bookmarkStart w:name="_Toc227451611" w:id="1111"/>
      <w:r>
        <w:t>Expert Arbitration.</w:t>
      </w:r>
      <w:bookmarkStart w:name="_Toc158593288" w:id="1112"/>
      <w:bookmarkStart w:name="_Toc158597567" w:id="1113"/>
      <w:bookmarkStart w:name="_Toc158720191" w:id="1114"/>
      <w:bookmarkStart w:name="_Toc158722945" w:id="1115"/>
      <w:bookmarkStart w:name="_Toc158929477" w:id="1116"/>
      <w:bookmarkEnd w:id="1108"/>
      <w:bookmarkEnd w:id="1109"/>
      <w:bookmarkEnd w:id="1110"/>
      <w:bookmarkEnd w:id="1111"/>
      <w:bookmarkEnd w:id="1112"/>
      <w:bookmarkEnd w:id="1113"/>
      <w:bookmarkEnd w:id="1114"/>
      <w:bookmarkEnd w:id="1115"/>
      <w:bookmarkEnd w:id="1116"/>
    </w:p>
    <w:p w:rsidRPr="00F40F9C" w:rsidR="002D54C4" w:rsidRDefault="008B55A2" w14:paraId="41DB8D41" w14:textId="77777777">
      <w:pPr>
        <w:pStyle w:val="zGNormal"/>
      </w:pPr>
      <w:r>
        <w:t xml:space="preserve"> </w:t>
      </w:r>
      <w:bookmarkStart w:name="_Hlk37507694" w:id="1117"/>
      <w:r>
        <w:t>Upon the submission of an Impasse Notice, a dispute regarding: (i) the results of a Performance Test (under any provision of this PPA); (ii) Seller Event of Default under Section 16.1.9 (</w:t>
      </w:r>
      <w:r>
        <w:rPr>
          <w:i/>
        </w:rPr>
        <w:t>Tested Storage Capacity Below 70% Contracted Capacity; Cure; Remedies</w:t>
      </w:r>
      <w:r>
        <w:t>); or (iii) the development of Maintenance Schedules under Section 10.2.1 (</w:t>
      </w:r>
      <w:r>
        <w:rPr>
          <w:i/>
        </w:rPr>
        <w:t>Maintenance Schedule Reporting and Approvals</w:t>
      </w:r>
      <w:r>
        <w:t>) will be resolved by arbitration as set forth in this Section 19.2</w:t>
      </w:r>
      <w:bookmarkEnd w:id="1117"/>
      <w:r>
        <w:t>.</w:t>
      </w:r>
    </w:p>
    <w:p w:rsidRPr="00F40F9C" w:rsidR="002D54C4" w:rsidP="00C22140" w:rsidRDefault="008B55A2" w14:paraId="1EC6CEF5" w14:textId="1DE20A4E">
      <w:pPr>
        <w:pStyle w:val="zGTC03"/>
        <w:rPr>
          <w:vanish/>
          <w:specVanish/>
        </w:rPr>
      </w:pPr>
      <w:bookmarkStart w:name="_Hlk37507748" w:id="1118"/>
      <w:r>
        <w:t>Selection of Expert.</w:t>
      </w:r>
      <w:bookmarkStart w:name="_Hlk37507781" w:id="1119"/>
      <w:bookmarkEnd w:id="1118"/>
    </w:p>
    <w:p w:rsidRPr="00F40F9C" w:rsidR="002D54C4" w:rsidRDefault="008B55A2" w14:paraId="4BFE4666" w14:textId="7581EED9">
      <w:pPr>
        <w:pStyle w:val="zGNormal"/>
      </w:pPr>
      <w:r>
        <w:t xml:space="preserve"> The Parties will attempt to agree upon the selection of an independent third-party expert to make a determination concerning any dispute described in this Section 19.2 (</w:t>
      </w:r>
      <w:r>
        <w:rPr>
          <w:i/>
        </w:rPr>
        <w:t>Expert Arbitration</w:t>
      </w:r>
      <w:r>
        <w:t xml:space="preserve">). If the Parties cannot mutually agree on the selection of an expert within 15 Days after the submission of the Impasse Notice, GPC will provide Seller with a list of three qualified experts, and Seller will select one expert from the list. As a condition to appointment as a qualified expert, the expert must: (i) be competent and experienced in matters involving the electric energy business in the United States, with at least 10 years of experience in the electric industry; (ii) have no interest, financial or otherwise, in either Party or this PPA beyond payment of the fees and expenses for serving as the expert under this Section 19.2; and (iii) </w:t>
      </w:r>
      <w:bookmarkStart w:name="_Hlk37490342" w:id="1120"/>
      <w:r>
        <w:t xml:space="preserve">have not performed, or been employed by a firm that has provided services for either Party, and otherwise have not been previously or currently employed or engaged in any capacity by, and not have a personal or professional relationship with, either Party </w:t>
      </w:r>
      <w:bookmarkEnd w:id="1120"/>
      <w:r>
        <w:t>other than as the expert under this Section 19.2, unless the employment, engagement, or relationship has been disclosed in writing to the Parties before the appointment as an expert under this Section 19.2</w:t>
      </w:r>
      <w:r w:rsidR="00882B37">
        <w:t xml:space="preserve"> without objection by either Party</w:t>
      </w:r>
      <w:r>
        <w:t xml:space="preserve">. The expert must not advise or otherwise communicate ex parte in any way with either Party following their appointment as an expert under this Section 19.2. </w:t>
      </w:r>
      <w:bookmarkEnd w:id="1119"/>
      <w:r w:rsidR="000E3385">
        <w:t xml:space="preserve">The expert must also treat all information relating </w:t>
      </w:r>
      <w:r w:rsidR="000E3385">
        <w:lastRenderedPageBreak/>
        <w:t>to the PPA or the arbitration, including the dispute, as confidential and must not disclose any information (other than to the Parties jointly) without the prior written consent of both Parties.</w:t>
      </w:r>
    </w:p>
    <w:p w:rsidRPr="00F40F9C" w:rsidR="002D54C4" w:rsidP="00C22140" w:rsidRDefault="008B55A2" w14:paraId="74DF9623" w14:textId="77777777">
      <w:pPr>
        <w:pStyle w:val="zGTC03"/>
        <w:rPr>
          <w:vanish/>
          <w:specVanish/>
        </w:rPr>
      </w:pPr>
      <w:bookmarkStart w:name="_Hlk37507813" w:id="1121"/>
      <w:r>
        <w:t>Expert Decision.</w:t>
      </w:r>
      <w:bookmarkStart w:name="_Hlk37507839" w:id="1122"/>
      <w:bookmarkEnd w:id="1121"/>
    </w:p>
    <w:p w:rsidRPr="00F40F9C" w:rsidR="002D54C4" w:rsidRDefault="008B55A2" w14:paraId="408FA9D0" w14:textId="7A2EF699">
      <w:pPr>
        <w:pStyle w:val="zGNormal"/>
      </w:pPr>
      <w:r>
        <w:t xml:space="preserve"> No later than 15 Days after the selection of the expert, each Party must file with the expert written positions (with supporting documentation) concerning the dispute. The expert may request additional filings and will render a decision within 15 Days after receipt of all filings. In the case of any dispute resolved under this Section 19.2 (</w:t>
      </w:r>
      <w:r>
        <w:rPr>
          <w:i/>
        </w:rPr>
        <w:t>Expert Arbitration</w:t>
      </w:r>
      <w:r>
        <w:t>), the decision rendered by the independent expert will be final and binding upon Seller and GPC. Following the resolution of a dispute under this Section 19.2 regarding Performance Guarantees, Monthly Capacity Payment(s) will (if necessary and as soon as practicable) be adjusted retroactively (with interest at the Interest Rate) to reflect tested performance equal to the expert’s determination.</w:t>
      </w:r>
      <w:bookmarkEnd w:id="1122"/>
      <w:r>
        <w:t xml:space="preserve"> For avoidance of doubt, this Section 19.2 does not apply to any dispute regarding GPC’s application of the Performance Metrics, which will be resolved under Section 19.3 (</w:t>
      </w:r>
      <w:r>
        <w:rPr>
          <w:i/>
        </w:rPr>
        <w:t>JAMS Arbitration</w:t>
      </w:r>
      <w:r>
        <w:t xml:space="preserve">). </w:t>
      </w:r>
    </w:p>
    <w:p w:rsidRPr="00F40F9C" w:rsidR="002D54C4" w:rsidP="00C22140" w:rsidRDefault="008B55A2" w14:paraId="62725605" w14:textId="77777777">
      <w:pPr>
        <w:pStyle w:val="zGTC03"/>
        <w:rPr>
          <w:vanish/>
          <w:specVanish/>
        </w:rPr>
      </w:pPr>
      <w:bookmarkStart w:name="_Hlk37507881" w:id="1123"/>
      <w:r>
        <w:t>Costs.</w:t>
      </w:r>
      <w:bookmarkEnd w:id="1123"/>
      <w:r>
        <w:t xml:space="preserve"> </w:t>
      </w:r>
      <w:bookmarkStart w:name="_Hlk37507912" w:id="1124"/>
    </w:p>
    <w:p w:rsidRPr="00F40F9C" w:rsidR="002D54C4" w:rsidRDefault="008B55A2" w14:paraId="575AE644" w14:textId="77777777">
      <w:pPr>
        <w:pStyle w:val="zGNormal"/>
      </w:pPr>
      <w:r>
        <w:t>If the independent expert adopts the position of one of the Parties, then the other Party will pay the fees and expenses of the expert. Otherwise, the Parties will share equally the fees and expenses.</w:t>
      </w:r>
      <w:bookmarkEnd w:id="1124"/>
    </w:p>
    <w:p w:rsidRPr="00F40F9C" w:rsidR="002D54C4" w:rsidRDefault="008B55A2" w14:paraId="5540A07C" w14:textId="77777777">
      <w:pPr>
        <w:pStyle w:val="zGTC02"/>
        <w:rPr>
          <w:vanish/>
          <w:specVanish/>
        </w:rPr>
      </w:pPr>
      <w:bookmarkStart w:name="_Toc160749200" w:id="1125"/>
      <w:bookmarkStart w:name="_Toc194937567" w:id="1126"/>
      <w:bookmarkStart w:name="_Toc174624953" w:id="1127"/>
      <w:bookmarkStart w:name="_Toc227451612" w:id="1128"/>
      <w:r>
        <w:t>JAMS Arbitration.</w:t>
      </w:r>
      <w:bookmarkStart w:name="_Toc158593289" w:id="1129"/>
      <w:bookmarkStart w:name="_Toc158597568" w:id="1130"/>
      <w:bookmarkStart w:name="_Toc158720192" w:id="1131"/>
      <w:bookmarkStart w:name="_Toc158722946" w:id="1132"/>
      <w:bookmarkStart w:name="_Toc158929478" w:id="1133"/>
      <w:bookmarkEnd w:id="1125"/>
      <w:bookmarkEnd w:id="1126"/>
      <w:bookmarkEnd w:id="1127"/>
      <w:bookmarkEnd w:id="1128"/>
      <w:bookmarkEnd w:id="1129"/>
      <w:bookmarkEnd w:id="1130"/>
      <w:bookmarkEnd w:id="1131"/>
      <w:bookmarkEnd w:id="1132"/>
      <w:bookmarkEnd w:id="1133"/>
    </w:p>
    <w:p w:rsidRPr="00F40F9C" w:rsidR="002D54C4" w:rsidRDefault="008B55A2" w14:paraId="2B599076" w14:textId="25416F9D">
      <w:pPr>
        <w:pStyle w:val="zGNormal"/>
      </w:pPr>
      <w:r>
        <w:t xml:space="preserve"> </w:t>
      </w:r>
      <w:bookmarkStart w:name="_Hlk37507959" w:id="1134"/>
      <w:r>
        <w:t xml:space="preserve">Upon the submission of an Impasse Notice: (i) a dispute regarding the calculation of a Termination Payment </w:t>
      </w:r>
      <w:r>
        <w:rPr>
          <w:rFonts w:eastAsia="Times New Roman"/>
        </w:rPr>
        <w:t>in accordance with</w:t>
      </w:r>
      <w:r>
        <w:t xml:space="preserve"> Section 16.3.3 (</w:t>
      </w:r>
      <w:r>
        <w:rPr>
          <w:i/>
        </w:rPr>
        <w:t>Determining Gains, Losses, and Costs</w:t>
      </w:r>
      <w:r>
        <w:t>); or (ii) a billing dispute under Section 5.2 (</w:t>
      </w:r>
      <w:r>
        <w:rPr>
          <w:i/>
        </w:rPr>
        <w:t>Billing Disputes and Final Accounting</w:t>
      </w:r>
      <w:r>
        <w:t xml:space="preserve">), including a dispute concerning GPC’s application of the Performance Metrics and resulting calculation of a </w:t>
      </w:r>
      <w:bookmarkStart w:name="_Hlk37074926" w:id="1135"/>
      <w:r>
        <w:t xml:space="preserve">Monthly Capacity Payment in accordance with Exhibit </w:t>
      </w:r>
      <w:bookmarkEnd w:id="1135"/>
      <w:r>
        <w:t>C (</w:t>
      </w:r>
      <w:r>
        <w:rPr>
          <w:i/>
        </w:rPr>
        <w:t>Monthly Capacity Payments; Monthly Capacity Reductions; AGC Performance Metrics and Requirements</w:t>
      </w:r>
      <w:r>
        <w:t>)</w:t>
      </w:r>
      <w:r w:rsidR="007C64F6">
        <w:t xml:space="preserve"> </w:t>
      </w:r>
      <w:r>
        <w:t>(each a, “</w:t>
      </w:r>
      <w:r>
        <w:rPr>
          <w:b/>
          <w:bCs/>
        </w:rPr>
        <w:t>Billing Dispute</w:t>
      </w:r>
      <w:r>
        <w:t>”),</w:t>
      </w:r>
      <w:r w:rsidR="00FA0B52">
        <w:t xml:space="preserve"> </w:t>
      </w:r>
      <w:r>
        <w:t>will be resolved by arbitration as set forth in this Section 19.3.</w:t>
      </w:r>
      <w:bookmarkEnd w:id="1134"/>
    </w:p>
    <w:p w:rsidRPr="00F40F9C" w:rsidR="002D54C4" w:rsidP="00C22140" w:rsidRDefault="008B55A2" w14:paraId="2607C96C" w14:textId="77777777">
      <w:pPr>
        <w:pStyle w:val="zGTC03"/>
        <w:rPr>
          <w:vanish/>
          <w:specVanish/>
        </w:rPr>
      </w:pPr>
      <w:bookmarkStart w:name="_Hlk37508021" w:id="1136"/>
      <w:r>
        <w:t xml:space="preserve">JAMS. </w:t>
      </w:r>
    </w:p>
    <w:bookmarkEnd w:id="1136"/>
    <w:p w:rsidRPr="00F40F9C" w:rsidR="002D54C4" w:rsidRDefault="008B55A2" w14:paraId="13C703D0" w14:textId="77777777">
      <w:pPr>
        <w:pStyle w:val="zGNormal"/>
      </w:pPr>
      <w:r>
        <w:t>The Billing Dispute will be resolved under the Federal Arbitration Act by binding arbitration following the JAMS Comprehensive Arbitration Rules and Procedures (“</w:t>
      </w:r>
      <w:r>
        <w:rPr>
          <w:b/>
          <w:bCs/>
        </w:rPr>
        <w:t>Rules</w:t>
      </w:r>
      <w:r>
        <w:t>”) of Judicial Arbitration and Mediation Services (“</w:t>
      </w:r>
      <w:r>
        <w:rPr>
          <w:b/>
          <w:bCs/>
        </w:rPr>
        <w:t>JAMS</w:t>
      </w:r>
      <w:r>
        <w:t>”) then in effect, including its evidentiary and procedural rules, except as modified in this PPA. It is the Parties’ intent that the arbitration, including the selection and qualification of arbitrators, will be conducted in accordance with the Rules, as amended and supplemented, except where specifically modified by this PPA, and not by the terms of any state arbitration act or other applicable law.</w:t>
      </w:r>
    </w:p>
    <w:p w:rsidRPr="00F40F9C" w:rsidR="002D54C4" w:rsidP="00C22140" w:rsidRDefault="008B55A2" w14:paraId="54E9F24A" w14:textId="77777777">
      <w:pPr>
        <w:pStyle w:val="zGTC03"/>
      </w:pPr>
      <w:bookmarkStart w:name="_Hlk37508045" w:id="1137"/>
      <w:r>
        <w:t>Initiation of Arbitration; Selection of Arbitrators.</w:t>
      </w:r>
      <w:bookmarkEnd w:id="1137"/>
    </w:p>
    <w:p w:rsidRPr="00F40F9C" w:rsidR="002D54C4" w:rsidP="00236AED" w:rsidRDefault="008B55A2" w14:paraId="2E00F5C6" w14:textId="58E3A939">
      <w:pPr>
        <w:pStyle w:val="zGTC04"/>
        <w:numPr>
          <w:ilvl w:val="3"/>
          <w:numId w:val="19"/>
        </w:numPr>
        <w:rPr>
          <w:szCs w:val="20"/>
        </w:rPr>
      </w:pPr>
      <w:bookmarkStart w:name="_Hlk37508079" w:id="1138"/>
      <w:r>
        <w:rPr>
          <w:b/>
          <w:szCs w:val="20"/>
        </w:rPr>
        <w:t xml:space="preserve">Initiation of Arbitration; Selection of Party-Appointed Arbitrators. </w:t>
      </w:r>
      <w:r>
        <w:rPr>
          <w:szCs w:val="20"/>
        </w:rPr>
        <w:t>Within 10 Business Days after delivering an Impasse Notice, the delivering Party must contact JAMS to commence arbitration and must provide notice to the other Party. Arbitration will be deemed to be commenced when JAMS issues a Commencement Letter (as defined in the Rules) in accordance with the Rules. The Party initiating arbitration will nominate one arbitrator at the same time it initiates arbitration. The other Party will nominate one arbitrator within 10 Business Days after receiving the Commencement Letter. The two Party-nominated arbitrators will be deemed neutrals and not the representative of the appointing Party. The two arbitrators (“</w:t>
      </w:r>
      <w:r>
        <w:rPr>
          <w:b/>
          <w:szCs w:val="20"/>
        </w:rPr>
        <w:t>Party-Appointed Arbitrators</w:t>
      </w:r>
      <w:r>
        <w:rPr>
          <w:szCs w:val="20"/>
        </w:rPr>
        <w:t>”) will appoint a third arbitrator (“</w:t>
      </w:r>
      <w:r>
        <w:rPr>
          <w:b/>
          <w:szCs w:val="20"/>
        </w:rPr>
        <w:t>Third Arbitrator</w:t>
      </w:r>
      <w:r>
        <w:rPr>
          <w:szCs w:val="20"/>
        </w:rPr>
        <w:t>”). The “</w:t>
      </w:r>
      <w:r>
        <w:rPr>
          <w:b/>
          <w:szCs w:val="20"/>
        </w:rPr>
        <w:t>Arbitration Panel</w:t>
      </w:r>
      <w:r>
        <w:rPr>
          <w:szCs w:val="20"/>
        </w:rPr>
        <w:t>” will include the two Party-Appointed Arbitrators and the Third Arbitrator. All arbitrators must: (a) be competent and experienced in matters involving the electric energy business in the United States, with at least 10 years of legal, engineering, or business experience in the electric industry; (b) have no interest, financial or otherwise, in the Parties or this PPA beyond payment of their fees and expenses for serving on the Arbitration Panel; and (c) have not performed, or been employed by a firm that has provided, services for either Party, and otherwise have not been previously or currently employed or engaged in any capacity by, and not have a personal or professional relationship with, either Party other than as a member of the Arbitration Panel, unless the employment, engagement, or relationship has been disclosed in writing to all Parties prior to the selection of the Arbitration Panel</w:t>
      </w:r>
      <w:r w:rsidR="00CC33C8">
        <w:rPr>
          <w:szCs w:val="20"/>
        </w:rPr>
        <w:t xml:space="preserve"> without </w:t>
      </w:r>
      <w:r w:rsidR="00987043">
        <w:rPr>
          <w:szCs w:val="20"/>
        </w:rPr>
        <w:t xml:space="preserve">any unresolved </w:t>
      </w:r>
      <w:r w:rsidR="00CC33C8">
        <w:rPr>
          <w:szCs w:val="20"/>
        </w:rPr>
        <w:t>objection by either Party</w:t>
      </w:r>
      <w:r>
        <w:rPr>
          <w:szCs w:val="20"/>
        </w:rPr>
        <w:t xml:space="preserve">. Arbitrators must not advise or otherwise communicate ex parte in any way with either Party following appointment to the Arbitration Panel and must treat the details of this PPA and all </w:t>
      </w:r>
      <w:r>
        <w:rPr>
          <w:szCs w:val="20"/>
        </w:rPr>
        <w:lastRenderedPageBreak/>
        <w:t>Arbitration Panel activity as private and confidential, and not publish or disclose any information related to the arbitration without the prior written consent of both Parties. Further, the Third Arbitrator will be independent of the Parties and the Party-Appointed Arbitrators. Each Party will pay the fees and expenses incurred by its Party-Appointed Arbitrator and the fees and expenses of the Third Arbitrator will be divided equally between the Parties.</w:t>
      </w:r>
      <w:bookmarkEnd w:id="1138"/>
    </w:p>
    <w:p w:rsidRPr="00F40F9C" w:rsidR="002D54C4" w:rsidP="00236AED" w:rsidRDefault="008B55A2" w14:paraId="75E16E30" w14:textId="77777777">
      <w:pPr>
        <w:pStyle w:val="zGTC04"/>
        <w:numPr>
          <w:ilvl w:val="3"/>
          <w:numId w:val="21"/>
        </w:numPr>
      </w:pPr>
      <w:bookmarkStart w:name="_Hlk37508126" w:id="1139"/>
      <w:r>
        <w:rPr>
          <w:b/>
          <w:bCs/>
        </w:rPr>
        <w:t>Appointment of Third Arbitrator.</w:t>
      </w:r>
      <w:r>
        <w:t xml:space="preserve"> If the Party-Appointed Arbitrators are unable to agree on the Third Arbitrator within 10 Business Days after the initiation of arbitration, then the Third Arbitrator will be selected by JAMS with due regard given to the selection criteria in Section 19.3.2(i) (</w:t>
      </w:r>
      <w:r>
        <w:rPr>
          <w:i/>
        </w:rPr>
        <w:t>Initiation of Arbitration; Selection of Party-Appointed Arbitrators</w:t>
      </w:r>
      <w:r>
        <w:t>) and input from the Parties and the Party-Appointed Arbitrators. Parties will undertake to request JAMS to complete selection of the Third Arbitrator no later than 60 Days after initiation of arbitration. Costs charged by JAMS for this service will be borne by the Parties equally.</w:t>
      </w:r>
      <w:r>
        <w:rPr>
          <w:rFonts w:eastAsiaTheme="minorHAnsi"/>
        </w:rPr>
        <w:t xml:space="preserve"> </w:t>
      </w:r>
      <w:r>
        <w:t>If JAMS should fail to select the Third Arbitrator within 60 Days after initiation of arbitration, then either Party may petition a court of competent jurisdiction in Atlanta, Fulton County, Georgia to select the Third Arbitrator. Due regard will be given to the selection criteria in Section 19.3.2(i) and input from the Parties and the Party-Appointed Arbitrators.</w:t>
      </w:r>
      <w:bookmarkStart w:name="_Hlk37508157" w:id="1140"/>
      <w:bookmarkEnd w:id="1139"/>
      <w:r>
        <w:t xml:space="preserve"> If, before the conclusion of the arbitration, any member of the Arbitration Panel becomes incapacitated or otherwise unable to serve, then a replacement arbitrator will be appointed in the manner set forth in this Section 19.3.2 (</w:t>
      </w:r>
      <w:r>
        <w:rPr>
          <w:i/>
        </w:rPr>
        <w:t>Initiation of Arbitration; Selection of Arbitrators</w:t>
      </w:r>
      <w:r>
        <w:t>).</w:t>
      </w:r>
      <w:bookmarkEnd w:id="1140"/>
    </w:p>
    <w:p w:rsidRPr="00F40F9C" w:rsidR="002D54C4" w:rsidP="00C22140" w:rsidRDefault="008B55A2" w14:paraId="644D2FA8" w14:textId="77777777">
      <w:pPr>
        <w:pStyle w:val="zGTC03"/>
        <w:rPr>
          <w:vanish/>
          <w:specVanish/>
        </w:rPr>
      </w:pPr>
      <w:bookmarkStart w:name="_Hlk37508192" w:id="1141"/>
      <w:r>
        <w:t>Discovery; Hearing.</w:t>
      </w:r>
    </w:p>
    <w:p w:rsidRPr="00F40F9C" w:rsidR="002D54C4" w:rsidRDefault="008B55A2" w14:paraId="002A2291" w14:textId="77777777">
      <w:pPr>
        <w:pStyle w:val="zGNormal"/>
      </w:pPr>
      <w:r>
        <w:t xml:space="preserve"> Discovery and other pre-hearing procedures will be conducted as agreed by the Parties, including at least one corporate representative deposition, or if they cannot agree, as determined by a majority of the Arbitration Panel so long as all pre-hearing discovery is be completed within 90 Days after selection of the Third Arbitrator. Within 15 Business Days after completion of the pre-hearing discovery, </w:t>
      </w:r>
      <w:bookmarkStart w:name="_DV_M243" w:id="1142"/>
      <w:bookmarkStart w:name="_DV_C66" w:id="1143"/>
      <w:bookmarkEnd w:id="1142"/>
      <w:r>
        <w:t>each Party</w:t>
      </w:r>
      <w:bookmarkStart w:name="_DV_M244" w:id="1144"/>
      <w:bookmarkEnd w:id="1143"/>
      <w:bookmarkEnd w:id="1144"/>
      <w:r>
        <w:t xml:space="preserve"> will submit, either individually or jointly, by overnight delivery to </w:t>
      </w:r>
      <w:bookmarkStart w:name="_DV_C68" w:id="1145"/>
      <w:r>
        <w:t>the</w:t>
      </w:r>
      <w:bookmarkStart w:name="_DV_M245" w:id="1146"/>
      <w:bookmarkEnd w:id="1145"/>
      <w:bookmarkEnd w:id="1146"/>
      <w:r>
        <w:t xml:space="preserve"> other </w:t>
      </w:r>
      <w:bookmarkStart w:name="_DV_M246" w:id="1147"/>
      <w:bookmarkStart w:name="_DV_C70" w:id="1148"/>
      <w:bookmarkEnd w:id="1147"/>
      <w:r>
        <w:t>Party</w:t>
      </w:r>
      <w:bookmarkStart w:name="_DV_M247" w:id="1149"/>
      <w:bookmarkEnd w:id="1148"/>
      <w:bookmarkEnd w:id="1149"/>
      <w:r>
        <w:t xml:space="preserve"> and the Arbitration Panel a separate, precise statement for each issue in dispute, that Party’s proposed means of resolving each issue, and the factual or legal support for such proposal (“</w:t>
      </w:r>
      <w:r>
        <w:rPr>
          <w:b/>
        </w:rPr>
        <w:t>Proposed Resolutions</w:t>
      </w:r>
      <w:r>
        <w:t>”). No later than 30 Business Days after all pre-hearing discovery has been completed, a hearing will be conducted at which Seller and GPC will each present evidence and witnesses as it may choose. Arbitration will be conducted in accordance with the Rules, as amended and supplemented, except where specifically modified by this PPA.</w:t>
      </w:r>
      <w:bookmarkEnd w:id="1141"/>
    </w:p>
    <w:p w:rsidRPr="00F40F9C" w:rsidR="002D54C4" w:rsidP="00C22140" w:rsidRDefault="008B55A2" w14:paraId="6B7CC2AE" w14:textId="77777777">
      <w:pPr>
        <w:pStyle w:val="zGTC03"/>
        <w:rPr>
          <w:vanish/>
          <w:specVanish/>
        </w:rPr>
      </w:pPr>
      <w:bookmarkStart w:name="_Hlk37508226" w:id="1150"/>
      <w:r>
        <w:t>Confidential Proceeding.</w:t>
      </w:r>
    </w:p>
    <w:p w:rsidRPr="00F40F9C" w:rsidR="002D54C4" w:rsidRDefault="008B55A2" w14:paraId="2C457B49" w14:textId="77777777">
      <w:pPr>
        <w:pStyle w:val="zGNormal"/>
      </w:pPr>
      <w:r>
        <w:t xml:space="preserve"> Each Party must maintain the confidentiality of the arbitration proceedings, except as reasonably necessary to effectively represent itself in the proceeding to enforce the arbitration award or determination, or as otherwise required by law. All discovery materials will remain confidential in accordance with Section 20.16 (</w:t>
      </w:r>
      <w:r>
        <w:rPr>
          <w:i/>
        </w:rPr>
        <w:t>Confidentiality</w:t>
      </w:r>
      <w:r>
        <w:t>).</w:t>
      </w:r>
      <w:bookmarkEnd w:id="1150"/>
    </w:p>
    <w:p w:rsidRPr="00F40F9C" w:rsidR="002D54C4" w:rsidP="00C22140" w:rsidRDefault="008B55A2" w14:paraId="00975AF1" w14:textId="77777777">
      <w:pPr>
        <w:pStyle w:val="zGTC03"/>
        <w:rPr>
          <w:vanish/>
          <w:specVanish/>
        </w:rPr>
      </w:pPr>
      <w:bookmarkStart w:name="_Hlk37506695" w:id="1151"/>
      <w:bookmarkStart w:name="_Hlk37508245" w:id="1152"/>
      <w:r>
        <w:t>Arbitration Cost.</w:t>
      </w:r>
      <w:bookmarkStart w:name="_Hlk37506714" w:id="1153"/>
      <w:bookmarkEnd w:id="1151"/>
    </w:p>
    <w:p w:rsidRPr="00F40F9C" w:rsidR="002D54C4" w:rsidRDefault="008B55A2" w14:paraId="4988849A" w14:textId="77777777">
      <w:pPr>
        <w:pStyle w:val="zGNormal"/>
      </w:pPr>
      <w:r>
        <w:t xml:space="preserve"> Each Party will be responsible for its own legal and arbitration expenses incurred in connection with the arbitration proceeding, including attorneys’ fees, investigation, or discovery (including e-discovery) costs, and expert, consultant or arbitrator fees and expenses.</w:t>
      </w:r>
      <w:bookmarkEnd w:id="1152"/>
      <w:bookmarkEnd w:id="1153"/>
    </w:p>
    <w:p w:rsidRPr="00F40F9C" w:rsidR="002D54C4" w:rsidP="00C22140" w:rsidRDefault="008B55A2" w14:paraId="1553D281" w14:textId="77777777">
      <w:pPr>
        <w:pStyle w:val="zGTC03"/>
        <w:rPr>
          <w:vanish/>
          <w:specVanish/>
        </w:rPr>
      </w:pPr>
      <w:bookmarkStart w:name="_Toc379477327" w:id="1154"/>
      <w:r>
        <w:t>Arbitrator Decisions</w:t>
      </w:r>
      <w:bookmarkStart w:name="_DV_M249" w:id="1155"/>
      <w:bookmarkEnd w:id="1155"/>
      <w:r>
        <w:t>.</w:t>
      </w:r>
      <w:bookmarkEnd w:id="1154"/>
    </w:p>
    <w:p w:rsidR="0054254D" w:rsidP="00310FD2" w:rsidRDefault="008B55A2" w14:paraId="4BBF538A" w14:textId="77777777">
      <w:pPr>
        <w:pStyle w:val="zGTC04"/>
        <w:tabs>
          <w:tab w:val="clear" w:pos="1944"/>
        </w:tabs>
        <w:rPr>
          <w:b/>
          <w:szCs w:val="20"/>
        </w:rPr>
      </w:pPr>
      <w:bookmarkStart w:name="_Hlk37506777" w:id="1156"/>
      <w:r>
        <w:rPr>
          <w:b/>
          <w:szCs w:val="20"/>
        </w:rPr>
        <w:t xml:space="preserve"> </w:t>
      </w:r>
    </w:p>
    <w:p w:rsidRPr="00F40F9C" w:rsidR="00AD1FE9" w:rsidP="000907B6" w:rsidRDefault="008B55A2" w14:paraId="0BF8045B" w14:textId="34A32A7F">
      <w:pPr>
        <w:pStyle w:val="zGTC04"/>
        <w:numPr>
          <w:ilvl w:val="5"/>
          <w:numId w:val="46"/>
        </w:numPr>
        <w:ind w:left="1440" w:firstLine="0"/>
      </w:pPr>
      <w:r>
        <w:rPr>
          <w:b/>
          <w:bCs/>
        </w:rPr>
        <w:t xml:space="preserve">Considerations. </w:t>
      </w:r>
      <w:r>
        <w:t xml:space="preserve">The Arbitration Panel will consider the terms and conditions of this PPA, including all relevant evidence and testimony, and will render its decision (by means of a written reasoned decision) within 30 Days after the conclusion of the hearing. </w:t>
      </w:r>
      <w:r>
        <w:rPr>
          <w:u w:val="single"/>
        </w:rPr>
        <w:t>However</w:t>
      </w:r>
      <w:r>
        <w:t>, the Arbitration Panel is expressly and specifically limited to selecting one of the Proposed Resolutions provided by either Seller or GPC for each issue in dispute. The Arbitration Panel will have no authority to award consequential, special, indirect, treble, exemplary, incidental, or punitive damages of any type under any circumstance, regardless of whether such damages may be available under applicable state law, federal law, the Federal Arbitration Act, or any other applicable law.</w:t>
      </w:r>
      <w:bookmarkEnd w:id="1156"/>
    </w:p>
    <w:p w:rsidRPr="00AD1FE9" w:rsidR="002D54C4" w:rsidP="000907B6" w:rsidRDefault="008B55A2" w14:paraId="15260C70" w14:textId="77777777">
      <w:pPr>
        <w:pStyle w:val="zGTC04"/>
        <w:numPr>
          <w:ilvl w:val="5"/>
          <w:numId w:val="46"/>
        </w:numPr>
        <w:ind w:left="1440" w:firstLine="0"/>
        <w:rPr>
          <w:szCs w:val="20"/>
        </w:rPr>
      </w:pPr>
      <w:r w:rsidRPr="00AD1FE9">
        <w:rPr>
          <w:b/>
          <w:szCs w:val="20"/>
        </w:rPr>
        <w:t xml:space="preserve">Decision of Arbitration Panel. </w:t>
      </w:r>
      <w:r w:rsidRPr="00AD1FE9">
        <w:rPr>
          <w:szCs w:val="20"/>
        </w:rPr>
        <w:t>The written decision rendered by a majority of the Arbitration Panel will be provided to the Parties.</w:t>
      </w:r>
      <w:r>
        <w:t xml:space="preserve"> </w:t>
      </w:r>
      <w:r w:rsidRPr="00AD1FE9">
        <w:rPr>
          <w:szCs w:val="20"/>
        </w:rPr>
        <w:t xml:space="preserve">The decision may be filed in a court of </w:t>
      </w:r>
      <w:r w:rsidRPr="00AD1FE9">
        <w:rPr>
          <w:szCs w:val="20"/>
        </w:rPr>
        <w:lastRenderedPageBreak/>
        <w:t xml:space="preserve">competent jurisdiction and may be enforced by Seller or GPC as a final judgment in such court. </w:t>
      </w:r>
    </w:p>
    <w:p w:rsidRPr="00F40F9C" w:rsidR="002D54C4" w:rsidRDefault="008B55A2" w14:paraId="6FB7D28B" w14:textId="77777777">
      <w:pPr>
        <w:pStyle w:val="zGTC02"/>
        <w:rPr>
          <w:vanish/>
          <w:specVanish/>
        </w:rPr>
      </w:pPr>
      <w:bookmarkStart w:name="_Toc160749201" w:id="1157"/>
      <w:bookmarkStart w:name="_Toc194937568" w:id="1158"/>
      <w:bookmarkStart w:name="_Toc174624954" w:id="1159"/>
      <w:bookmarkStart w:name="_Toc227451613" w:id="1160"/>
      <w:r>
        <w:t>Location of Arbitration.</w:t>
      </w:r>
      <w:bookmarkStart w:name="_Toc158593290" w:id="1161"/>
      <w:bookmarkStart w:name="_Toc158597569" w:id="1162"/>
      <w:bookmarkStart w:name="_Toc158720193" w:id="1163"/>
      <w:bookmarkStart w:name="_Toc158722947" w:id="1164"/>
      <w:bookmarkStart w:name="_Toc158929479" w:id="1165"/>
      <w:bookmarkEnd w:id="1157"/>
      <w:bookmarkEnd w:id="1158"/>
      <w:bookmarkEnd w:id="1159"/>
      <w:bookmarkEnd w:id="1160"/>
      <w:bookmarkEnd w:id="1161"/>
      <w:bookmarkEnd w:id="1162"/>
      <w:bookmarkEnd w:id="1163"/>
      <w:bookmarkEnd w:id="1164"/>
      <w:bookmarkEnd w:id="1165"/>
    </w:p>
    <w:p w:rsidRPr="00F40F9C" w:rsidR="002D54C4" w:rsidRDefault="008B55A2" w14:paraId="7A14FEA0" w14:textId="77777777">
      <w:pPr>
        <w:pStyle w:val="zGNormal"/>
      </w:pPr>
      <w:r>
        <w:t xml:space="preserve"> </w:t>
      </w:r>
      <w:bookmarkStart w:name="_Hlk37506861" w:id="1166"/>
      <w:r>
        <w:t>Any arbitration under Section 19.2 (</w:t>
      </w:r>
      <w:r>
        <w:rPr>
          <w:i/>
          <w:iCs/>
        </w:rPr>
        <w:t>Expert Arbitration</w:t>
      </w:r>
      <w:r>
        <w:t>) or Section 19.3 (</w:t>
      </w:r>
      <w:r>
        <w:rPr>
          <w:i/>
          <w:iCs/>
        </w:rPr>
        <w:t>JAMS Arbitration</w:t>
      </w:r>
      <w:r>
        <w:t>) will take place in Atlanta, Fulton County, Georgia.</w:t>
      </w:r>
      <w:bookmarkEnd w:id="1166"/>
    </w:p>
    <w:p w:rsidRPr="00F40F9C" w:rsidR="002D54C4" w:rsidRDefault="008B55A2" w14:paraId="12794221" w14:textId="77777777">
      <w:pPr>
        <w:pStyle w:val="zGTC02"/>
        <w:rPr>
          <w:vanish/>
          <w:specVanish/>
        </w:rPr>
      </w:pPr>
      <w:bookmarkStart w:name="_Toc160749202" w:id="1167"/>
      <w:bookmarkStart w:name="_Toc194937569" w:id="1168"/>
      <w:bookmarkStart w:name="_Toc174624955" w:id="1169"/>
      <w:bookmarkStart w:name="_Toc227451614" w:id="1170"/>
      <w:r>
        <w:t>Mandatory Arbitration.</w:t>
      </w:r>
      <w:bookmarkStart w:name="_Toc158593291" w:id="1171"/>
      <w:bookmarkStart w:name="_Toc158597570" w:id="1172"/>
      <w:bookmarkStart w:name="_Toc158720194" w:id="1173"/>
      <w:bookmarkStart w:name="_Toc158722948" w:id="1174"/>
      <w:bookmarkStart w:name="_Toc158929480" w:id="1175"/>
      <w:bookmarkEnd w:id="1167"/>
      <w:bookmarkEnd w:id="1168"/>
      <w:bookmarkEnd w:id="1169"/>
      <w:bookmarkEnd w:id="1170"/>
      <w:bookmarkEnd w:id="1171"/>
      <w:bookmarkEnd w:id="1172"/>
      <w:bookmarkEnd w:id="1173"/>
      <w:bookmarkEnd w:id="1174"/>
      <w:bookmarkEnd w:id="1175"/>
    </w:p>
    <w:p w:rsidRPr="00F40F9C" w:rsidR="002D54C4" w:rsidRDefault="008B55A2" w14:paraId="50EAA528" w14:textId="78BDAD98">
      <w:pPr>
        <w:pStyle w:val="zGNormal"/>
        <w:rPr>
          <w:b/>
          <w:u w:val="single"/>
        </w:rPr>
      </w:pPr>
      <w:r>
        <w:t xml:space="preserve"> </w:t>
      </w:r>
      <w:bookmarkStart w:name="_Hlk37506919" w:id="1176"/>
      <w:r>
        <w:rPr>
          <w:b/>
          <w:bCs/>
          <w:u w:val="single"/>
        </w:rPr>
        <w:t xml:space="preserve">Subject to </w:t>
      </w:r>
      <w:r>
        <w:rPr>
          <w:b/>
          <w:u w:val="single"/>
        </w:rPr>
        <w:t>Section 19.3.6 (</w:t>
      </w:r>
      <w:r>
        <w:rPr>
          <w:b/>
          <w:i/>
          <w:u w:val="single"/>
        </w:rPr>
        <w:t>Arbitrator Decisions</w:t>
      </w:r>
      <w:r>
        <w:rPr>
          <w:b/>
          <w:u w:val="single"/>
        </w:rPr>
        <w:t>)</w:t>
      </w:r>
      <w:r>
        <w:rPr>
          <w:b/>
          <w:bCs/>
          <w:u w:val="single"/>
        </w:rPr>
        <w:t xml:space="preserve">, each Party understands and agrees that when arbitration is required under this </w:t>
      </w:r>
      <w:r>
        <w:rPr>
          <w:b/>
          <w:u w:val="single"/>
        </w:rPr>
        <w:t>Part 19</w:t>
      </w:r>
      <w:r>
        <w:rPr>
          <w:b/>
          <w:bCs/>
          <w:u w:val="single"/>
        </w:rPr>
        <w:t xml:space="preserve">, arbitration is mandatory and each Party waives any right to seek judicial relief or file court proceedings to determine the specified matters under </w:t>
      </w:r>
      <w:r>
        <w:rPr>
          <w:b/>
          <w:u w:val="single"/>
        </w:rPr>
        <w:t>Section 19.2 (</w:t>
      </w:r>
      <w:r>
        <w:rPr>
          <w:b/>
          <w:i/>
          <w:u w:val="single"/>
        </w:rPr>
        <w:t>Expert Arbitration</w:t>
      </w:r>
      <w:r>
        <w:rPr>
          <w:b/>
          <w:u w:val="single"/>
        </w:rPr>
        <w:t>) or Section 19.3 (</w:t>
      </w:r>
      <w:r>
        <w:rPr>
          <w:b/>
          <w:i/>
          <w:u w:val="single"/>
        </w:rPr>
        <w:t>JAMS Arbitration</w:t>
      </w:r>
      <w:r>
        <w:rPr>
          <w:b/>
          <w:u w:val="single"/>
        </w:rPr>
        <w:t>)</w:t>
      </w:r>
      <w:r>
        <w:rPr>
          <w:b/>
          <w:bCs/>
          <w:u w:val="single"/>
        </w:rPr>
        <w:t xml:space="preserve">, other than the right to seek judicial relief to compel arbitration, to confirm an arbitration award, or to seek injunctive relief under </w:t>
      </w:r>
      <w:r>
        <w:rPr>
          <w:b/>
          <w:u w:val="single"/>
        </w:rPr>
        <w:t>Section 19.6 (</w:t>
      </w:r>
      <w:r>
        <w:rPr>
          <w:b/>
          <w:i/>
          <w:u w:val="single"/>
        </w:rPr>
        <w:t>Injunctive Relief</w:t>
      </w:r>
      <w:r>
        <w:rPr>
          <w:b/>
          <w:u w:val="single"/>
        </w:rPr>
        <w:t>)</w:t>
      </w:r>
      <w:r>
        <w:rPr>
          <w:b/>
          <w:bCs/>
          <w:u w:val="single"/>
        </w:rPr>
        <w:t xml:space="preserve"> of this PPA.</w:t>
      </w:r>
      <w:bookmarkEnd w:id="1176"/>
    </w:p>
    <w:p w:rsidRPr="00F40F9C" w:rsidR="002D54C4" w:rsidRDefault="008B55A2" w14:paraId="54CEE013" w14:textId="77777777">
      <w:pPr>
        <w:pStyle w:val="zGTC02"/>
        <w:rPr>
          <w:vanish/>
          <w:specVanish/>
        </w:rPr>
      </w:pPr>
      <w:bookmarkStart w:name="_Toc160749203" w:id="1177"/>
      <w:bookmarkStart w:name="_Toc194937570" w:id="1178"/>
      <w:bookmarkStart w:name="_Toc174624956" w:id="1179"/>
      <w:bookmarkStart w:name="_Toc227451615" w:id="1180"/>
      <w:r>
        <w:t>Injunctive Relief.</w:t>
      </w:r>
      <w:bookmarkStart w:name="_Toc158593292" w:id="1181"/>
      <w:bookmarkStart w:name="_Toc158597571" w:id="1182"/>
      <w:bookmarkStart w:name="_Toc158720195" w:id="1183"/>
      <w:bookmarkStart w:name="_Toc158722949" w:id="1184"/>
      <w:bookmarkStart w:name="_Toc158929481" w:id="1185"/>
      <w:bookmarkEnd w:id="1177"/>
      <w:bookmarkEnd w:id="1178"/>
      <w:bookmarkEnd w:id="1179"/>
      <w:bookmarkEnd w:id="1180"/>
      <w:bookmarkEnd w:id="1181"/>
      <w:bookmarkEnd w:id="1182"/>
      <w:bookmarkEnd w:id="1183"/>
      <w:bookmarkEnd w:id="1184"/>
      <w:bookmarkEnd w:id="1185"/>
    </w:p>
    <w:p w:rsidRPr="00F40F9C" w:rsidR="002D54C4" w:rsidRDefault="008B55A2" w14:paraId="1F770C00" w14:textId="0DBA1500">
      <w:pPr>
        <w:pStyle w:val="zGNormal"/>
      </w:pPr>
      <w:r>
        <w:t xml:space="preserve"> Despite</w:t>
      </w:r>
      <w:bookmarkStart w:name="_Hlk37506964" w:id="1186"/>
      <w:r>
        <w:t xml:space="preserve"> any other provision of this Part 19 (</w:t>
      </w:r>
      <w:r>
        <w:rPr>
          <w:i/>
          <w:iCs/>
        </w:rPr>
        <w:t>Dispute Resolution</w:t>
      </w:r>
      <w:r>
        <w:t>), the Parties acknowledge that an award of damages may not afford complete relief or furnish an adequate legal remedy as between them (such as when Seller’s Event of Default arises from Seller’s actions designed to achieve an economic gain by selling energy, capacity, or Ancillary Services to a third party in violation of this PPA). Accordingly, the Parties agree that a Party will be permitted to seek at any time, in accordance with applicable laws, procedures, and the terms of this PPA, injunctive relief relating to the performance of this PPA from an arbitrator, a Governmental Authority of appropriate jurisdiction, or a court of competent jurisdiction located in Atlanta, Fulton County, Georgia. The Parties expressly agree that this Section 19.6 does not present a question of substantive arbitrability and waive any right to have an arbitrator decide whether preliminary injunctive relief is available in court. In the event of entry of any interlocutory injunctive relief, the Party against whom such relief is entered waives the right to have a bond or security posted pending resolution of the dispute giving rise to the issuance of the injunction.</w:t>
      </w:r>
      <w:bookmarkEnd w:id="1186"/>
    </w:p>
    <w:p w:rsidRPr="00F40F9C" w:rsidR="002D54C4" w:rsidRDefault="008B55A2" w14:paraId="35142056" w14:textId="77777777">
      <w:pPr>
        <w:pStyle w:val="zGTC02"/>
        <w:rPr>
          <w:vanish/>
          <w:specVanish/>
        </w:rPr>
      </w:pPr>
      <w:bookmarkStart w:name="_Toc160749204" w:id="1187"/>
      <w:bookmarkStart w:name="_Toc194937571" w:id="1188"/>
      <w:bookmarkStart w:name="_Toc174624957" w:id="1189"/>
      <w:bookmarkStart w:name="_Toc227451616" w:id="1190"/>
      <w:r>
        <w:t>Continued Performance.</w:t>
      </w:r>
      <w:bookmarkStart w:name="_Toc158593293" w:id="1191"/>
      <w:bookmarkStart w:name="_Toc158597572" w:id="1192"/>
      <w:bookmarkStart w:name="_Toc158720196" w:id="1193"/>
      <w:bookmarkStart w:name="_Toc158722950" w:id="1194"/>
      <w:bookmarkStart w:name="_Toc158929482" w:id="1195"/>
      <w:bookmarkEnd w:id="1187"/>
      <w:bookmarkEnd w:id="1188"/>
      <w:bookmarkEnd w:id="1189"/>
      <w:bookmarkEnd w:id="1190"/>
      <w:bookmarkEnd w:id="1191"/>
      <w:bookmarkEnd w:id="1192"/>
      <w:bookmarkEnd w:id="1193"/>
      <w:bookmarkEnd w:id="1194"/>
      <w:bookmarkEnd w:id="1195"/>
    </w:p>
    <w:p w:rsidRPr="00F40F9C" w:rsidR="002D54C4" w:rsidRDefault="008B55A2" w14:paraId="60294FE4" w14:textId="77777777">
      <w:pPr>
        <w:pStyle w:val="zGNormal"/>
      </w:pPr>
      <w:r>
        <w:t xml:space="preserve"> </w:t>
      </w:r>
      <w:bookmarkStart w:name="_Hlk37507003" w:id="1196"/>
      <w:r>
        <w:t xml:space="preserve">The Parties agree to continue performing their respective obligations under this PPA while the dispute is being resolved, unless and until such obligations are terminated or expire in accordance with </w:t>
      </w:r>
      <w:bookmarkEnd w:id="1196"/>
      <w:r>
        <w:t>this PPA.</w:t>
      </w:r>
    </w:p>
    <w:p w:rsidRPr="00F40F9C" w:rsidR="002D54C4" w:rsidP="004B0BBF" w:rsidRDefault="008B55A2" w14:paraId="2BEAD710" w14:textId="77777777">
      <w:pPr>
        <w:pStyle w:val="zGTC01"/>
        <w:tabs>
          <w:tab w:val="clear" w:pos="3762"/>
        </w:tabs>
        <w:ind w:left="1080"/>
        <w:rPr>
          <w:szCs w:val="20"/>
        </w:rPr>
      </w:pPr>
      <w:bookmarkStart w:name="_Toc160749205" w:id="1197"/>
      <w:bookmarkStart w:name="_Toc194937572" w:id="1198"/>
      <w:bookmarkStart w:name="_Toc174624958" w:id="1199"/>
      <w:bookmarkStart w:name="_Toc227451617" w:id="1200"/>
      <w:r>
        <w:t>Miscellaneous Provisions</w:t>
      </w:r>
      <w:bookmarkEnd w:id="1197"/>
      <w:bookmarkEnd w:id="1198"/>
      <w:bookmarkEnd w:id="1199"/>
      <w:bookmarkEnd w:id="1200"/>
    </w:p>
    <w:p w:rsidRPr="00F40F9C" w:rsidR="00B76257" w:rsidP="00B76257" w:rsidRDefault="008B55A2" w14:paraId="6B49569A" w14:textId="77777777">
      <w:pPr>
        <w:pStyle w:val="zGTC02"/>
        <w:rPr>
          <w:rFonts w:ascii="Arial" w:hAnsi="Arial" w:cs="Arial"/>
          <w:vanish/>
          <w:specVanish/>
        </w:rPr>
      </w:pPr>
      <w:bookmarkStart w:name="_Toc160749206" w:id="1201"/>
      <w:bookmarkStart w:name="_Toc194937573" w:id="1202"/>
      <w:bookmarkStart w:name="_Toc174624959" w:id="1203"/>
      <w:bookmarkStart w:name="_Toc227451618" w:id="1204"/>
      <w:r>
        <w:rPr>
          <w:rFonts w:ascii="Arial" w:hAnsi="Arial" w:cs="Arial"/>
        </w:rPr>
        <w:t>Amendments.</w:t>
      </w:r>
      <w:bookmarkStart w:name="_Toc158593295" w:id="1205"/>
      <w:bookmarkStart w:name="_Toc158597574" w:id="1206"/>
      <w:bookmarkStart w:name="_Toc158720198" w:id="1207"/>
      <w:bookmarkStart w:name="_Toc158722952" w:id="1208"/>
      <w:bookmarkStart w:name="_Toc158929484" w:id="1209"/>
      <w:bookmarkEnd w:id="1201"/>
      <w:bookmarkEnd w:id="1202"/>
      <w:bookmarkEnd w:id="1203"/>
      <w:bookmarkEnd w:id="1204"/>
      <w:bookmarkEnd w:id="1205"/>
      <w:bookmarkEnd w:id="1206"/>
      <w:bookmarkEnd w:id="1207"/>
      <w:bookmarkEnd w:id="1208"/>
      <w:bookmarkEnd w:id="1209"/>
    </w:p>
    <w:p w:rsidRPr="00F40F9C" w:rsidR="00B76257" w:rsidP="00B76257" w:rsidRDefault="008B55A2" w14:paraId="778C5152" w14:textId="77777777">
      <w:pPr>
        <w:pStyle w:val="zGNormal"/>
      </w:pPr>
      <w:r>
        <w:t xml:space="preserve"> This PPA may be amended only by a written document duly executed by authorized representatives of GPC and Seller, each of GPC and Seller having received all approvals of Governmental Authorities necessary for the effectiveness of the Amendment.</w:t>
      </w:r>
    </w:p>
    <w:p w:rsidRPr="00F40F9C" w:rsidR="00B76257" w:rsidP="00B76257" w:rsidRDefault="008B55A2" w14:paraId="5D18AEE6" w14:textId="77777777">
      <w:pPr>
        <w:pStyle w:val="zGTC02"/>
        <w:rPr>
          <w:rFonts w:ascii="Arial" w:hAnsi="Arial" w:cs="Arial"/>
          <w:b w:val="0"/>
          <w:bCs/>
          <w:iCs/>
          <w:vanish/>
          <w:specVanish/>
        </w:rPr>
      </w:pPr>
      <w:bookmarkStart w:name="_Toc160749207" w:id="1210"/>
      <w:bookmarkStart w:name="_Toc194937574" w:id="1211"/>
      <w:bookmarkStart w:name="_Toc174624960" w:id="1212"/>
      <w:bookmarkStart w:name="_Toc227451619" w:id="1213"/>
      <w:r>
        <w:rPr>
          <w:rFonts w:ascii="Arial" w:hAnsi="Arial" w:cs="Arial"/>
        </w:rPr>
        <w:t>Binding Effect</w:t>
      </w:r>
      <w:r>
        <w:rPr>
          <w:rFonts w:ascii="Arial" w:hAnsi="Arial" w:cs="Arial"/>
          <w:i/>
          <w:iCs/>
        </w:rPr>
        <w:t>.</w:t>
      </w:r>
      <w:bookmarkStart w:name="_Toc158593296" w:id="1214"/>
      <w:bookmarkStart w:name="_Toc158597575" w:id="1215"/>
      <w:bookmarkStart w:name="_Toc158720199" w:id="1216"/>
      <w:bookmarkStart w:name="_Toc158722953" w:id="1217"/>
      <w:bookmarkStart w:name="_Toc158929485" w:id="1218"/>
      <w:bookmarkEnd w:id="1210"/>
      <w:bookmarkEnd w:id="1211"/>
      <w:bookmarkEnd w:id="1212"/>
      <w:bookmarkEnd w:id="1213"/>
      <w:bookmarkEnd w:id="1214"/>
      <w:bookmarkEnd w:id="1215"/>
      <w:bookmarkEnd w:id="1216"/>
      <w:bookmarkEnd w:id="1217"/>
      <w:bookmarkEnd w:id="1218"/>
    </w:p>
    <w:p w:rsidRPr="00F40F9C" w:rsidR="00B76257" w:rsidP="00B76257" w:rsidRDefault="008B55A2" w14:paraId="16FA8DFD" w14:textId="77777777">
      <w:pPr>
        <w:pStyle w:val="zGNormal"/>
      </w:pPr>
      <w:r>
        <w:t xml:space="preserve"> This PPA and any extension will inure to the benefit of and will be binding upon the Parties and their respective permitted successors and permitted assigns.</w:t>
      </w:r>
    </w:p>
    <w:p w:rsidRPr="00F40F9C" w:rsidR="00B76257" w:rsidP="00B76257" w:rsidRDefault="008B55A2" w14:paraId="2525F3FC" w14:textId="77777777">
      <w:pPr>
        <w:pStyle w:val="zGTC02"/>
        <w:rPr>
          <w:rFonts w:ascii="Arial" w:hAnsi="Arial" w:cs="Arial"/>
          <w:vanish/>
          <w:specVanish/>
        </w:rPr>
      </w:pPr>
      <w:bookmarkStart w:name="_Toc160749208" w:id="1219"/>
      <w:bookmarkStart w:name="_Toc194937575" w:id="1220"/>
      <w:bookmarkStart w:name="_Toc174624961" w:id="1221"/>
      <w:bookmarkStart w:name="_Toc227451620" w:id="1222"/>
      <w:r>
        <w:rPr>
          <w:rFonts w:ascii="Arial" w:hAnsi="Arial" w:cs="Arial"/>
        </w:rPr>
        <w:t>Counterparts.</w:t>
      </w:r>
      <w:bookmarkStart w:name="_Toc158593297" w:id="1223"/>
      <w:bookmarkStart w:name="_Toc158597576" w:id="1224"/>
      <w:bookmarkStart w:name="_Toc158720200" w:id="1225"/>
      <w:bookmarkStart w:name="_Toc158722954" w:id="1226"/>
      <w:bookmarkStart w:name="_Toc158929486" w:id="1227"/>
      <w:bookmarkEnd w:id="1219"/>
      <w:bookmarkEnd w:id="1220"/>
      <w:bookmarkEnd w:id="1221"/>
      <w:bookmarkEnd w:id="1222"/>
      <w:bookmarkEnd w:id="1223"/>
      <w:bookmarkEnd w:id="1224"/>
      <w:bookmarkEnd w:id="1225"/>
      <w:bookmarkEnd w:id="1226"/>
      <w:bookmarkEnd w:id="1227"/>
    </w:p>
    <w:p w:rsidRPr="00F40F9C" w:rsidR="00B76257" w:rsidP="00B76257" w:rsidRDefault="008B55A2" w14:paraId="3C0DD28E" w14:textId="77777777">
      <w:pPr>
        <w:pStyle w:val="zGNormal"/>
      </w:pPr>
      <w:r>
        <w:t xml:space="preserve"> This PPA may be executed in two or more counterparts </w:t>
      </w:r>
      <w:r>
        <w:rPr>
          <w:rFonts w:eastAsia="Times New Roman"/>
        </w:rPr>
        <w:t>and by electronic transmission of signatures in portable document format (PDF) or another electronic format</w:t>
      </w:r>
      <w:r>
        <w:t>, each of which will be deemed an original but all of which together will constitute one and the same agreement.</w:t>
      </w:r>
    </w:p>
    <w:p w:rsidRPr="00F40F9C" w:rsidR="00B76257" w:rsidP="00B76257" w:rsidRDefault="008B55A2" w14:paraId="79535A6A" w14:textId="77777777">
      <w:pPr>
        <w:pStyle w:val="zGTC02"/>
        <w:rPr>
          <w:rFonts w:ascii="Arial" w:hAnsi="Arial" w:cs="Arial"/>
          <w:vanish/>
          <w:specVanish/>
        </w:rPr>
      </w:pPr>
      <w:bookmarkStart w:name="_Toc160749209" w:id="1228"/>
      <w:bookmarkStart w:name="_Toc194937576" w:id="1229"/>
      <w:bookmarkStart w:name="_Toc174624962" w:id="1230"/>
      <w:bookmarkStart w:name="_Toc227451621" w:id="1231"/>
      <w:r>
        <w:rPr>
          <w:rFonts w:ascii="Arial" w:hAnsi="Arial" w:cs="Arial"/>
        </w:rPr>
        <w:t>Notice.</w:t>
      </w:r>
      <w:bookmarkStart w:name="_Toc158593298" w:id="1232"/>
      <w:bookmarkStart w:name="_Toc158597577" w:id="1233"/>
      <w:bookmarkStart w:name="_Toc158720201" w:id="1234"/>
      <w:bookmarkStart w:name="_Toc158722955" w:id="1235"/>
      <w:bookmarkStart w:name="_Toc158929487" w:id="1236"/>
      <w:bookmarkEnd w:id="1228"/>
      <w:bookmarkEnd w:id="1229"/>
      <w:bookmarkEnd w:id="1230"/>
      <w:bookmarkEnd w:id="1231"/>
      <w:bookmarkEnd w:id="1232"/>
      <w:bookmarkEnd w:id="1233"/>
      <w:bookmarkEnd w:id="1234"/>
      <w:bookmarkEnd w:id="1235"/>
      <w:bookmarkEnd w:id="1236"/>
    </w:p>
    <w:p w:rsidRPr="00F40F9C" w:rsidR="00B76257" w:rsidP="00B76257" w:rsidRDefault="008B55A2" w14:paraId="0DC083A1" w14:textId="5E9BBE62">
      <w:pPr>
        <w:pStyle w:val="zGNormal"/>
      </w:pPr>
      <w:r>
        <w:t xml:space="preserve"> </w:t>
      </w:r>
      <w:r w:rsidR="00F50DA5">
        <w:t xml:space="preserve">Except as otherwise provided in this PPA, </w:t>
      </w:r>
      <w:r w:rsidR="00F50DA5">
        <w:rPr>
          <w:rFonts w:eastAsia="PMingLiU"/>
        </w:rPr>
        <w:t>a</w:t>
      </w:r>
      <w:r>
        <w:rPr>
          <w:rFonts w:eastAsia="PMingLiU"/>
        </w:rPr>
        <w:t>ll notices, requests, consents, claims, demands, waivers, and other communications under this PPA must be in writing</w:t>
      </w:r>
      <w:r w:rsidR="00F50DA5">
        <w:rPr>
          <w:rFonts w:eastAsia="PMingLiU"/>
        </w:rPr>
        <w:t xml:space="preserve"> (email being sufficient if</w:t>
      </w:r>
      <w:r>
        <w:rPr>
          <w:rFonts w:eastAsia="PMingLiU"/>
        </w:rPr>
        <w:t xml:space="preserve"> </w:t>
      </w:r>
      <w:r>
        <w:rPr>
          <w:rFonts w:eastAsia="Times New Roman"/>
        </w:rPr>
        <w:t xml:space="preserve">Exhibit </w:t>
      </w:r>
      <w:r w:rsidR="00FA0A0B">
        <w:rPr>
          <w:rFonts w:eastAsia="Times New Roman"/>
        </w:rPr>
        <w:t>P</w:t>
      </w:r>
      <w:r>
        <w:rPr>
          <w:rFonts w:eastAsia="Times New Roman"/>
        </w:rPr>
        <w:t xml:space="preserve"> (</w:t>
      </w:r>
      <w:r>
        <w:rPr>
          <w:rFonts w:eastAsia="Times New Roman"/>
          <w:i/>
        </w:rPr>
        <w:t>Notices</w:t>
      </w:r>
      <w:r>
        <w:rPr>
          <w:rFonts w:eastAsia="Times New Roman"/>
        </w:rPr>
        <w:t xml:space="preserve">) </w:t>
      </w:r>
      <w:r w:rsidR="00506E1D">
        <w:rPr>
          <w:rFonts w:eastAsia="Times New Roman"/>
        </w:rPr>
        <w:t>includes an email address for the receiving Party</w:t>
      </w:r>
      <w:r w:rsidR="008108CB">
        <w:rPr>
          <w:rFonts w:eastAsia="Times New Roman"/>
        </w:rPr>
        <w:t>)</w:t>
      </w:r>
      <w:r w:rsidR="00506E1D">
        <w:rPr>
          <w:rFonts w:eastAsia="Times New Roman"/>
        </w:rPr>
        <w:t xml:space="preserve">, </w:t>
      </w:r>
      <w:r>
        <w:rPr>
          <w:rFonts w:eastAsia="Times New Roman"/>
        </w:rPr>
        <w:t>must include this PPA’s title</w:t>
      </w:r>
      <w:r>
        <w:t xml:space="preserve"> and </w:t>
      </w:r>
      <w:r w:rsidR="00C535E0">
        <w:t>the</w:t>
      </w:r>
      <w:r>
        <w:t xml:space="preserve"> Facility name</w:t>
      </w:r>
      <w:r w:rsidR="00506E1D">
        <w:t>, must be</w:t>
      </w:r>
      <w:r w:rsidR="00C9347D">
        <w:t xml:space="preserve"> addressed to the receiving Party’s point-of-contact specified on Exhibit </w:t>
      </w:r>
      <w:r w:rsidR="004375AD">
        <w:t>P</w:t>
      </w:r>
      <w:r w:rsidR="00C9347D">
        <w:t>,</w:t>
      </w:r>
      <w:r>
        <w:t xml:space="preserve"> and </w:t>
      </w:r>
      <w:r w:rsidR="00E25913">
        <w:t>will be deemed to have been delivered when sent</w:t>
      </w:r>
      <w:r>
        <w:t xml:space="preserve"> by: (i) personal delivery (effective the date of delivery); (ii) if </w:t>
      </w:r>
      <w:r w:rsidR="00E25913">
        <w:t>Exhibit M includes an</w:t>
      </w:r>
      <w:r>
        <w:t xml:space="preserve"> email address for </w:t>
      </w:r>
      <w:r w:rsidR="00E25913">
        <w:t>the receiving Party</w:t>
      </w:r>
      <w:r>
        <w:t>, email delivery (effective that date if sent by 5:00 p.m. (recipient’s time); otherwise, the next Business Day</w:t>
      </w:r>
      <w:r w:rsidR="00E25913">
        <w:t>)</w:t>
      </w:r>
      <w:r>
        <w:t xml:space="preserve">; (iii) </w:t>
      </w:r>
      <w:r w:rsidR="00A7453F">
        <w:t>p</w:t>
      </w:r>
      <w:r>
        <w:rPr>
          <w:rFonts w:eastAsia="Times New Roman"/>
        </w:rPr>
        <w:t xml:space="preserve">repaid nationally- or internationally- recognized commercial overnight courier (receipt requested; effective the next Business Day); or (iv) </w:t>
      </w:r>
      <w:r>
        <w:t xml:space="preserve">registered or certified U.S. mail, with proper postage (effective after the fourth Business Day). </w:t>
      </w:r>
    </w:p>
    <w:p w:rsidRPr="00F40F9C" w:rsidR="00B76257" w:rsidP="00B76257" w:rsidRDefault="008B55A2" w14:paraId="2D86795A" w14:textId="77777777">
      <w:pPr>
        <w:pStyle w:val="zGTC02"/>
        <w:rPr>
          <w:rFonts w:ascii="Arial" w:hAnsi="Arial" w:cs="Arial"/>
          <w:vanish/>
          <w:specVanish/>
        </w:rPr>
      </w:pPr>
      <w:bookmarkStart w:name="_Toc160749210" w:id="1237"/>
      <w:bookmarkStart w:name="_Toc194937577" w:id="1238"/>
      <w:bookmarkStart w:name="_Toc174624963" w:id="1239"/>
      <w:bookmarkStart w:name="_Toc227451622" w:id="1240"/>
      <w:r>
        <w:rPr>
          <w:rFonts w:ascii="Arial" w:hAnsi="Arial" w:cs="Arial"/>
        </w:rPr>
        <w:t>Entire Agreement.</w:t>
      </w:r>
      <w:bookmarkStart w:name="_Toc158593299" w:id="1241"/>
      <w:bookmarkStart w:name="_Toc158597578" w:id="1242"/>
      <w:bookmarkStart w:name="_Toc158720202" w:id="1243"/>
      <w:bookmarkStart w:name="_Toc158722956" w:id="1244"/>
      <w:bookmarkStart w:name="_Toc158929488" w:id="1245"/>
      <w:bookmarkEnd w:id="1237"/>
      <w:bookmarkEnd w:id="1238"/>
      <w:bookmarkEnd w:id="1239"/>
      <w:bookmarkEnd w:id="1240"/>
      <w:bookmarkEnd w:id="1241"/>
      <w:bookmarkEnd w:id="1242"/>
      <w:bookmarkEnd w:id="1243"/>
      <w:bookmarkEnd w:id="1244"/>
      <w:bookmarkEnd w:id="1245"/>
    </w:p>
    <w:p w:rsidRPr="00F40F9C" w:rsidR="00B76257" w:rsidP="00B76257" w:rsidRDefault="008B55A2" w14:paraId="1AEA3E93" w14:textId="77777777">
      <w:pPr>
        <w:pStyle w:val="zGNormal"/>
      </w:pPr>
      <w:r>
        <w:t xml:space="preserve"> This PPA constitutes the entire understanding between the Parties and replaces any previous or contemporaneous oral or written discussion, representation, promise, arrangement, understanding, or agreement between the Parties related to the subject matter of this PPA. The Parties have entered this PPA in reliance upon the representations and mutual undertakings contained in this PPA and not in reliance upon any oral or written representations or information provided by one Party to the other Party not contained or incorporated in this PPA.</w:t>
      </w:r>
    </w:p>
    <w:p w:rsidRPr="00F40F9C" w:rsidR="00B76257" w:rsidP="00B76257" w:rsidRDefault="008B55A2" w14:paraId="276F4ED1" w14:textId="77777777">
      <w:pPr>
        <w:pStyle w:val="zGTC02"/>
        <w:rPr>
          <w:rFonts w:ascii="Arial" w:hAnsi="Arial" w:cs="Arial"/>
          <w:vanish/>
          <w:specVanish/>
        </w:rPr>
      </w:pPr>
      <w:bookmarkStart w:name="_Toc160749211" w:id="1246"/>
      <w:bookmarkStart w:name="_Toc194937578" w:id="1247"/>
      <w:bookmarkStart w:name="_Toc174624964" w:id="1248"/>
      <w:bookmarkStart w:name="_Toc227451623" w:id="1249"/>
      <w:r>
        <w:rPr>
          <w:rFonts w:ascii="Arial" w:hAnsi="Arial" w:cs="Arial"/>
        </w:rPr>
        <w:lastRenderedPageBreak/>
        <w:t>Governing Law.</w:t>
      </w:r>
      <w:bookmarkStart w:name="_Toc158593300" w:id="1250"/>
      <w:bookmarkStart w:name="_Toc158597579" w:id="1251"/>
      <w:bookmarkStart w:name="_Toc158720203" w:id="1252"/>
      <w:bookmarkStart w:name="_Toc158722957" w:id="1253"/>
      <w:bookmarkStart w:name="_Toc158929489" w:id="1254"/>
      <w:bookmarkEnd w:id="1246"/>
      <w:bookmarkEnd w:id="1247"/>
      <w:bookmarkEnd w:id="1248"/>
      <w:bookmarkEnd w:id="1249"/>
      <w:bookmarkEnd w:id="1250"/>
      <w:bookmarkEnd w:id="1251"/>
      <w:bookmarkEnd w:id="1252"/>
      <w:bookmarkEnd w:id="1253"/>
      <w:bookmarkEnd w:id="1254"/>
    </w:p>
    <w:p w:rsidRPr="00F40F9C" w:rsidR="00B76257" w:rsidP="00B76257" w:rsidRDefault="008B55A2" w14:paraId="742F715A" w14:textId="17E39E5B">
      <w:pPr>
        <w:pStyle w:val="zGNormal"/>
      </w:pPr>
      <w:r>
        <w:t xml:space="preserve"> The validity, interpretation, and performance of this PPA will be governed by the laws of the state of Georgia, without giving effect to any conflict of law principles that would require the application of the laws of another jurisdiction</w:t>
      </w:r>
      <w:r w:rsidR="00090E73">
        <w:t xml:space="preserve">, </w:t>
      </w:r>
      <w:r w:rsidR="00D25CCC">
        <w:t xml:space="preserve">except that the Federal Arbitration Act, 9 U.S.C. </w:t>
      </w:r>
      <w:r w:rsidRPr="00F67040" w:rsidR="00F67040">
        <w:t>§§</w:t>
      </w:r>
      <w:r w:rsidR="00F67040">
        <w:t xml:space="preserve"> </w:t>
      </w:r>
      <w:r w:rsidR="00116941">
        <w:t>1 et seq. will govern the Parties’ agreement to arbitrate certain disputes as described in</w:t>
      </w:r>
      <w:r w:rsidR="007A1EE6">
        <w:t xml:space="preserve"> </w:t>
      </w:r>
      <w:r>
        <w:t>Part 19 (</w:t>
      </w:r>
      <w:r>
        <w:rPr>
          <w:i/>
        </w:rPr>
        <w:t>Dispute Resolution</w:t>
      </w:r>
      <w:r>
        <w:t>)</w:t>
      </w:r>
      <w:r w:rsidR="00BE7084">
        <w:t>.</w:t>
      </w:r>
      <w:r>
        <w:t xml:space="preserve"> </w:t>
      </w:r>
      <w:r w:rsidR="007A1EE6">
        <w:t xml:space="preserve">Subject to Part 19 </w:t>
      </w:r>
      <w:r>
        <w:t>regarding arbitration, each Party agrees that the state and federal courts, as applicable, of the state of Georgia will have exclusive jurisdiction for resolution of disputes under this PPA and each Party irrevocably consents to the jurisdiction of and venue in those courts.</w:t>
      </w:r>
    </w:p>
    <w:p w:rsidRPr="00F40F9C" w:rsidR="00B76257" w:rsidP="00B76257" w:rsidRDefault="008B55A2" w14:paraId="5B1C8A32" w14:textId="77777777">
      <w:pPr>
        <w:pStyle w:val="zGTC02"/>
        <w:widowControl w:val="0"/>
        <w:rPr>
          <w:vanish/>
          <w:specVanish/>
        </w:rPr>
      </w:pPr>
      <w:bookmarkStart w:name="_Toc137409374" w:id="1255"/>
      <w:bookmarkStart w:name="_Toc153987158" w:id="1256"/>
      <w:bookmarkStart w:name="_Toc160749212" w:id="1257"/>
      <w:bookmarkStart w:name="_Toc194937579" w:id="1258"/>
      <w:bookmarkStart w:name="_Toc174624965" w:id="1259"/>
      <w:bookmarkStart w:name="_Toc227451624" w:id="1260"/>
      <w:r>
        <w:t>Liability.</w:t>
      </w:r>
      <w:bookmarkStart w:name="_Toc379477350" w:id="1261"/>
      <w:bookmarkEnd w:id="1255"/>
      <w:bookmarkEnd w:id="1256"/>
      <w:bookmarkEnd w:id="1257"/>
      <w:bookmarkEnd w:id="1258"/>
      <w:bookmarkEnd w:id="1259"/>
      <w:bookmarkEnd w:id="1260"/>
    </w:p>
    <w:p w:rsidRPr="00F40F9C" w:rsidR="00B76257" w:rsidP="00B76257" w:rsidRDefault="008B55A2" w14:paraId="70EE8DC8" w14:textId="77777777">
      <w:pPr>
        <w:pStyle w:val="zGNormal"/>
        <w:widowControl w:val="0"/>
      </w:pPr>
      <w:r>
        <w:t xml:space="preserve"> Neither Party will be responsible for the other Party’s performance, non-performance, or delay in performance under this PPA.</w:t>
      </w:r>
      <w:bookmarkEnd w:id="1261"/>
    </w:p>
    <w:p w:rsidRPr="00F40F9C" w:rsidR="00B76257" w:rsidP="00B76257" w:rsidRDefault="008B55A2" w14:paraId="0AC227E6" w14:textId="77777777">
      <w:pPr>
        <w:pStyle w:val="zGTC02"/>
        <w:widowControl w:val="0"/>
        <w:rPr>
          <w:vanish/>
          <w:specVanish/>
        </w:rPr>
      </w:pPr>
      <w:bookmarkStart w:name="_Toc137409375" w:id="1262"/>
      <w:bookmarkStart w:name="_Toc153987159" w:id="1263"/>
      <w:bookmarkStart w:name="_Toc160749213" w:id="1264"/>
      <w:bookmarkStart w:name="_Toc194937580" w:id="1265"/>
      <w:bookmarkStart w:name="_Toc174624966" w:id="1266"/>
      <w:bookmarkStart w:name="_Toc227451625" w:id="1267"/>
      <w:r>
        <w:t>GPC’s Agent.</w:t>
      </w:r>
      <w:bookmarkStart w:name="_Toc379477351" w:id="1268"/>
      <w:bookmarkEnd w:id="1262"/>
      <w:bookmarkEnd w:id="1263"/>
      <w:bookmarkEnd w:id="1264"/>
      <w:bookmarkEnd w:id="1265"/>
      <w:bookmarkEnd w:id="1266"/>
      <w:bookmarkEnd w:id="1267"/>
    </w:p>
    <w:p w:rsidRPr="00F40F9C" w:rsidR="00B76257" w:rsidP="00B76257" w:rsidRDefault="008B55A2" w14:paraId="558147F1" w14:textId="157A4B63">
      <w:pPr>
        <w:pStyle w:val="zGNormal"/>
        <w:widowControl w:val="0"/>
      </w:pPr>
      <w:r>
        <w:t xml:space="preserve"> Wherever this PPA requires Seller to provide information, schedules, notice or the like to, or to take direction from, GPC, Seller will provide information, schedules, notice, or the like to, or receive from, GPC or such agent of GPC as GPC may direct from time to time pursuant to a notice given to Seller.</w:t>
      </w:r>
      <w:bookmarkEnd w:id="1268"/>
    </w:p>
    <w:p w:rsidRPr="00F40F9C" w:rsidR="00B76257" w:rsidP="00B76257" w:rsidRDefault="008B55A2" w14:paraId="5BB1DAE4" w14:textId="77777777">
      <w:pPr>
        <w:pStyle w:val="zGTC02"/>
        <w:widowControl w:val="0"/>
        <w:rPr>
          <w:vanish/>
          <w:specVanish/>
        </w:rPr>
      </w:pPr>
      <w:bookmarkStart w:name="_Toc137409364" w:id="1269"/>
      <w:bookmarkStart w:name="_Toc140068897" w:id="1270"/>
      <w:bookmarkStart w:name="_Toc153987147" w:id="1271"/>
      <w:bookmarkStart w:name="_Toc160749214" w:id="1272"/>
      <w:bookmarkStart w:name="_Toc194937581" w:id="1273"/>
      <w:bookmarkStart w:name="_Toc174624967" w:id="1274"/>
      <w:bookmarkStart w:name="_Toc227451626" w:id="1275"/>
      <w:r>
        <w:t>No GPC Affiliate Liability.</w:t>
      </w:r>
      <w:bookmarkStart w:name="_Toc379477339" w:id="1276"/>
      <w:bookmarkEnd w:id="1269"/>
      <w:bookmarkEnd w:id="1270"/>
      <w:bookmarkEnd w:id="1271"/>
      <w:bookmarkEnd w:id="1272"/>
      <w:bookmarkEnd w:id="1273"/>
      <w:bookmarkEnd w:id="1274"/>
      <w:bookmarkEnd w:id="1275"/>
    </w:p>
    <w:p w:rsidRPr="00F40F9C" w:rsidR="00B76257" w:rsidP="00B76257" w:rsidRDefault="008B55A2" w14:paraId="51273DB6" w14:textId="034268F6">
      <w:pPr>
        <w:pStyle w:val="zGNormal"/>
        <w:widowControl w:val="0"/>
      </w:pPr>
      <w:r>
        <w:t xml:space="preserve"> Notwithstanding any other provision of this PPA, no Affiliate of GPC (including any Affiliate of GPC acting as GPC’s agent where GPC’s agent is given certain authorities) will have any liability whatsoever for any performance, nonperformance, or delay in performance under this PPA, except in the event of an assignment of this PPA to an Affiliate of GPC pursuant to Section 18.1.</w:t>
      </w:r>
      <w:r w:rsidR="00DB1D60">
        <w:t>3</w:t>
      </w:r>
      <w:r>
        <w:t xml:space="preserve"> (</w:t>
      </w:r>
      <w:r>
        <w:rPr>
          <w:i/>
        </w:rPr>
        <w:t>Assignment</w:t>
      </w:r>
      <w:r w:rsidR="00DB1D60">
        <w:rPr>
          <w:i/>
        </w:rPr>
        <w:t xml:space="preserve"> by GPC</w:t>
      </w:r>
      <w:r>
        <w:t xml:space="preserve">), in which case, such assignee will be liable for GPCs obligations arising under this PPA from and after the date of assignment. </w:t>
      </w:r>
      <w:bookmarkEnd w:id="1276"/>
    </w:p>
    <w:p w:rsidRPr="00F40F9C" w:rsidR="00B76257" w:rsidP="00B76257" w:rsidRDefault="008B55A2" w14:paraId="697743A2" w14:textId="77777777">
      <w:pPr>
        <w:pStyle w:val="zGTC02"/>
        <w:rPr>
          <w:rFonts w:ascii="Arial" w:hAnsi="Arial" w:cs="Arial"/>
          <w:vanish/>
          <w:specVanish/>
        </w:rPr>
      </w:pPr>
      <w:bookmarkStart w:name="_Toc160749215" w:id="1277"/>
      <w:bookmarkStart w:name="_Toc194937582" w:id="1278"/>
      <w:bookmarkStart w:name="_Toc174624968" w:id="1279"/>
      <w:bookmarkStart w:name="_Toc227451627" w:id="1280"/>
      <w:r>
        <w:rPr>
          <w:rFonts w:ascii="Arial" w:hAnsi="Arial" w:cs="Arial"/>
        </w:rPr>
        <w:t>Time of Essence; No Waiver.</w:t>
      </w:r>
      <w:bookmarkStart w:name="_Toc158593302" w:id="1281"/>
      <w:bookmarkStart w:name="_Toc158597581" w:id="1282"/>
      <w:bookmarkStart w:name="_Toc158720205" w:id="1283"/>
      <w:bookmarkStart w:name="_Toc158722959" w:id="1284"/>
      <w:bookmarkStart w:name="_Toc158929491" w:id="1285"/>
      <w:bookmarkEnd w:id="1277"/>
      <w:bookmarkEnd w:id="1278"/>
      <w:bookmarkEnd w:id="1279"/>
      <w:bookmarkEnd w:id="1280"/>
      <w:bookmarkEnd w:id="1281"/>
      <w:bookmarkEnd w:id="1282"/>
      <w:bookmarkEnd w:id="1283"/>
      <w:bookmarkEnd w:id="1284"/>
      <w:bookmarkEnd w:id="1285"/>
    </w:p>
    <w:p w:rsidRPr="00F40F9C" w:rsidR="00B76257" w:rsidP="00B76257" w:rsidRDefault="008B55A2" w14:paraId="1F6A99DC" w14:textId="77777777">
      <w:pPr>
        <w:pStyle w:val="zGNormal6"/>
      </w:pPr>
      <w:r>
        <w:t xml:space="preserve"> Time is of the essence with respect to performance under this PPA. A Party’s failure to enforce a PPA provision, or to require at any time performance by the other Party of any of the provisions under this PPA, does not constitute a waiver of that, or any other PPA provision or any right or remedy in the future. Acquiescence to or acceptance of late performance, with or without reservation does not waive a future right to require timely performance. No modification or waiver of all or any part of this PPA will be valid unless it is reduced to a writing, signed by both Parties, that expressly states that the Parties agree to a waiver or modification, as applicable.</w:t>
      </w:r>
    </w:p>
    <w:p w:rsidRPr="00F40F9C" w:rsidR="00B76257" w:rsidP="00B76257" w:rsidRDefault="008B55A2" w14:paraId="579D5800" w14:textId="77777777">
      <w:pPr>
        <w:pStyle w:val="zGTC02"/>
        <w:rPr>
          <w:rFonts w:ascii="Arial" w:hAnsi="Arial" w:cs="Arial"/>
          <w:vanish/>
          <w:specVanish/>
        </w:rPr>
      </w:pPr>
      <w:bookmarkStart w:name="_Toc160749216" w:id="1286"/>
      <w:bookmarkStart w:name="_Toc194937583" w:id="1287"/>
      <w:bookmarkStart w:name="_Toc174624969" w:id="1288"/>
      <w:bookmarkStart w:name="_Toc227451628" w:id="1289"/>
      <w:r>
        <w:rPr>
          <w:rFonts w:ascii="Arial" w:hAnsi="Arial" w:cs="Arial"/>
        </w:rPr>
        <w:t>Headings.</w:t>
      </w:r>
      <w:bookmarkStart w:name="_Toc158593303" w:id="1290"/>
      <w:bookmarkStart w:name="_Toc158597582" w:id="1291"/>
      <w:bookmarkStart w:name="_Toc158720206" w:id="1292"/>
      <w:bookmarkStart w:name="_Toc158722960" w:id="1293"/>
      <w:bookmarkStart w:name="_Toc158929492" w:id="1294"/>
      <w:bookmarkEnd w:id="1286"/>
      <w:bookmarkEnd w:id="1287"/>
      <w:bookmarkEnd w:id="1288"/>
      <w:bookmarkEnd w:id="1289"/>
      <w:bookmarkEnd w:id="1290"/>
      <w:bookmarkEnd w:id="1291"/>
      <w:bookmarkEnd w:id="1292"/>
      <w:bookmarkEnd w:id="1293"/>
      <w:bookmarkEnd w:id="1294"/>
    </w:p>
    <w:p w:rsidRPr="00F40F9C" w:rsidR="00B76257" w:rsidP="00B76257" w:rsidRDefault="008B55A2" w14:paraId="4A45D1FD" w14:textId="77777777">
      <w:pPr>
        <w:pStyle w:val="zGNormal"/>
      </w:pPr>
      <w:r>
        <w:t xml:space="preserve"> The headings contained in this PPA are used solely for convenience and do not constitute a part of this PPA between the Parties, nor should they be used to aid in any manner in the construction of this PPA.</w:t>
      </w:r>
    </w:p>
    <w:p w:rsidRPr="00F40F9C" w:rsidR="00B76257" w:rsidP="00B76257" w:rsidRDefault="008B55A2" w14:paraId="7395B684" w14:textId="77777777">
      <w:pPr>
        <w:pStyle w:val="zGTC02"/>
        <w:rPr>
          <w:rFonts w:ascii="Arial" w:hAnsi="Arial" w:cs="Arial"/>
          <w:vanish/>
          <w:specVanish/>
        </w:rPr>
      </w:pPr>
      <w:bookmarkStart w:name="_Toc160749217" w:id="1295"/>
      <w:bookmarkStart w:name="_Toc194937584" w:id="1296"/>
      <w:bookmarkStart w:name="_Toc174624970" w:id="1297"/>
      <w:bookmarkStart w:name="_Toc227451629" w:id="1298"/>
      <w:r>
        <w:rPr>
          <w:rFonts w:ascii="Arial" w:hAnsi="Arial" w:cs="Arial"/>
        </w:rPr>
        <w:t>Third Parties.</w:t>
      </w:r>
      <w:bookmarkStart w:name="_Toc158593304" w:id="1299"/>
      <w:bookmarkStart w:name="_Toc158597583" w:id="1300"/>
      <w:bookmarkStart w:name="_Toc158720207" w:id="1301"/>
      <w:bookmarkStart w:name="_Toc158722961" w:id="1302"/>
      <w:bookmarkStart w:name="_Toc158929493" w:id="1303"/>
      <w:bookmarkEnd w:id="1295"/>
      <w:bookmarkEnd w:id="1296"/>
      <w:bookmarkEnd w:id="1297"/>
      <w:bookmarkEnd w:id="1298"/>
      <w:bookmarkEnd w:id="1299"/>
      <w:bookmarkEnd w:id="1300"/>
      <w:bookmarkEnd w:id="1301"/>
      <w:bookmarkEnd w:id="1302"/>
      <w:bookmarkEnd w:id="1303"/>
    </w:p>
    <w:p w:rsidRPr="00F40F9C" w:rsidR="00B76257" w:rsidP="00B76257" w:rsidRDefault="008B55A2" w14:paraId="5187DD77" w14:textId="77777777">
      <w:pPr>
        <w:pStyle w:val="zGNormal"/>
      </w:pPr>
      <w:r>
        <w:t xml:space="preserve"> Except as provided in Section 14.3 (</w:t>
      </w:r>
      <w:r>
        <w:rPr>
          <w:i/>
          <w:iCs/>
        </w:rPr>
        <w:t xml:space="preserve">Scope of </w:t>
      </w:r>
      <w:r>
        <w:rPr>
          <w:i/>
        </w:rPr>
        <w:t>Indemnity</w:t>
      </w:r>
      <w:r>
        <w:t>), nothing in this PPA will be construed to create any duty, obligation or liability of GPC or Seller to any Person not a party to this PPA.</w:t>
      </w:r>
    </w:p>
    <w:p w:rsidRPr="00F40F9C" w:rsidR="00B76257" w:rsidP="00B76257" w:rsidRDefault="008B55A2" w14:paraId="6447ED47" w14:textId="77777777">
      <w:pPr>
        <w:pStyle w:val="zGTC02"/>
        <w:rPr>
          <w:rFonts w:ascii="Arial" w:hAnsi="Arial" w:cs="Arial"/>
          <w:vanish/>
          <w:specVanish/>
        </w:rPr>
      </w:pPr>
      <w:bookmarkStart w:name="_Toc160749218" w:id="1304"/>
      <w:bookmarkStart w:name="_Toc194937585" w:id="1305"/>
      <w:bookmarkStart w:name="_Toc174624971" w:id="1306"/>
      <w:bookmarkStart w:name="_Toc227451630" w:id="1307"/>
      <w:r>
        <w:rPr>
          <w:rFonts w:ascii="Arial" w:hAnsi="Arial" w:cs="Arial"/>
        </w:rPr>
        <w:t>Agency.</w:t>
      </w:r>
      <w:bookmarkStart w:name="_Toc158593305" w:id="1308"/>
      <w:bookmarkStart w:name="_Toc158597584" w:id="1309"/>
      <w:bookmarkStart w:name="_Toc158720208" w:id="1310"/>
      <w:bookmarkStart w:name="_Toc158722962" w:id="1311"/>
      <w:bookmarkStart w:name="_Toc158929494" w:id="1312"/>
      <w:bookmarkEnd w:id="1304"/>
      <w:bookmarkEnd w:id="1305"/>
      <w:bookmarkEnd w:id="1306"/>
      <w:bookmarkEnd w:id="1307"/>
      <w:bookmarkEnd w:id="1308"/>
      <w:bookmarkEnd w:id="1309"/>
      <w:bookmarkEnd w:id="1310"/>
      <w:bookmarkEnd w:id="1311"/>
      <w:bookmarkEnd w:id="1312"/>
    </w:p>
    <w:p w:rsidRPr="00F40F9C" w:rsidR="00B76257" w:rsidP="00B76257" w:rsidRDefault="008B55A2" w14:paraId="3666AED6" w14:textId="77777777">
      <w:pPr>
        <w:pStyle w:val="zGNormal"/>
      </w:pPr>
      <w:r>
        <w:t xml:space="preserve"> This PPA will not be interpreted or construed to create an association, joint venture, or partnership between the Parties or to impose any partnership obligation or liability upon either Party. Neither Party will have any right, power, or authority to enter into any agreement or undertaking for, or act on behalf of, or to act as or be an agent or representative of, or to otherwise bind, the other Party.</w:t>
      </w:r>
    </w:p>
    <w:p w:rsidRPr="00F40F9C" w:rsidR="00B76257" w:rsidP="00B76257" w:rsidRDefault="008B55A2" w14:paraId="1C4E0CC1" w14:textId="77777777">
      <w:pPr>
        <w:pStyle w:val="zGTC02"/>
        <w:rPr>
          <w:rFonts w:ascii="Arial" w:hAnsi="Arial" w:cs="Arial"/>
          <w:vanish/>
          <w:specVanish/>
        </w:rPr>
      </w:pPr>
      <w:bookmarkStart w:name="_Toc160749219" w:id="1313"/>
      <w:bookmarkStart w:name="_Toc194937586" w:id="1314"/>
      <w:bookmarkStart w:name="_Toc174624972" w:id="1315"/>
      <w:bookmarkStart w:name="_Toc227451631" w:id="1316"/>
      <w:r>
        <w:rPr>
          <w:rFonts w:ascii="Arial" w:hAnsi="Arial" w:cs="Arial"/>
        </w:rPr>
        <w:t>Severability.</w:t>
      </w:r>
      <w:bookmarkStart w:name="_Toc158593306" w:id="1317"/>
      <w:bookmarkStart w:name="_Toc158597585" w:id="1318"/>
      <w:bookmarkStart w:name="_Toc158720209" w:id="1319"/>
      <w:bookmarkStart w:name="_Toc158722963" w:id="1320"/>
      <w:bookmarkStart w:name="_Toc158929495" w:id="1321"/>
      <w:bookmarkEnd w:id="1313"/>
      <w:bookmarkEnd w:id="1314"/>
      <w:bookmarkEnd w:id="1315"/>
      <w:bookmarkEnd w:id="1316"/>
      <w:bookmarkEnd w:id="1317"/>
      <w:bookmarkEnd w:id="1318"/>
      <w:bookmarkEnd w:id="1319"/>
      <w:bookmarkEnd w:id="1320"/>
      <w:bookmarkEnd w:id="1321"/>
    </w:p>
    <w:p w:rsidRPr="00F40F9C" w:rsidR="00B76257" w:rsidP="00B76257" w:rsidRDefault="008B55A2" w14:paraId="794C06C0" w14:textId="77777777">
      <w:pPr>
        <w:pStyle w:val="zGNormal"/>
      </w:pPr>
      <w:r>
        <w:t xml:space="preserve"> If any term or provision of this PPA or its application to any Person or circumstance is determined to any extent to be invalid or unenforceable, the remainder of this PPA, or the application of such term or provision to Persons or circumstances other than those as to which it is invalid or unenforceable, will not be affected by such determination, and each term and provision of this PPA will be valid and enforceable to the fullest extent permitted by law. The Parties agree to negotiate in good faith</w:t>
      </w:r>
      <w:r>
        <w:rPr>
          <w:color w:val="000000"/>
        </w:rPr>
        <w:t xml:space="preserve"> to modify this PPA to replace </w:t>
      </w:r>
      <w:r>
        <w:t xml:space="preserve">or modify such </w:t>
      </w:r>
      <w:r>
        <w:rPr>
          <w:color w:val="000000"/>
        </w:rPr>
        <w:t>term or provision so as to effect the original intent of the parties as closely as possible.</w:t>
      </w:r>
    </w:p>
    <w:p w:rsidRPr="00F40F9C" w:rsidR="00B76257" w:rsidP="00B76257" w:rsidRDefault="008B55A2" w14:paraId="74ABEE41" w14:textId="77777777">
      <w:pPr>
        <w:pStyle w:val="zGTC02"/>
        <w:rPr>
          <w:rFonts w:ascii="Arial" w:hAnsi="Arial" w:cs="Arial"/>
          <w:vanish/>
          <w:specVanish/>
        </w:rPr>
      </w:pPr>
      <w:bookmarkStart w:name="_Toc160749220" w:id="1322"/>
      <w:bookmarkStart w:name="_Toc194937587" w:id="1323"/>
      <w:bookmarkStart w:name="_Toc174624973" w:id="1324"/>
      <w:bookmarkStart w:name="_Toc227451632" w:id="1325"/>
      <w:r>
        <w:rPr>
          <w:rFonts w:ascii="Arial" w:hAnsi="Arial" w:cs="Arial"/>
        </w:rPr>
        <w:t>Negotiated Agreement.</w:t>
      </w:r>
      <w:bookmarkStart w:name="_Toc158593307" w:id="1326"/>
      <w:bookmarkStart w:name="_Toc158597586" w:id="1327"/>
      <w:bookmarkStart w:name="_Toc158720210" w:id="1328"/>
      <w:bookmarkStart w:name="_Toc158722964" w:id="1329"/>
      <w:bookmarkStart w:name="_Toc158929496" w:id="1330"/>
      <w:bookmarkEnd w:id="1322"/>
      <w:bookmarkEnd w:id="1323"/>
      <w:bookmarkEnd w:id="1324"/>
      <w:bookmarkEnd w:id="1325"/>
      <w:bookmarkEnd w:id="1326"/>
      <w:bookmarkEnd w:id="1327"/>
      <w:bookmarkEnd w:id="1328"/>
      <w:bookmarkEnd w:id="1329"/>
      <w:bookmarkEnd w:id="1330"/>
    </w:p>
    <w:p w:rsidRPr="00F40F9C" w:rsidR="00B76257" w:rsidP="00B76257" w:rsidRDefault="008B55A2" w14:paraId="02E03338" w14:textId="77777777">
      <w:pPr>
        <w:pStyle w:val="zGNormal"/>
      </w:pPr>
      <w:r>
        <w:t xml:space="preserve"> This PPA will be considered for all purposes as prepared through the joint efforts of the Parties and will not be construed against one Party or the other because of the preparation, substitution, or other event of negotiation, drafting or execution of this PPA.</w:t>
      </w:r>
    </w:p>
    <w:p w:rsidRPr="00F40F9C" w:rsidR="00B76257" w:rsidP="00B76257" w:rsidRDefault="008B55A2" w14:paraId="6E19ABB4" w14:textId="77777777">
      <w:pPr>
        <w:pStyle w:val="zGTC02"/>
        <w:rPr>
          <w:rFonts w:ascii="Arial" w:hAnsi="Arial" w:cs="Arial"/>
          <w:specVanish/>
        </w:rPr>
      </w:pPr>
      <w:bookmarkStart w:name="_Toc160749221" w:id="1331"/>
      <w:bookmarkStart w:name="_Toc194937588" w:id="1332"/>
      <w:bookmarkStart w:name="_Toc174624974" w:id="1333"/>
      <w:bookmarkStart w:name="_Toc227451633" w:id="1334"/>
      <w:r>
        <w:rPr>
          <w:rFonts w:ascii="Arial" w:hAnsi="Arial" w:cs="Arial"/>
        </w:rPr>
        <w:t>Confidentiality.</w:t>
      </w:r>
      <w:bookmarkStart w:name="_Toc158593308" w:id="1335"/>
      <w:bookmarkStart w:name="_Toc158597587" w:id="1336"/>
      <w:bookmarkStart w:name="_Toc158720211" w:id="1337"/>
      <w:bookmarkStart w:name="_Toc158722965" w:id="1338"/>
      <w:bookmarkStart w:name="_Toc158929497" w:id="1339"/>
      <w:bookmarkEnd w:id="1331"/>
      <w:bookmarkEnd w:id="1332"/>
      <w:bookmarkEnd w:id="1333"/>
      <w:bookmarkEnd w:id="1334"/>
      <w:bookmarkEnd w:id="1335"/>
      <w:bookmarkEnd w:id="1336"/>
      <w:bookmarkEnd w:id="1337"/>
      <w:bookmarkEnd w:id="1338"/>
      <w:bookmarkEnd w:id="1339"/>
    </w:p>
    <w:p w:rsidRPr="00F40F9C" w:rsidR="00B76257" w:rsidP="00C22140" w:rsidRDefault="008B55A2" w14:paraId="69DD19B8" w14:textId="77777777">
      <w:pPr>
        <w:pStyle w:val="zGTC03"/>
        <w:rPr>
          <w:vanish/>
          <w:specVanish/>
        </w:rPr>
      </w:pPr>
      <w:bookmarkStart w:name="_Toc158593309" w:id="1340"/>
      <w:bookmarkStart w:name="_Toc158597588" w:id="1341"/>
      <w:bookmarkStart w:name="_Toc158720212" w:id="1342"/>
      <w:bookmarkStart w:name="_Toc158722966" w:id="1343"/>
      <w:bookmarkStart w:name="_Toc158929498" w:id="1344"/>
      <w:bookmarkStart w:name="_Toc159141590" w:id="1345"/>
      <w:bookmarkEnd w:id="1340"/>
      <w:bookmarkEnd w:id="1341"/>
      <w:bookmarkEnd w:id="1342"/>
      <w:bookmarkEnd w:id="1343"/>
      <w:bookmarkEnd w:id="1344"/>
      <w:bookmarkEnd w:id="1345"/>
      <w:r>
        <w:t>Confidentiality Obligations.</w:t>
      </w:r>
    </w:p>
    <w:p w:rsidRPr="00F40F9C" w:rsidR="00B76257" w:rsidP="00B76257" w:rsidRDefault="008B55A2" w14:paraId="62308607" w14:textId="28556CFA">
      <w:pPr>
        <w:pStyle w:val="zGNormal"/>
      </w:pPr>
      <w:r>
        <w:t xml:space="preserve"> Each Party acknowledges that portions of this PPA contain Confidential Information and may require the Parties to disclose additional Confidential Information to one another. Each Party agrees that it will not, without the written consent of the other Party or as otherwise provided in this PPA, disclose a disclosing Party’s Confidential Information to any third </w:t>
      </w:r>
      <w:r>
        <w:lastRenderedPageBreak/>
        <w:t>party, except that receiving Party may disclose Confidential Information: (i) to its Affiliates, consultants, agents, advisors, the Renewable Resource Seller, if applicable, or actual and potential funding sources who: (a) need to know or have a contractual right to the information concerning the receiving Party’s performance of its obligations under this PPA; and (b) are subject to an obligation in writing or pursuant to a legally recognized fiduciary o</w:t>
      </w:r>
      <w:r w:rsidR="002966F9">
        <w:t>r</w:t>
      </w:r>
      <w:r>
        <w:t xml:space="preserve"> professional duty to maintain confidentiality of Confidential Information; (ii) to </w:t>
      </w:r>
      <w:r w:rsidR="000F3B3E">
        <w:t xml:space="preserve">its contractors, vendors, and purchasers who require access to the Confidential Information and are subject to legally binding confidentiality obligations that are at least as protective of the Confidential Information as those set forth in this PPA; </w:t>
      </w:r>
      <w:r>
        <w:t>and (ii</w:t>
      </w:r>
      <w:r w:rsidR="000F3B3E">
        <w:t>i</w:t>
      </w:r>
      <w:r>
        <w:t xml:space="preserve">) to the extent required by applicable law. Seller acknowledges and agrees that all price and payment information provided by GPC to Seller is Confidential Information. </w:t>
      </w:r>
    </w:p>
    <w:p w:rsidRPr="00F40F9C" w:rsidR="00B76257" w:rsidP="00C22140" w:rsidRDefault="008B55A2" w14:paraId="7A92A0BE" w14:textId="75FE823C">
      <w:pPr>
        <w:pStyle w:val="zGTC03"/>
        <w:rPr>
          <w:vanish/>
          <w:specVanish/>
        </w:rPr>
      </w:pPr>
      <w:r>
        <w:t xml:space="preserve">Disclosure of Confidential Information to </w:t>
      </w:r>
      <w:r w:rsidR="00E577CC">
        <w:t>a Governmental Authority</w:t>
      </w:r>
      <w:r>
        <w:t>.</w:t>
      </w:r>
    </w:p>
    <w:p w:rsidRPr="00F40F9C" w:rsidR="00B76257" w:rsidP="00B76257" w:rsidRDefault="008B55A2" w14:paraId="662D8FEF" w14:textId="25D60DBD">
      <w:pPr>
        <w:pStyle w:val="zGNormal"/>
      </w:pPr>
      <w:r>
        <w:t xml:space="preserve"> </w:t>
      </w:r>
      <w:r w:rsidR="00F253BC">
        <w:t xml:space="preserve">Each Party agrees that if applicable law requires the disclosure of Confidential Information to a Governmental Authority, including the Commission or FERC, the disclosing Party will take reasonable efforts to obtain protection from disclosure of such Confidential Information under the trade secret </w:t>
      </w:r>
      <w:r w:rsidR="00966E08">
        <w:t xml:space="preserve">rules or other rules concerning confidentiality </w:t>
      </w:r>
      <w:r w:rsidR="00F253BC">
        <w:t>of the applicable Governmental Authority; provided that nothing in this Section 20.16.2 (</w:t>
      </w:r>
      <w:r w:rsidRPr="00665B82" w:rsidR="00F253BC">
        <w:rPr>
          <w:i/>
          <w:iCs/>
        </w:rPr>
        <w:t>Disclosure of Confidential Information to a Governmental Authority</w:t>
      </w:r>
      <w:r w:rsidR="00F253BC">
        <w:t xml:space="preserve">) will require GPC to take any legal action against any Governmental Authority, including any requirement to appeal a determination concerning Confidential Information. </w:t>
      </w:r>
      <w:r w:rsidRPr="00C22425" w:rsidR="00F253BC">
        <w:t xml:space="preserve">Seller understands and acknowledges that certain terms, conditions, and provisions of this PPA </w:t>
      </w:r>
      <w:r w:rsidR="00F253BC">
        <w:t>must</w:t>
      </w:r>
      <w:r w:rsidRPr="00C22425" w:rsidR="00F253BC">
        <w:t xml:space="preserve"> be disclosed in connection with GPC’s regulatory obligations before the Commission, including the application for the Commission Certificate. </w:t>
      </w:r>
      <w:r w:rsidR="00F253BC">
        <w:t>GPC makes no</w:t>
      </w:r>
      <w:r w:rsidRPr="00C22425" w:rsidR="00F253BC">
        <w:t xml:space="preserve"> assurance or commitment regarding GPC’s ability to obtain requested confidential treatment from </w:t>
      </w:r>
      <w:r w:rsidR="00F253BC">
        <w:t>any Governmental Authority, including the</w:t>
      </w:r>
      <w:r w:rsidRPr="00C22425" w:rsidR="00F253BC">
        <w:t xml:space="preserve"> Commission</w:t>
      </w:r>
      <w:r w:rsidR="00F253BC">
        <w:t xml:space="preserve"> or FERC</w:t>
      </w:r>
      <w:r w:rsidR="005E0916">
        <w:t xml:space="preserve">.  </w:t>
      </w:r>
    </w:p>
    <w:p w:rsidRPr="00F40F9C" w:rsidR="00B76257" w:rsidP="00C22140" w:rsidRDefault="008B55A2" w14:paraId="4CE41AA1" w14:textId="77777777">
      <w:pPr>
        <w:pStyle w:val="zGTC03"/>
        <w:rPr>
          <w:vanish/>
          <w:specVanish/>
        </w:rPr>
      </w:pPr>
      <w:r>
        <w:t>Public Statements.</w:t>
      </w:r>
    </w:p>
    <w:p w:rsidRPr="00F40F9C" w:rsidR="00B76257" w:rsidP="00B76257" w:rsidRDefault="008B55A2" w14:paraId="65DE7B3C" w14:textId="550AF0E8">
      <w:pPr>
        <w:pStyle w:val="zGNormal"/>
      </w:pPr>
      <w:r>
        <w:rPr>
          <w:b/>
        </w:rPr>
        <w:t xml:space="preserve"> </w:t>
      </w:r>
      <w:r>
        <w:t>Any public statement or other announcement by a Party concerning the transaction described in this PPA will be reviewed and agreed upon by the Parties before release, which agreement will not be unreasonably withheld, conditioned, or delayed. Seller and its Affiliates must not issue any public statement (including any news release, internet, website, social media posting, or other publication) concerning: (i) this PPA or the transactions described in this PPA; (ii) the Facility with respect to this PPA; or (iii) Seller’s relationship with GPC without the communication first being reviewed and agreed upon by the Parties before release to the public. In addition, Seller is responsible for ensuring that its contractors, Affiliates, and contractual counterparties, and each of their respective employees, contractors, and agents, fully comply with this Section 20.16.</w:t>
      </w:r>
      <w:r w:rsidR="000F5B56">
        <w:t>3</w:t>
      </w:r>
      <w:r>
        <w:t xml:space="preserve"> (</w:t>
      </w:r>
      <w:r>
        <w:rPr>
          <w:i/>
        </w:rPr>
        <w:t>Public Statements</w:t>
      </w:r>
      <w:r>
        <w:t>).</w:t>
      </w:r>
    </w:p>
    <w:p w:rsidRPr="00F40F9C" w:rsidR="00B76257" w:rsidP="00C22140" w:rsidRDefault="008B55A2" w14:paraId="232AAA74" w14:textId="77777777">
      <w:pPr>
        <w:pStyle w:val="zGTC03"/>
        <w:rPr>
          <w:vanish/>
          <w:specVanish/>
        </w:rPr>
      </w:pPr>
      <w:r>
        <w:t xml:space="preserve"> Designation of Confidential Information.</w:t>
      </w:r>
    </w:p>
    <w:p w:rsidRPr="00F40F9C" w:rsidR="00B76257" w:rsidP="00B76257" w:rsidRDefault="008B55A2" w14:paraId="36D9EF12" w14:textId="77777777">
      <w:pPr>
        <w:pStyle w:val="zGNormal"/>
      </w:pPr>
      <w:r>
        <w:rPr>
          <w:b/>
        </w:rPr>
        <w:t xml:space="preserve"> </w:t>
      </w:r>
      <w:r>
        <w:rPr>
          <w:rFonts w:eastAsia="Arial"/>
        </w:rPr>
        <w:t>Confidential Information not designated by this PPA as Confidential Information must be designated in writing as confidential by the disclosing Party to the receiving Party contemporaneously with the supply of the information to the receiving Party. In addition to any information designated as Confidential Information in other sections of this PPA, the Parties designate the following information as Confidential Information: (i) PPA pricing and payment information; (ii) non-public Electric System information; and (iii) GPC technical requirements.</w:t>
      </w:r>
    </w:p>
    <w:p w:rsidRPr="00F40F9C" w:rsidR="00B76257" w:rsidP="00C22140" w:rsidRDefault="008B55A2" w14:paraId="61B55197" w14:textId="77777777">
      <w:pPr>
        <w:pStyle w:val="zGTC03"/>
        <w:rPr>
          <w:vanish/>
          <w:specVanish/>
        </w:rPr>
      </w:pPr>
      <w:r>
        <w:rPr>
          <w:rFonts w:eastAsia="Arial"/>
        </w:rPr>
        <w:t>GPC use of Facility Operational Data.</w:t>
      </w:r>
    </w:p>
    <w:p w:rsidRPr="00F40F9C" w:rsidR="00B76257" w:rsidP="00B76257" w:rsidRDefault="008B55A2" w14:paraId="0407F5B6" w14:textId="59652120">
      <w:pPr>
        <w:pStyle w:val="zGNormal"/>
      </w:pPr>
      <w:r>
        <w:t xml:space="preserve"> </w:t>
      </w:r>
      <w:r>
        <w:rPr>
          <w:rFonts w:eastAsia="Arial"/>
        </w:rPr>
        <w:t xml:space="preserve">Despite any other provision in this PPA, GPC may share Facility operational data (but not pricing information), including actual delivery data, </w:t>
      </w:r>
      <w:r w:rsidR="00DC3C2D">
        <w:rPr>
          <w:rFonts w:eastAsia="Arial"/>
        </w:rPr>
        <w:t xml:space="preserve">PHL estimate data and data components, </w:t>
      </w:r>
      <w:r>
        <w:rPr>
          <w:rFonts w:eastAsia="Arial"/>
        </w:rPr>
        <w:t>weather station data, and loss and efficiency data with third parties for the purpose of analysis, modeling, model development and validation, and forecasting.</w:t>
      </w:r>
    </w:p>
    <w:p w:rsidRPr="00F40F9C" w:rsidR="00B76257" w:rsidP="00C22140" w:rsidRDefault="008B55A2" w14:paraId="4069F127" w14:textId="77777777">
      <w:pPr>
        <w:pStyle w:val="zGTC03"/>
        <w:rPr>
          <w:vanish/>
          <w:specVanish/>
        </w:rPr>
      </w:pPr>
      <w:r>
        <w:t>Survival of Confidentiality Obligations.</w:t>
      </w:r>
    </w:p>
    <w:p w:rsidRPr="00F40F9C" w:rsidR="00B76257" w:rsidP="00B76257" w:rsidRDefault="008B55A2" w14:paraId="3B553B30" w14:textId="77777777">
      <w:pPr>
        <w:pStyle w:val="zGNormal"/>
      </w:pPr>
      <w:r>
        <w:t xml:space="preserve"> </w:t>
      </w:r>
      <w:r>
        <w:rPr>
          <w:rFonts w:eastAsia="PMingLiU"/>
        </w:rPr>
        <w:t>Despite any other PPA provision, the terms of this Section 20.16 (</w:t>
      </w:r>
      <w:r>
        <w:rPr>
          <w:rFonts w:eastAsia="PMingLiU"/>
          <w:i/>
        </w:rPr>
        <w:t>Confidentiality</w:t>
      </w:r>
      <w:r>
        <w:rPr>
          <w:rFonts w:eastAsia="PMingLiU"/>
        </w:rPr>
        <w:t>) will survive for a period of three years after the termination or expiration of this PPA, except that, to the extent any Confidential Information constitutes a “trade secret” under any applicable law, the receiving Party’s obligations under Section 20.16 will apply for the life of such trade secret.</w:t>
      </w:r>
    </w:p>
    <w:p w:rsidRPr="00F40F9C" w:rsidR="00B76257" w:rsidP="00B76257" w:rsidRDefault="008B55A2" w14:paraId="4FCC67FE" w14:textId="77777777">
      <w:pPr>
        <w:pStyle w:val="zGTC02"/>
        <w:rPr>
          <w:rFonts w:ascii="Arial" w:hAnsi="Arial" w:cs="Arial"/>
          <w:vanish/>
          <w:specVanish/>
        </w:rPr>
      </w:pPr>
      <w:bookmarkStart w:name="_Toc160749222" w:id="1346"/>
      <w:bookmarkStart w:name="_Toc194937589" w:id="1347"/>
      <w:bookmarkStart w:name="_Toc174624975" w:id="1348"/>
      <w:bookmarkStart w:name="_Toc227451634" w:id="1349"/>
      <w:r>
        <w:rPr>
          <w:rFonts w:ascii="Arial" w:hAnsi="Arial" w:cs="Arial"/>
        </w:rPr>
        <w:t>Contract Interpretation.</w:t>
      </w:r>
      <w:bookmarkStart w:name="_Toc158593311" w:id="1350"/>
      <w:bookmarkStart w:name="_Toc158597590" w:id="1351"/>
      <w:bookmarkStart w:name="_Toc158720214" w:id="1352"/>
      <w:bookmarkStart w:name="_Toc158722968" w:id="1353"/>
      <w:bookmarkStart w:name="_Toc158929500" w:id="1354"/>
      <w:bookmarkEnd w:id="1346"/>
      <w:bookmarkEnd w:id="1347"/>
      <w:bookmarkEnd w:id="1348"/>
      <w:bookmarkEnd w:id="1349"/>
      <w:bookmarkEnd w:id="1350"/>
      <w:bookmarkEnd w:id="1351"/>
      <w:bookmarkEnd w:id="1352"/>
      <w:bookmarkEnd w:id="1353"/>
      <w:bookmarkEnd w:id="1354"/>
    </w:p>
    <w:p w:rsidRPr="00F40F9C" w:rsidR="00B76257" w:rsidP="00B76257" w:rsidRDefault="008B55A2" w14:paraId="6FBE6705" w14:textId="77777777">
      <w:pPr>
        <w:pStyle w:val="zGNormal"/>
        <w:rPr>
          <w:rFonts w:eastAsia="Times New Roman"/>
        </w:rPr>
      </w:pPr>
      <w:r>
        <w:rPr>
          <w:rFonts w:eastAsia="Times New Roman"/>
        </w:rPr>
        <w:t xml:space="preserve"> Each exhibit, attachment, appendix, schedule, regulatory requirement, policy, procedure, standard, or other document attached to or referenced in this PPA (expressly including the </w:t>
      </w:r>
      <w:r>
        <w:rPr>
          <w:rFonts w:eastAsia="Times New Roman"/>
          <w:i/>
          <w:iCs/>
        </w:rPr>
        <w:t>Schedule of Defined Terms</w:t>
      </w:r>
      <w:r>
        <w:rPr>
          <w:rFonts w:eastAsia="Times New Roman"/>
        </w:rPr>
        <w:t xml:space="preserve">) is incorporated into, and is integral to, this PPA as if included in the main </w:t>
      </w:r>
      <w:r>
        <w:rPr>
          <w:rFonts w:eastAsia="Times New Roman"/>
        </w:rPr>
        <w:lastRenderedPageBreak/>
        <w:t>body. In this PPA and in all attached or incorporated documents: (i) whenever the term “</w:t>
      </w:r>
      <w:r>
        <w:rPr>
          <w:rFonts w:eastAsia="Times New Roman"/>
          <w:b/>
          <w:bCs/>
        </w:rPr>
        <w:t>include</w:t>
      </w:r>
      <w:r>
        <w:rPr>
          <w:rFonts w:eastAsia="Times New Roman"/>
        </w:rPr>
        <w:t>,” “</w:t>
      </w:r>
      <w:r>
        <w:rPr>
          <w:rFonts w:eastAsia="Times New Roman"/>
          <w:b/>
          <w:bCs/>
        </w:rPr>
        <w:t>including</w:t>
      </w:r>
      <w:r>
        <w:rPr>
          <w:rFonts w:eastAsia="Times New Roman"/>
        </w:rPr>
        <w:t>,” or “</w:t>
      </w:r>
      <w:r>
        <w:rPr>
          <w:rFonts w:eastAsia="Times New Roman"/>
          <w:b/>
          <w:bCs/>
        </w:rPr>
        <w:t>e.g.</w:t>
      </w:r>
      <w:r>
        <w:rPr>
          <w:rFonts w:eastAsia="Times New Roman"/>
        </w:rPr>
        <w:t>” is used in connection with a listing of items included within or an example of the prior reference, the listing will be interpreted to be illustrative only, and will not be interpreted as a limitation on or exclusive listing of the items included in the prior reference; and (ii) “</w:t>
      </w:r>
      <w:r>
        <w:rPr>
          <w:rFonts w:eastAsia="Times New Roman"/>
          <w:b/>
          <w:bCs/>
        </w:rPr>
        <w:t>or</w:t>
      </w:r>
      <w:r>
        <w:rPr>
          <w:rFonts w:eastAsia="Times New Roman"/>
        </w:rPr>
        <w:t>” means either or all (i.e., “A or B” means “A or B or both A and B”).</w:t>
      </w:r>
    </w:p>
    <w:p w:rsidRPr="00F40F9C" w:rsidR="00B76257" w:rsidP="00071516" w:rsidRDefault="008B55A2" w14:paraId="76830C4C" w14:textId="77777777">
      <w:pPr>
        <w:pStyle w:val="zGNormal"/>
        <w:spacing w:before="120" w:after="120"/>
        <w:rPr>
          <w:rFonts w:eastAsia="Times New Roman"/>
        </w:rPr>
      </w:pPr>
      <w:r>
        <w:rPr>
          <w:rFonts w:eastAsia="Times New Roman"/>
        </w:rPr>
        <w:t>Unless otherwise specified, a reference to a given agreement or document, and all the schedules, exhibits, appendices, and attachments to the agreement or document, will be a reference to that agreement or document as modified, amended, supplemented, or restated, and in effect from time to time. Whenever the term “</w:t>
      </w:r>
      <w:r>
        <w:rPr>
          <w:rFonts w:eastAsia="Times New Roman"/>
          <w:b/>
          <w:bCs/>
        </w:rPr>
        <w:t>consent</w:t>
      </w:r>
      <w:r>
        <w:rPr>
          <w:rFonts w:eastAsia="Times New Roman"/>
        </w:rPr>
        <w:t>” or “</w:t>
      </w:r>
      <w:r>
        <w:rPr>
          <w:rFonts w:eastAsia="Times New Roman"/>
          <w:b/>
          <w:bCs/>
        </w:rPr>
        <w:t>approval</w:t>
      </w:r>
      <w:r>
        <w:rPr>
          <w:rFonts w:eastAsia="Times New Roman"/>
        </w:rPr>
        <w:t>” is used, the consent or approval will not be unreasonably withheld, conditioned, or delayed by the consenting or approving Party, unless this PPA provides that the consent or approval is in the sole discretion of the consenting Party. If the Party has provided email contact information, “</w:t>
      </w:r>
      <w:r>
        <w:rPr>
          <w:rFonts w:eastAsia="Times New Roman"/>
          <w:b/>
          <w:bCs/>
        </w:rPr>
        <w:t>written</w:t>
      </w:r>
      <w:r>
        <w:rPr>
          <w:rFonts w:eastAsia="Times New Roman"/>
        </w:rPr>
        <w:t>” or “</w:t>
      </w:r>
      <w:r>
        <w:rPr>
          <w:rFonts w:eastAsia="Times New Roman"/>
          <w:b/>
          <w:bCs/>
        </w:rPr>
        <w:t>in writing</w:t>
      </w:r>
      <w:r>
        <w:rPr>
          <w:rFonts w:eastAsia="Times New Roman"/>
        </w:rPr>
        <w:t xml:space="preserve">” includes email communication, absent express statement otherwise. </w:t>
      </w:r>
    </w:p>
    <w:p w:rsidRPr="00F40F9C" w:rsidR="00B76257" w:rsidP="004B0BBF" w:rsidRDefault="008B55A2" w14:paraId="1C7BA597" w14:textId="77777777">
      <w:pPr>
        <w:pStyle w:val="zGNormal"/>
        <w:spacing w:before="120" w:after="120"/>
        <w:rPr>
          <w:rFonts w:eastAsia="Times New Roman"/>
        </w:rPr>
      </w:pPr>
      <w:r>
        <w:rPr>
          <w:rFonts w:eastAsia="Times New Roman"/>
        </w:rPr>
        <w:t xml:space="preserve">Reference to: (i) a Party or Person includes any allowed successor or assign; (ii) a regulatory authority includes an authority succeeding to the same function; and (iii) an applicable law is to the law as modified or amended and then effective. </w:t>
      </w:r>
      <w:r>
        <w:rPr>
          <w:rFonts w:eastAsia="PMingLiU"/>
        </w:rPr>
        <w:t xml:space="preserve">Reference to a PPA part by caption (e.g., </w:t>
      </w:r>
      <w:r>
        <w:rPr>
          <w:rFonts w:eastAsia="PMingLiU"/>
          <w:i/>
          <w:iCs/>
        </w:rPr>
        <w:t>Facility Operations</w:t>
      </w:r>
      <w:r>
        <w:rPr>
          <w:rFonts w:eastAsia="PMingLiU"/>
        </w:rPr>
        <w:t>) or number (e.g., Part 6 (</w:t>
      </w:r>
      <w:r>
        <w:rPr>
          <w:rFonts w:eastAsia="PMingLiU"/>
          <w:i/>
        </w:rPr>
        <w:t>Performance Security</w:t>
      </w:r>
      <w:r>
        <w:rPr>
          <w:rFonts w:eastAsia="PMingLiU"/>
        </w:rPr>
        <w:t>)) includes all separate sections (e.g., Section 6.2 (</w:t>
      </w:r>
      <w:r>
        <w:rPr>
          <w:rFonts w:eastAsia="PMingLiU"/>
          <w:i/>
        </w:rPr>
        <w:t>Replacement Collateral; Substituted Collateral; Release of Collateral</w:t>
      </w:r>
      <w:r>
        <w:rPr>
          <w:rFonts w:eastAsia="PMingLiU"/>
        </w:rPr>
        <w:t>) and subsections (</w:t>
      </w:r>
      <w:r w:rsidRPr="004B0BBF">
        <w:t>e.g</w:t>
      </w:r>
      <w:r>
        <w:rPr>
          <w:rFonts w:eastAsia="PMingLiU"/>
        </w:rPr>
        <w:t>., Section 6.2.1 (</w:t>
      </w:r>
      <w:r>
        <w:rPr>
          <w:rFonts w:eastAsia="PMingLiU"/>
          <w:i/>
          <w:iCs/>
        </w:rPr>
        <w:t>Replacement Collateral</w:t>
      </w:r>
      <w:r>
        <w:rPr>
          <w:rFonts w:eastAsia="PMingLiU"/>
        </w:rPr>
        <w:t>)) within that part and reference to a section by caption or number includes all separate clauses within that section.</w:t>
      </w:r>
      <w:r>
        <w:rPr>
          <w:rFonts w:eastAsia="Times New Roman"/>
        </w:rPr>
        <w:t xml:space="preserve"> To the extent there is a conflict between CPT and ET, CPT will prevail.</w:t>
      </w:r>
    </w:p>
    <w:p w:rsidRPr="00F40F9C" w:rsidR="00B76257" w:rsidP="00B76257" w:rsidRDefault="008B55A2" w14:paraId="4E8C4D93" w14:textId="77777777">
      <w:pPr>
        <w:pStyle w:val="zGNormal"/>
      </w:pPr>
      <w:r>
        <w:rPr>
          <w:rFonts w:eastAsia="Times New Roman"/>
        </w:rPr>
        <w:t>A defined term may be singular or plural, as the context requires, and, absent an express statement otherwise, each defined term has the same meaning in all PPA documents. Captions are for convenience only and do not affect PPA interpretation.</w:t>
      </w:r>
    </w:p>
    <w:p w:rsidRPr="00F40F9C" w:rsidR="00B76257" w:rsidP="00B76257" w:rsidRDefault="008B55A2" w14:paraId="7788D152" w14:textId="77777777">
      <w:pPr>
        <w:pStyle w:val="zGTC02"/>
        <w:rPr>
          <w:rFonts w:ascii="Arial" w:hAnsi="Arial" w:cs="Arial"/>
          <w:vanish/>
          <w:specVanish/>
        </w:rPr>
      </w:pPr>
      <w:bookmarkStart w:name="_Toc160749223" w:id="1355"/>
      <w:bookmarkStart w:name="_Toc194937590" w:id="1356"/>
      <w:bookmarkStart w:name="_Toc174624976" w:id="1357"/>
      <w:bookmarkStart w:name="_Toc227451635" w:id="1358"/>
      <w:r>
        <w:rPr>
          <w:rFonts w:ascii="Arial" w:hAnsi="Arial" w:cs="Arial"/>
        </w:rPr>
        <w:t>Replacement Index.</w:t>
      </w:r>
      <w:bookmarkStart w:name="_Toc158593312" w:id="1359"/>
      <w:bookmarkStart w:name="_Toc158597591" w:id="1360"/>
      <w:bookmarkStart w:name="_Toc158720215" w:id="1361"/>
      <w:bookmarkStart w:name="_Toc158722969" w:id="1362"/>
      <w:bookmarkStart w:name="_Toc158929501" w:id="1363"/>
      <w:bookmarkEnd w:id="1355"/>
      <w:bookmarkEnd w:id="1356"/>
      <w:bookmarkEnd w:id="1357"/>
      <w:bookmarkEnd w:id="1358"/>
      <w:bookmarkEnd w:id="1359"/>
      <w:bookmarkEnd w:id="1360"/>
      <w:bookmarkEnd w:id="1361"/>
      <w:bookmarkEnd w:id="1362"/>
      <w:bookmarkEnd w:id="1363"/>
    </w:p>
    <w:p w:rsidRPr="00F40F9C" w:rsidR="00B76257" w:rsidP="00B76257" w:rsidRDefault="008B55A2" w14:paraId="56D33D96" w14:textId="77777777">
      <w:pPr>
        <w:pStyle w:val="zGNormal"/>
      </w:pPr>
      <w:r>
        <w:t xml:space="preserve"> </w:t>
      </w:r>
      <w:r>
        <w:rPr>
          <w:w w:val="0"/>
        </w:rPr>
        <w:t>Should any index or tariff referenced in this PPA be discontinued, no longer published, or deemed unrepresentative, the Parties will cooperate in establishing substitute benchmarks through reference to equivalent indices or tariffs</w:t>
      </w:r>
      <w:r>
        <w:t>.</w:t>
      </w:r>
    </w:p>
    <w:p w:rsidRPr="00F40F9C" w:rsidR="00B76257" w:rsidP="00B76257" w:rsidRDefault="008B55A2" w14:paraId="00EE74A5" w14:textId="77777777">
      <w:pPr>
        <w:pStyle w:val="zGTC02"/>
        <w:rPr>
          <w:rFonts w:ascii="Arial" w:hAnsi="Arial" w:cs="Arial"/>
          <w:vanish/>
          <w:specVanish/>
        </w:rPr>
      </w:pPr>
      <w:bookmarkStart w:name="_Toc160749224" w:id="1364"/>
      <w:bookmarkStart w:name="_Toc194937591" w:id="1365"/>
      <w:bookmarkStart w:name="_Toc174624977" w:id="1366"/>
      <w:bookmarkStart w:name="_Toc227451636" w:id="1367"/>
      <w:r>
        <w:rPr>
          <w:rFonts w:ascii="Arial" w:hAnsi="Arial" w:cs="Arial"/>
        </w:rPr>
        <w:t>Recording.</w:t>
      </w:r>
      <w:bookmarkStart w:name="_Toc158593313" w:id="1368"/>
      <w:bookmarkStart w:name="_Toc158597592" w:id="1369"/>
      <w:bookmarkStart w:name="_Toc158720216" w:id="1370"/>
      <w:bookmarkStart w:name="_Toc158722970" w:id="1371"/>
      <w:bookmarkStart w:name="_Toc158929502" w:id="1372"/>
      <w:bookmarkEnd w:id="1364"/>
      <w:bookmarkEnd w:id="1365"/>
      <w:bookmarkEnd w:id="1366"/>
      <w:bookmarkEnd w:id="1367"/>
      <w:bookmarkEnd w:id="1368"/>
      <w:bookmarkEnd w:id="1369"/>
      <w:bookmarkEnd w:id="1370"/>
      <w:bookmarkEnd w:id="1371"/>
      <w:bookmarkEnd w:id="1372"/>
    </w:p>
    <w:p w:rsidRPr="00F40F9C" w:rsidR="00B76257" w:rsidP="00B76257" w:rsidRDefault="008B55A2" w14:paraId="56FD868D" w14:textId="77777777">
      <w:pPr>
        <w:pStyle w:val="zGNormal"/>
      </w:pPr>
      <w:r>
        <w:t xml:space="preserve"> Each Party acknowledges and consents to the tape or electronic recording of all telephone conversations between the Parties, and that any recordings will be retained in confidence, secured from improper access, and may be submitted in evidence in any proceeding or action relating to this PPA. Each Party waives any further notice of such monitoring or recording and agrees to notify its officers and employees of any monitoring or recording and to obtain any necessary consent of such officers and employees.</w:t>
      </w:r>
    </w:p>
    <w:p w:rsidRPr="00F40F9C" w:rsidR="00B76257" w:rsidP="00B76257" w:rsidRDefault="008B55A2" w14:paraId="571FBA4C" w14:textId="77777777">
      <w:pPr>
        <w:pStyle w:val="zGTC02"/>
        <w:rPr>
          <w:rFonts w:ascii="Arial" w:hAnsi="Arial" w:cs="Arial"/>
          <w:vanish/>
          <w:specVanish/>
        </w:rPr>
      </w:pPr>
      <w:bookmarkStart w:name="_Toc160749225" w:id="1373"/>
      <w:bookmarkStart w:name="_Toc194937592" w:id="1374"/>
      <w:bookmarkStart w:name="_Toc174624978" w:id="1375"/>
      <w:bookmarkStart w:name="_Toc227451637" w:id="1376"/>
      <w:r>
        <w:rPr>
          <w:rFonts w:ascii="Arial" w:hAnsi="Arial" w:cs="Arial"/>
        </w:rPr>
        <w:t>Further Assurances.</w:t>
      </w:r>
      <w:bookmarkStart w:name="_Toc158593314" w:id="1377"/>
      <w:bookmarkStart w:name="_Toc158597593" w:id="1378"/>
      <w:bookmarkStart w:name="_Toc158720217" w:id="1379"/>
      <w:bookmarkStart w:name="_Toc158722971" w:id="1380"/>
      <w:bookmarkStart w:name="_Toc158929503" w:id="1381"/>
      <w:bookmarkEnd w:id="1373"/>
      <w:bookmarkEnd w:id="1374"/>
      <w:bookmarkEnd w:id="1375"/>
      <w:bookmarkEnd w:id="1376"/>
      <w:bookmarkEnd w:id="1377"/>
      <w:bookmarkEnd w:id="1378"/>
      <w:bookmarkEnd w:id="1379"/>
      <w:bookmarkEnd w:id="1380"/>
      <w:bookmarkEnd w:id="1381"/>
    </w:p>
    <w:p w:rsidRPr="00F40F9C" w:rsidR="00B76257" w:rsidP="00B76257" w:rsidRDefault="008B55A2" w14:paraId="773ACA33" w14:textId="77777777">
      <w:pPr>
        <w:pStyle w:val="zGNormal"/>
      </w:pPr>
      <w:r>
        <w:t xml:space="preserve"> Each Party agrees to provide reasonable cooperation to the other Party as necessary to give effect to the terms of this PPA.</w:t>
      </w:r>
    </w:p>
    <w:p w:rsidRPr="00F40F9C" w:rsidR="00B76257" w:rsidP="00B76257" w:rsidRDefault="008B55A2" w14:paraId="256C0981" w14:textId="77777777">
      <w:pPr>
        <w:pStyle w:val="zGTC02"/>
        <w:rPr>
          <w:rFonts w:ascii="Arial" w:hAnsi="Arial" w:cs="Arial"/>
          <w:vanish/>
          <w:specVanish/>
        </w:rPr>
      </w:pPr>
      <w:bookmarkStart w:name="_Toc160749226" w:id="1382"/>
      <w:bookmarkStart w:name="_Toc194937593" w:id="1383"/>
      <w:bookmarkStart w:name="_Toc174624979" w:id="1384"/>
      <w:bookmarkStart w:name="_Toc227451638" w:id="1385"/>
      <w:r>
        <w:rPr>
          <w:rFonts w:ascii="Arial" w:hAnsi="Arial" w:cs="Arial"/>
        </w:rPr>
        <w:t>Transfer of Information Acknowledgement.</w:t>
      </w:r>
      <w:bookmarkStart w:name="_Toc158593315" w:id="1386"/>
      <w:bookmarkStart w:name="_Toc158597594" w:id="1387"/>
      <w:bookmarkStart w:name="_Toc158720218" w:id="1388"/>
      <w:bookmarkStart w:name="_Toc158722972" w:id="1389"/>
      <w:bookmarkStart w:name="_Toc158929504" w:id="1390"/>
      <w:bookmarkEnd w:id="1382"/>
      <w:bookmarkEnd w:id="1383"/>
      <w:bookmarkEnd w:id="1384"/>
      <w:bookmarkEnd w:id="1385"/>
      <w:bookmarkEnd w:id="1386"/>
      <w:bookmarkEnd w:id="1387"/>
      <w:bookmarkEnd w:id="1388"/>
      <w:bookmarkEnd w:id="1389"/>
      <w:bookmarkEnd w:id="1390"/>
    </w:p>
    <w:p w:rsidR="009A62C5" w:rsidP="00B76257" w:rsidRDefault="008B55A2" w14:paraId="3766F335" w14:textId="75ADDC00">
      <w:pPr>
        <w:pStyle w:val="zGNormal"/>
      </w:pPr>
      <w:r>
        <w:t xml:space="preserve"> Seller agrees to execute contemporaneous with the execution of this PPA, the Transfer of Information Acknowledgement attached as Exhibit </w:t>
      </w:r>
      <w:r w:rsidR="007534BF">
        <w:rPr>
          <w:bCs/>
        </w:rPr>
        <w:t>N</w:t>
      </w:r>
      <w:r>
        <w:t xml:space="preserve"> (</w:t>
      </w:r>
      <w:r>
        <w:rPr>
          <w:i/>
        </w:rPr>
        <w:t>Transfer of Information Acknowledgement</w:t>
      </w:r>
      <w:r>
        <w:t>), and GPC agrees to the limited use and confidential treatment of the information a</w:t>
      </w:r>
      <w:r w:rsidR="007C09A7">
        <w:t>s</w:t>
      </w:r>
      <w:r>
        <w:t xml:space="preserve"> set forth in Exhibit </w:t>
      </w:r>
      <w:r w:rsidR="007534BF">
        <w:t>N</w:t>
      </w:r>
      <w:r>
        <w:t>.</w:t>
      </w:r>
    </w:p>
    <w:p w:rsidRPr="00F40F9C" w:rsidR="0039739D" w:rsidP="0039739D" w:rsidRDefault="0039739D" w14:paraId="210745D5" w14:textId="5541D3C3">
      <w:pPr>
        <w:pStyle w:val="zGTC02"/>
        <w:rPr>
          <w:vanish/>
          <w:specVanish/>
        </w:rPr>
      </w:pPr>
      <w:r>
        <w:t xml:space="preserve">  </w:t>
      </w:r>
      <w:bookmarkStart w:name="_Toc227451639" w:id="1391"/>
      <w:r w:rsidR="0022366C">
        <w:t>Service Contract</w:t>
      </w:r>
      <w:r>
        <w:t>.</w:t>
      </w:r>
      <w:bookmarkEnd w:id="1391"/>
    </w:p>
    <w:p w:rsidRPr="00F40F9C" w:rsidR="009A62C5" w:rsidP="0022366C" w:rsidRDefault="0039739D" w14:paraId="026B4DD4" w14:textId="66755D9F">
      <w:pPr>
        <w:pStyle w:val="zGNormal"/>
      </w:pPr>
      <w:r>
        <w:t xml:space="preserve"> </w:t>
      </w:r>
      <w:r w:rsidR="0022366C">
        <w:t xml:space="preserve">Each Party </w:t>
      </w:r>
      <w:r w:rsidR="00D61358">
        <w:t>intends this PPA to be a “service contract” within the meaning of Section 7701(o) of the Internal Revenue Code of 1986.</w:t>
      </w:r>
    </w:p>
    <w:p w:rsidRPr="002C2CE9" w:rsidR="002D54C4" w:rsidP="000C5788" w:rsidRDefault="008B55A2" w14:paraId="155032A8" w14:textId="77777777">
      <w:pPr>
        <w:keepNext/>
        <w:keepLines/>
        <w:autoSpaceDE w:val="0"/>
        <w:autoSpaceDN w:val="0"/>
        <w:adjustRightInd w:val="0"/>
        <w:spacing w:before="240" w:after="240"/>
        <w:jc w:val="both"/>
        <w:rPr>
          <w:rFonts w:ascii="Arial" w:hAnsi="Arial" w:cs="Arial" w:eastAsiaTheme="minorEastAsia"/>
          <w:kern w:val="14"/>
          <w:sz w:val="20"/>
          <w:szCs w:val="20"/>
        </w:rPr>
      </w:pPr>
      <w:r>
        <w:rPr>
          <w:rFonts w:ascii="Arial" w:hAnsi="Arial" w:cs="Arial" w:eastAsiaTheme="minorEastAsia"/>
          <w:b/>
          <w:kern w:val="14"/>
          <w:sz w:val="20"/>
          <w:szCs w:val="20"/>
        </w:rPr>
        <w:t xml:space="preserve">Each Party </w:t>
      </w:r>
      <w:r>
        <w:rPr>
          <w:rFonts w:ascii="Arial" w:hAnsi="Arial" w:cs="Arial" w:eastAsiaTheme="minorEastAsia"/>
          <w:kern w:val="14"/>
          <w:sz w:val="20"/>
          <w:szCs w:val="20"/>
        </w:rPr>
        <w:t xml:space="preserve">agrees to all terms and conditions of this </w:t>
      </w:r>
      <w:r>
        <w:rPr>
          <w:rFonts w:ascii="Arial" w:hAnsi="Arial" w:eastAsia="Batang" w:cs="Arial"/>
          <w:kern w:val="14"/>
          <w:sz w:val="20"/>
          <w:szCs w:val="20"/>
        </w:rPr>
        <w:t>PPA as of the Effective Date (the date on which GPC signs, as shown below)</w:t>
      </w:r>
      <w:r>
        <w:rPr>
          <w:rFonts w:ascii="Arial" w:hAnsi="Arial" w:cs="Arial" w:eastAsiaTheme="minorEastAsia"/>
          <w:kern w:val="14"/>
          <w:sz w:val="20"/>
          <w:szCs w:val="20"/>
        </w:rPr>
        <w:t xml:space="preserve">. The Parties may exchange counterparts of this </w:t>
      </w:r>
      <w:r>
        <w:rPr>
          <w:rFonts w:ascii="Arial" w:hAnsi="Arial" w:eastAsia="Batang" w:cs="Arial"/>
          <w:kern w:val="14"/>
          <w:sz w:val="20"/>
          <w:szCs w:val="20"/>
        </w:rPr>
        <w:t>PPA</w:t>
      </w:r>
      <w:r>
        <w:rPr>
          <w:rFonts w:ascii="Arial" w:hAnsi="Arial" w:cs="Arial" w:eastAsiaTheme="minorEastAsia"/>
          <w:kern w:val="14"/>
          <w:sz w:val="20"/>
          <w:szCs w:val="20"/>
        </w:rPr>
        <w:t xml:space="preserve"> as a scanned image (e.g., .pdf or .tiff file extension) as an attachment to email. An electronic or scanned signature is an original signature for all purposes.</w:t>
      </w: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00AE51F9" w14:paraId="65FE6638"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DF0198" w:rsidR="002D54C4" w:rsidP="004B3A6B" w:rsidRDefault="008B55A2" w14:paraId="40B40CC1" w14:textId="77777777">
            <w:pPr>
              <w:keepNext/>
              <w:spacing w:after="0"/>
              <w:rPr>
                <w:rFonts w:ascii="Arial" w:hAnsi="Arial" w:cs="Arial"/>
                <w:b/>
                <w:w w:val="0"/>
                <w:sz w:val="24"/>
                <w:szCs w:val="24"/>
              </w:rPr>
            </w:pPr>
            <w:r>
              <w:rPr>
                <w:rFonts w:ascii="Arial" w:hAnsi="Arial" w:cs="Arial"/>
                <w:b/>
                <w:w w:val="0"/>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rsidRPr="00DF0198" w:rsidR="002D54C4" w:rsidP="004B3A6B" w:rsidRDefault="002D54C4" w14:paraId="565A2B05" w14:textId="77777777">
            <w:pPr>
              <w:keepNext/>
              <w:spacing w:after="0"/>
              <w:rPr>
                <w:rFonts w:ascii="Arial" w:hAnsi="Arial" w:cs="Arial"/>
                <w:b/>
                <w:w w:val="0"/>
                <w:sz w:val="24"/>
                <w:szCs w:val="24"/>
              </w:rPr>
            </w:pPr>
          </w:p>
        </w:tc>
        <w:tc>
          <w:tcPr>
            <w:tcW w:w="4907" w:type="dxa"/>
            <w:gridSpan w:val="2"/>
            <w:tcBorders>
              <w:top w:val="nil"/>
              <w:left w:val="nil"/>
              <w:bottom w:val="nil"/>
              <w:right w:val="nil"/>
            </w:tcBorders>
            <w:tcMar>
              <w:top w:w="0" w:type="dxa"/>
              <w:left w:w="29" w:type="dxa"/>
              <w:bottom w:w="0" w:type="dxa"/>
              <w:right w:w="29" w:type="dxa"/>
            </w:tcMar>
          </w:tcPr>
          <w:p w:rsidRPr="00DF0198" w:rsidR="002D54C4" w:rsidP="004B3A6B" w:rsidRDefault="008B55A2" w14:paraId="5C312FAA" w14:textId="77777777">
            <w:pPr>
              <w:keepNext/>
              <w:spacing w:after="0"/>
              <w:rPr>
                <w:rFonts w:ascii="Arial" w:hAnsi="Arial" w:cs="Arial"/>
                <w:b/>
                <w:w w:val="0"/>
                <w:sz w:val="24"/>
                <w:szCs w:val="24"/>
                <w:highlight w:val="yellow"/>
              </w:rPr>
            </w:pPr>
            <w:r>
              <w:rPr>
                <w:rFonts w:ascii="Arial" w:hAnsi="Arial" w:cs="Arial"/>
                <w:b/>
                <w:w w:val="0"/>
                <w:sz w:val="24"/>
                <w:szCs w:val="24"/>
                <w:highlight w:val="yellow"/>
              </w:rPr>
              <w:t>#SellerLegalName#</w:t>
            </w:r>
          </w:p>
        </w:tc>
      </w:tr>
      <w:tr w:rsidR="001F0233" w14:paraId="271C9C6B"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6BA46DE6" w14:textId="77777777">
            <w:pPr>
              <w:spacing w:after="0"/>
              <w:jc w:val="right"/>
              <w:rPr>
                <w:rFonts w:ascii="Arial" w:hAnsi="Arial" w:cs="Arial"/>
                <w:w w:val="0"/>
                <w:sz w:val="20"/>
                <w:szCs w:val="20"/>
              </w:rPr>
            </w:pPr>
            <w:r>
              <w:rPr>
                <w:rFonts w:ascii="Arial" w:hAnsi="Arial" w:cs="Arial"/>
                <w:w w:val="0"/>
                <w:sz w:val="20"/>
                <w:szCs w:val="20"/>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2C2CE9" w:rsidR="002D54C4" w:rsidP="004B3A6B" w:rsidRDefault="002D54C4" w14:paraId="1E18FE8D" w14:textId="77777777">
            <w:pPr>
              <w:spacing w:after="0"/>
              <w:jc w:val="right"/>
              <w:rPr>
                <w:rFonts w:ascii="Arial" w:hAnsi="Arial" w:cs="Arial"/>
                <w:w w:val="0"/>
                <w:sz w:val="20"/>
                <w:szCs w:val="20"/>
              </w:rPr>
            </w:pPr>
          </w:p>
        </w:tc>
        <w:tc>
          <w:tcPr>
            <w:tcW w:w="362"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3FEA3393" w14:textId="77777777">
            <w:pPr>
              <w:spacing w:after="0"/>
              <w:jc w:val="right"/>
              <w:rPr>
                <w:rFonts w:ascii="Arial" w:hAnsi="Arial" w:cs="Arial"/>
                <w:w w:val="0"/>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16C96BC4" w14:textId="77777777">
            <w:pPr>
              <w:spacing w:after="0"/>
              <w:jc w:val="right"/>
              <w:rPr>
                <w:rFonts w:ascii="Arial" w:hAnsi="Arial" w:cs="Arial"/>
                <w:w w:val="0"/>
                <w:sz w:val="20"/>
                <w:szCs w:val="20"/>
              </w:rPr>
            </w:pPr>
            <w:r>
              <w:rPr>
                <w:rFonts w:ascii="Arial" w:hAnsi="Arial" w:cs="Arial"/>
                <w:w w:val="0"/>
                <w:sz w:val="20"/>
                <w:szCs w:val="20"/>
              </w:rPr>
              <w:t>By:</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2C2CE9" w:rsidR="002D54C4" w:rsidP="004B3A6B" w:rsidRDefault="002D54C4" w14:paraId="4837FE1E" w14:textId="77777777">
            <w:pPr>
              <w:spacing w:after="0"/>
              <w:jc w:val="right"/>
              <w:rPr>
                <w:rFonts w:ascii="Arial" w:hAnsi="Arial" w:cs="Arial"/>
                <w:b/>
                <w:w w:val="0"/>
                <w:sz w:val="20"/>
                <w:szCs w:val="20"/>
                <w:u w:val="single"/>
              </w:rPr>
            </w:pPr>
          </w:p>
        </w:tc>
      </w:tr>
      <w:tr w:rsidR="00AE51F9" w14:paraId="598C3DCE" w14:textId="77777777">
        <w:tc>
          <w:tcPr>
            <w:tcW w:w="647"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0FA96E58" w14:textId="77777777">
            <w:pPr>
              <w:spacing w:after="0"/>
              <w:jc w:val="right"/>
              <w:rPr>
                <w:rFonts w:ascii="Arial" w:hAnsi="Arial" w:cs="Arial"/>
                <w:w w:val="0"/>
                <w:sz w:val="20"/>
                <w:szCs w:val="20"/>
              </w:rPr>
            </w:pPr>
          </w:p>
        </w:tc>
        <w:tc>
          <w:tcPr>
            <w:tcW w:w="4020"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71FAE5A8" w14:textId="77777777">
            <w:pPr>
              <w:spacing w:after="0"/>
              <w:rPr>
                <w:rFonts w:ascii="Arial" w:hAnsi="Arial" w:cs="Arial"/>
                <w:w w:val="0"/>
                <w:sz w:val="20"/>
                <w:szCs w:val="20"/>
                <w:highlight w:val="yellow"/>
              </w:rPr>
            </w:pPr>
            <w:r>
              <w:rPr>
                <w:rFonts w:ascii="Arial" w:hAnsi="Arial" w:cs="Arial"/>
                <w:w w:val="0"/>
                <w:sz w:val="20"/>
                <w:szCs w:val="20"/>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41494702" w14:textId="77777777">
            <w:pPr>
              <w:spacing w:after="0"/>
              <w:rPr>
                <w:rFonts w:ascii="Arial" w:hAnsi="Arial" w:cs="Arial"/>
                <w:w w:val="0"/>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3335DDA3" w14:textId="77777777">
            <w:pPr>
              <w:spacing w:after="0"/>
              <w:rPr>
                <w:rFonts w:ascii="Arial" w:hAnsi="Arial" w:cs="Arial"/>
                <w:w w:val="0"/>
                <w:sz w:val="20"/>
                <w:szCs w:val="20"/>
              </w:rPr>
            </w:pPr>
          </w:p>
        </w:tc>
        <w:tc>
          <w:tcPr>
            <w:tcW w:w="4207"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34847BC0" w14:textId="77777777">
            <w:pPr>
              <w:spacing w:after="0"/>
              <w:rPr>
                <w:rFonts w:ascii="Arial" w:hAnsi="Arial" w:cs="Arial"/>
                <w:w w:val="0"/>
                <w:sz w:val="20"/>
                <w:szCs w:val="20"/>
                <w:highlight w:val="yellow"/>
              </w:rPr>
            </w:pPr>
            <w:r>
              <w:rPr>
                <w:rFonts w:ascii="Arial" w:hAnsi="Arial" w:cs="Arial"/>
                <w:w w:val="0"/>
                <w:sz w:val="20"/>
                <w:szCs w:val="20"/>
                <w:highlight w:val="yellow"/>
              </w:rPr>
              <w:t>#SellerSignatureName</w:t>
            </w:r>
          </w:p>
        </w:tc>
      </w:tr>
      <w:tr w:rsidR="00AE51F9" w14:paraId="63F89298" w14:textId="77777777">
        <w:tc>
          <w:tcPr>
            <w:tcW w:w="647"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742BE57E" w14:textId="77777777">
            <w:pPr>
              <w:spacing w:after="0"/>
              <w:jc w:val="right"/>
              <w:rPr>
                <w:rFonts w:ascii="Arial" w:hAnsi="Arial" w:cs="Arial"/>
                <w:w w:val="0"/>
                <w:sz w:val="20"/>
                <w:szCs w:val="20"/>
              </w:rPr>
            </w:pPr>
          </w:p>
        </w:tc>
        <w:tc>
          <w:tcPr>
            <w:tcW w:w="4020"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531014EC" w14:textId="77777777">
            <w:pPr>
              <w:spacing w:after="0"/>
              <w:rPr>
                <w:rFonts w:ascii="Arial" w:hAnsi="Arial" w:cs="Arial"/>
                <w:w w:val="0"/>
                <w:sz w:val="20"/>
                <w:szCs w:val="20"/>
                <w:highlight w:val="yellow"/>
              </w:rPr>
            </w:pPr>
            <w:r>
              <w:rPr>
                <w:rFonts w:ascii="Arial" w:hAnsi="Arial" w:cs="Arial"/>
                <w:w w:val="0"/>
                <w:sz w:val="20"/>
                <w:szCs w:val="20"/>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2AFF8F35" w14:textId="77777777">
            <w:pPr>
              <w:spacing w:after="0"/>
              <w:rPr>
                <w:rFonts w:ascii="Arial" w:hAnsi="Arial" w:cs="Arial"/>
                <w:w w:val="0"/>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2925A631" w14:textId="77777777">
            <w:pPr>
              <w:spacing w:after="0"/>
              <w:rPr>
                <w:rFonts w:ascii="Arial" w:hAnsi="Arial" w:cs="Arial"/>
                <w:w w:val="0"/>
                <w:sz w:val="20"/>
                <w:szCs w:val="20"/>
              </w:rPr>
            </w:pPr>
          </w:p>
        </w:tc>
        <w:tc>
          <w:tcPr>
            <w:tcW w:w="4207"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246579A6" w14:textId="77777777">
            <w:pPr>
              <w:spacing w:after="0"/>
              <w:rPr>
                <w:rFonts w:ascii="Arial" w:hAnsi="Arial" w:cs="Arial"/>
                <w:w w:val="0"/>
                <w:sz w:val="20"/>
                <w:szCs w:val="20"/>
                <w:highlight w:val="yellow"/>
              </w:rPr>
            </w:pPr>
            <w:r>
              <w:rPr>
                <w:rFonts w:ascii="Arial" w:hAnsi="Arial" w:cs="Arial"/>
                <w:w w:val="0"/>
                <w:sz w:val="20"/>
                <w:szCs w:val="20"/>
                <w:highlight w:val="yellow"/>
              </w:rPr>
              <w:t>#SellerSignatureTitle</w:t>
            </w:r>
          </w:p>
        </w:tc>
      </w:tr>
      <w:tr w:rsidR="001F0233" w14:paraId="49C13803"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521CC163" w14:textId="77777777">
            <w:pPr>
              <w:spacing w:after="0"/>
              <w:jc w:val="right"/>
              <w:rPr>
                <w:rFonts w:ascii="Arial" w:hAnsi="Arial" w:cs="Arial"/>
                <w:w w:val="0"/>
                <w:sz w:val="20"/>
                <w:szCs w:val="20"/>
              </w:rPr>
            </w:pPr>
            <w:r>
              <w:rPr>
                <w:rFonts w:ascii="Arial" w:hAnsi="Arial" w:cs="Arial"/>
                <w:w w:val="0"/>
                <w:sz w:val="20"/>
                <w:szCs w:val="20"/>
              </w:rPr>
              <w:t>Date:</w:t>
            </w:r>
          </w:p>
        </w:tc>
        <w:tc>
          <w:tcPr>
            <w:tcW w:w="4020" w:type="dxa"/>
            <w:tcBorders>
              <w:top w:val="nil"/>
              <w:left w:val="nil"/>
              <w:bottom w:val="single" w:color="auto" w:sz="8" w:space="0"/>
              <w:right w:val="nil"/>
            </w:tcBorders>
            <w:tcMar>
              <w:top w:w="0" w:type="dxa"/>
              <w:left w:w="29" w:type="dxa"/>
              <w:bottom w:w="0" w:type="dxa"/>
              <w:right w:w="29" w:type="dxa"/>
            </w:tcMar>
            <w:vAlign w:val="bottom"/>
          </w:tcPr>
          <w:p w:rsidRPr="002C2CE9" w:rsidR="002D54C4" w:rsidP="004B3A6B" w:rsidRDefault="002D54C4" w14:paraId="3433C995" w14:textId="77777777">
            <w:pPr>
              <w:spacing w:after="0"/>
              <w:jc w:val="right"/>
              <w:rPr>
                <w:rFonts w:ascii="Arial" w:hAnsi="Arial" w:cs="Arial"/>
                <w:b/>
                <w:w w:val="0"/>
                <w:sz w:val="20"/>
                <w:szCs w:val="20"/>
                <w:u w:val="single"/>
              </w:rPr>
            </w:pPr>
          </w:p>
        </w:tc>
        <w:tc>
          <w:tcPr>
            <w:tcW w:w="362" w:type="dxa"/>
            <w:tcBorders>
              <w:top w:val="nil"/>
              <w:left w:val="nil"/>
              <w:bottom w:val="nil"/>
              <w:right w:val="nil"/>
            </w:tcBorders>
            <w:tcMar>
              <w:top w:w="0" w:type="dxa"/>
              <w:left w:w="29" w:type="dxa"/>
              <w:bottom w:w="0" w:type="dxa"/>
              <w:right w:w="29" w:type="dxa"/>
            </w:tcMar>
            <w:vAlign w:val="bottom"/>
          </w:tcPr>
          <w:p w:rsidRPr="002C2CE9" w:rsidR="002D54C4" w:rsidP="004B3A6B" w:rsidRDefault="002D54C4" w14:paraId="41C93212" w14:textId="77777777">
            <w:pPr>
              <w:spacing w:after="0"/>
              <w:jc w:val="right"/>
              <w:rPr>
                <w:rFonts w:ascii="Arial" w:hAnsi="Arial" w:cs="Arial"/>
                <w:w w:val="0"/>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2C2CE9" w:rsidR="002D54C4" w:rsidP="004B3A6B" w:rsidRDefault="008B55A2" w14:paraId="5E92A751" w14:textId="77777777">
            <w:pPr>
              <w:spacing w:after="0"/>
              <w:jc w:val="right"/>
              <w:rPr>
                <w:rFonts w:ascii="Arial" w:hAnsi="Arial" w:cs="Arial"/>
                <w:w w:val="0"/>
                <w:sz w:val="20"/>
                <w:szCs w:val="20"/>
              </w:rPr>
            </w:pPr>
            <w:r>
              <w:rPr>
                <w:rFonts w:ascii="Arial" w:hAnsi="Arial" w:cs="Arial"/>
                <w:w w:val="0"/>
                <w:sz w:val="20"/>
                <w:szCs w:val="20"/>
              </w:rPr>
              <w:t>Date:</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2C2CE9" w:rsidR="002D54C4" w:rsidP="004B3A6B" w:rsidRDefault="002D54C4" w14:paraId="3B29B2E8" w14:textId="77777777">
            <w:pPr>
              <w:spacing w:after="0"/>
              <w:jc w:val="right"/>
              <w:rPr>
                <w:rFonts w:ascii="Arial" w:hAnsi="Arial" w:cs="Arial"/>
                <w:b/>
                <w:w w:val="0"/>
                <w:sz w:val="20"/>
                <w:szCs w:val="20"/>
                <w:u w:val="single"/>
              </w:rPr>
            </w:pPr>
          </w:p>
        </w:tc>
      </w:tr>
    </w:tbl>
    <w:p w:rsidR="009E1554" w:rsidP="004B3A6B" w:rsidRDefault="009E1554" w14:paraId="148E9ABE" w14:textId="77777777">
      <w:pPr>
        <w:spacing w:after="0"/>
        <w:rPr>
          <w:rFonts w:eastAsia="Times New Roman" w:cs="Arial"/>
          <w:b/>
          <w:u w:val="single"/>
        </w:rPr>
      </w:pPr>
    </w:p>
    <w:p w:rsidR="00AC40EE" w:rsidRDefault="008B55A2" w14:paraId="3DD321B9" w14:textId="77777777">
      <w:pPr>
        <w:rPr>
          <w:rFonts w:eastAsia="Times New Roman" w:cs="Arial"/>
          <w:b/>
          <w:u w:val="single"/>
        </w:rPr>
        <w:sectPr w:rsidR="00AC40EE" w:rsidSect="00226062">
          <w:headerReference w:type="even" r:id="rId22"/>
          <w:footerReference w:type="even" r:id="rId23"/>
          <w:headerReference w:type="first" r:id="rId24"/>
          <w:footerReference w:type="first" r:id="rId25"/>
          <w:footnotePr>
            <w:numRestart w:val="eachSect"/>
          </w:footnotePr>
          <w:pgSz w:w="12240" w:h="15840" w:code="1"/>
          <w:pgMar w:top="1440" w:right="1440" w:bottom="1440" w:left="1440" w:header="720" w:footer="720" w:gutter="0"/>
          <w:paperSrc w:first="15" w:other="15"/>
          <w:cols w:space="1440"/>
        </w:sectPr>
      </w:pPr>
      <w:r>
        <w:rPr>
          <w:rFonts w:eastAsia="Times New Roman" w:cs="Arial"/>
          <w:b/>
          <w:u w:val="single"/>
        </w:rPr>
        <w:br w:type="page"/>
      </w:r>
    </w:p>
    <w:p w:rsidRPr="004B3A6B" w:rsidR="002D54C4" w:rsidP="004B3A6B" w:rsidRDefault="002D54C4" w14:paraId="67C1809C" w14:textId="77777777">
      <w:pPr>
        <w:spacing w:after="0"/>
        <w:rPr>
          <w:rFonts w:eastAsia="Times New Roman" w:cs="Arial"/>
          <w:b/>
          <w:u w:val="single"/>
        </w:rPr>
      </w:pPr>
    </w:p>
    <w:p w:rsidRPr="00A97A1C" w:rsidR="002D54C4" w:rsidP="002D54C4" w:rsidRDefault="008B55A2" w14:paraId="056FC8AD" w14:textId="7E817606">
      <w:pPr>
        <w:pStyle w:val="zGTitleExhibit"/>
        <w:rPr>
          <w:rFonts w:eastAsia="Calibri"/>
        </w:rPr>
      </w:pPr>
      <w:bookmarkStart w:name="_Toc160749227" w:id="1392"/>
      <w:bookmarkStart w:name="_Toc194937594" w:id="1393"/>
      <w:bookmarkStart w:name="_Toc227451640" w:id="1394"/>
      <w:r>
        <w:rPr>
          <w:rFonts w:eastAsia="Calibri"/>
        </w:rPr>
        <w:t xml:space="preserve">Exhibit A </w:t>
      </w:r>
      <w:r>
        <w:rPr>
          <w:rFonts w:eastAsia="Arial"/>
        </w:rPr>
        <w:t>–</w:t>
      </w:r>
      <w:r>
        <w:t xml:space="preserve"> </w:t>
      </w:r>
      <w:r>
        <w:rPr>
          <w:rFonts w:eastAsia="Calibri"/>
        </w:rPr>
        <w:t>Facility Description and Additional Details</w:t>
      </w:r>
      <w:bookmarkEnd w:id="1392"/>
      <w:bookmarkEnd w:id="1393"/>
      <w:bookmarkEnd w:id="1394"/>
    </w:p>
    <w:tbl>
      <w:tblPr>
        <w:tblStyle w:val="TableGrid"/>
        <w:tblW w:w="0" w:type="auto"/>
        <w:tblLook w:val="04A0" w:firstRow="1" w:lastRow="0" w:firstColumn="1" w:lastColumn="0" w:noHBand="0" w:noVBand="1"/>
      </w:tblPr>
      <w:tblGrid>
        <w:gridCol w:w="2245"/>
        <w:gridCol w:w="7105"/>
      </w:tblGrid>
      <w:tr w:rsidR="00AE51F9" w14:paraId="43354963" w14:textId="77777777">
        <w:tc>
          <w:tcPr>
            <w:tcW w:w="9350" w:type="dxa"/>
            <w:gridSpan w:val="2"/>
          </w:tcPr>
          <w:p w:rsidR="00D023B6" w:rsidP="00254AE8" w:rsidRDefault="008B55A2" w14:paraId="37F9E211" w14:textId="77777777">
            <w:pPr>
              <w:spacing w:after="120"/>
              <w:jc w:val="center"/>
              <w:rPr>
                <w:rFonts w:cs="Arial"/>
                <w:b/>
                <w:bCs/>
              </w:rPr>
            </w:pPr>
            <w:r>
              <w:rPr>
                <w:rFonts w:cs="Arial"/>
                <w:b/>
                <w:bCs/>
              </w:rPr>
              <w:t xml:space="preserve">Table A-1 </w:t>
            </w:r>
          </w:p>
          <w:p w:rsidRPr="00254AE8" w:rsidR="00D023B6" w:rsidP="00254AE8" w:rsidRDefault="008B55A2" w14:paraId="08626E7C" w14:textId="77777777">
            <w:pPr>
              <w:pStyle w:val="Subtitle-Bold"/>
              <w:spacing w:after="120"/>
              <w:rPr>
                <w:rFonts w:cs="Arial"/>
                <w:highlight w:val="yellow"/>
                <w:shd w:val="clear" w:color="auto" w:fill="E6E6E6"/>
              </w:rPr>
            </w:pPr>
            <w:r>
              <w:rPr>
                <w:rFonts w:cs="Arial"/>
              </w:rPr>
              <w:t>Facility and Site Information</w:t>
            </w:r>
          </w:p>
        </w:tc>
      </w:tr>
      <w:tr w:rsidR="00AE51F9" w14:paraId="4FD40057" w14:textId="77777777">
        <w:tc>
          <w:tcPr>
            <w:tcW w:w="2245" w:type="dxa"/>
          </w:tcPr>
          <w:p w:rsidRPr="00A83279" w:rsidR="00D023B6" w:rsidRDefault="008B55A2" w14:paraId="6E4D3999" w14:textId="77777777">
            <w:pPr>
              <w:spacing w:after="120"/>
              <w:jc w:val="left"/>
              <w:rPr>
                <w:b/>
                <w:bCs/>
              </w:rPr>
            </w:pPr>
            <w:r>
              <w:rPr>
                <w:rFonts w:cs="Arial"/>
                <w:b/>
                <w:bCs/>
              </w:rPr>
              <w:t>Site</w:t>
            </w:r>
          </w:p>
        </w:tc>
        <w:tc>
          <w:tcPr>
            <w:tcW w:w="7105" w:type="dxa"/>
          </w:tcPr>
          <w:p w:rsidR="00D023B6" w:rsidRDefault="008B55A2" w14:paraId="23A78C3C" w14:textId="77777777">
            <w:pPr>
              <w:spacing w:after="120"/>
              <w:rPr>
                <w:rFonts w:cs="Arial"/>
                <w:shd w:val="clear" w:color="auto" w:fill="E6E6E6"/>
              </w:rPr>
            </w:pPr>
            <w:r>
              <w:rPr>
                <w:rFonts w:cs="Arial"/>
                <w:highlight w:val="yellow"/>
                <w:shd w:val="clear" w:color="auto" w:fill="E6E6E6"/>
              </w:rPr>
              <w:t>#Street Address#</w:t>
            </w:r>
          </w:p>
          <w:p w:rsidR="00D023B6" w:rsidRDefault="008B55A2" w14:paraId="6DBB91C4" w14:textId="77777777">
            <w:pPr>
              <w:spacing w:after="120"/>
              <w:rPr>
                <w:b/>
                <w:bCs/>
              </w:rPr>
            </w:pPr>
            <w:r>
              <w:rPr>
                <w:rFonts w:cs="Arial"/>
                <w:highlight w:val="yellow"/>
              </w:rPr>
              <w:t>#City</w:t>
            </w:r>
            <w:r>
              <w:rPr>
                <w:rFonts w:cs="Arial"/>
              </w:rPr>
              <w:t xml:space="preserve">, </w:t>
            </w:r>
            <w:r>
              <w:rPr>
                <w:rFonts w:cs="Arial"/>
                <w:highlight w:val="yellow"/>
              </w:rPr>
              <w:t>#State</w:t>
            </w:r>
            <w:r>
              <w:rPr>
                <w:rFonts w:cs="Arial"/>
              </w:rPr>
              <w:t xml:space="preserve">, </w:t>
            </w:r>
            <w:r>
              <w:rPr>
                <w:rFonts w:cs="Arial"/>
                <w:highlight w:val="yellow"/>
              </w:rPr>
              <w:t>#ZipCode</w:t>
            </w:r>
          </w:p>
        </w:tc>
      </w:tr>
      <w:tr w:rsidR="00AE51F9" w14:paraId="72491CC4" w14:textId="77777777">
        <w:tc>
          <w:tcPr>
            <w:tcW w:w="2245" w:type="dxa"/>
          </w:tcPr>
          <w:p w:rsidR="00D023B6" w:rsidRDefault="008B55A2" w14:paraId="131DF86D" w14:textId="77777777">
            <w:pPr>
              <w:spacing w:after="120"/>
              <w:jc w:val="left"/>
              <w:rPr>
                <w:b/>
                <w:bCs/>
              </w:rPr>
            </w:pPr>
            <w:r>
              <w:rPr>
                <w:b/>
                <w:bCs/>
              </w:rPr>
              <w:t>GPS Coordinates</w:t>
            </w:r>
          </w:p>
        </w:tc>
        <w:tc>
          <w:tcPr>
            <w:tcW w:w="7105" w:type="dxa"/>
          </w:tcPr>
          <w:p w:rsidR="00D023B6" w:rsidRDefault="008B55A2" w14:paraId="7FD039DF" w14:textId="77777777">
            <w:pPr>
              <w:spacing w:after="120"/>
              <w:rPr>
                <w:b/>
                <w:bCs/>
              </w:rPr>
            </w:pPr>
            <w:r>
              <w:rPr>
                <w:highlight w:val="yellow"/>
              </w:rPr>
              <w:t>#Latitude</w:t>
            </w:r>
            <w:r>
              <w:t xml:space="preserve">, </w:t>
            </w:r>
            <w:r>
              <w:rPr>
                <w:highlight w:val="yellow"/>
              </w:rPr>
              <w:t>#Longitude</w:t>
            </w:r>
            <w:r>
              <w:t xml:space="preserve"> </w:t>
            </w:r>
          </w:p>
        </w:tc>
      </w:tr>
      <w:tr w:rsidR="00AE51F9" w14:paraId="2AADB52F" w14:textId="77777777">
        <w:tc>
          <w:tcPr>
            <w:tcW w:w="2245" w:type="dxa"/>
          </w:tcPr>
          <w:p w:rsidR="00D023B6" w:rsidRDefault="008B55A2" w14:paraId="79E175AC" w14:textId="77777777">
            <w:pPr>
              <w:jc w:val="left"/>
              <w:rPr>
                <w:b/>
                <w:bCs/>
              </w:rPr>
            </w:pPr>
            <w:r>
              <w:rPr>
                <w:b/>
                <w:bCs/>
              </w:rPr>
              <w:t>Seller Information</w:t>
            </w:r>
          </w:p>
        </w:tc>
        <w:tc>
          <w:tcPr>
            <w:tcW w:w="7105" w:type="dxa"/>
          </w:tcPr>
          <w:p w:rsidRPr="00BA67EA" w:rsidR="00D023B6" w:rsidRDefault="008B55A2" w14:paraId="596C4C08" w14:textId="77777777">
            <w:pPr>
              <w:rPr>
                <w:highlight w:val="yellow"/>
              </w:rPr>
            </w:pPr>
            <w:r>
              <w:rPr>
                <w:rFonts w:cs="Arial"/>
                <w:highlight w:val="yellow"/>
              </w:rPr>
              <w:t>#SellerName</w:t>
            </w:r>
            <w:r>
              <w:rPr>
                <w:rFonts w:cs="Arial"/>
              </w:rPr>
              <w:t xml:space="preserve">, a </w:t>
            </w:r>
            <w:r>
              <w:rPr>
                <w:rFonts w:cs="Arial"/>
                <w:highlight w:val="yellow"/>
              </w:rPr>
              <w:t>#Seller Entity Type#</w:t>
            </w:r>
            <w:r>
              <w:rPr>
                <w:rFonts w:cs="Arial"/>
              </w:rPr>
              <w:t xml:space="preserve">, organized under the laws of the state of </w:t>
            </w:r>
            <w:r>
              <w:rPr>
                <w:rFonts w:cs="Arial"/>
                <w:highlight w:val="yellow"/>
              </w:rPr>
              <w:t>#State#</w:t>
            </w:r>
          </w:p>
        </w:tc>
      </w:tr>
      <w:tr w:rsidR="00AE51F9" w14:paraId="044FC0FE" w14:textId="77777777">
        <w:tc>
          <w:tcPr>
            <w:tcW w:w="2245" w:type="dxa"/>
          </w:tcPr>
          <w:p w:rsidR="00D023B6" w:rsidRDefault="008B55A2" w14:paraId="650CA397" w14:textId="77777777">
            <w:pPr>
              <w:spacing w:after="120"/>
              <w:jc w:val="left"/>
              <w:rPr>
                <w:b/>
                <w:bCs/>
              </w:rPr>
            </w:pPr>
            <w:r>
              <w:rPr>
                <w:b/>
                <w:bCs/>
              </w:rPr>
              <w:t>IC Number</w:t>
            </w:r>
          </w:p>
        </w:tc>
        <w:tc>
          <w:tcPr>
            <w:tcW w:w="7105" w:type="dxa"/>
          </w:tcPr>
          <w:p w:rsidR="00D023B6" w:rsidRDefault="008B55A2" w14:paraId="30ECB7B1" w14:textId="77777777">
            <w:pPr>
              <w:spacing w:after="120"/>
              <w:rPr>
                <w:b/>
                <w:bCs/>
              </w:rPr>
            </w:pPr>
            <w:r>
              <w:rPr>
                <w:rFonts w:cs="Arial"/>
                <w:highlight w:val="yellow"/>
              </w:rPr>
              <w:t>IC-#InterconnectionID#</w:t>
            </w:r>
          </w:p>
        </w:tc>
      </w:tr>
      <w:tr w:rsidR="00AE51F9" w14:paraId="1E934C8B" w14:textId="77777777">
        <w:tc>
          <w:tcPr>
            <w:tcW w:w="2245" w:type="dxa"/>
          </w:tcPr>
          <w:p w:rsidR="00D023B6" w:rsidRDefault="008B55A2" w14:paraId="02AB92E4" w14:textId="77777777">
            <w:pPr>
              <w:spacing w:after="120"/>
              <w:jc w:val="left"/>
              <w:rPr>
                <w:b/>
                <w:bCs/>
              </w:rPr>
            </w:pPr>
            <w:r>
              <w:rPr>
                <w:rFonts w:cs="Arial"/>
                <w:b/>
                <w:bCs/>
              </w:rPr>
              <w:t>Facility Description</w:t>
            </w:r>
          </w:p>
        </w:tc>
        <w:tc>
          <w:tcPr>
            <w:tcW w:w="7105" w:type="dxa"/>
          </w:tcPr>
          <w:p w:rsidRPr="00691DD2" w:rsidR="00D023B6" w:rsidRDefault="008B55A2" w14:paraId="0B2ED44D" w14:textId="50B9A149">
            <w:pPr>
              <w:spacing w:after="120"/>
            </w:pPr>
            <w:r>
              <w:t xml:space="preserve">The </w:t>
            </w:r>
            <w:r>
              <w:rPr>
                <w:highlight w:val="yellow"/>
              </w:rPr>
              <w:t>#Number</w:t>
            </w:r>
            <w:r>
              <w:t xml:space="preserve"> MW BESS at the </w:t>
            </w:r>
            <w:r>
              <w:rPr>
                <w:highlight w:val="yellow"/>
              </w:rPr>
              <w:t>#FacilityName</w:t>
            </w:r>
            <w:r>
              <w:t>, interconnected to the Southern Company Transmission System at the POI.</w:t>
            </w:r>
          </w:p>
        </w:tc>
      </w:tr>
      <w:tr w:rsidR="00AE51F9" w:rsidTr="004B0BBF" w14:paraId="68BF4409" w14:textId="77777777">
        <w:trPr>
          <w:trHeight w:val="73"/>
        </w:trPr>
        <w:tc>
          <w:tcPr>
            <w:tcW w:w="2245" w:type="dxa"/>
          </w:tcPr>
          <w:p w:rsidR="00D023B6" w:rsidRDefault="008B55A2" w14:paraId="13EC2E4E" w14:textId="77777777">
            <w:pPr>
              <w:spacing w:after="120"/>
              <w:jc w:val="left"/>
              <w:rPr>
                <w:b/>
                <w:bCs/>
              </w:rPr>
            </w:pPr>
            <w:r>
              <w:rPr>
                <w:b/>
                <w:bCs/>
              </w:rPr>
              <w:t>POI</w:t>
            </w:r>
          </w:p>
        </w:tc>
        <w:tc>
          <w:tcPr>
            <w:tcW w:w="7105" w:type="dxa"/>
          </w:tcPr>
          <w:p w:rsidRPr="00691DD2" w:rsidR="00D023B6" w:rsidRDefault="008B55A2" w14:paraId="66B92B4E" w14:textId="7C6D5EBC">
            <w:pPr>
              <w:spacing w:after="120"/>
            </w:pPr>
            <w:r>
              <w:rPr>
                <w:highlight w:val="yellow"/>
              </w:rPr>
              <w:t>#DescribeLocation</w:t>
            </w:r>
            <w:r w:rsidRPr="004B0BBF">
              <w:rPr>
                <w:highlight w:val="yellow"/>
              </w:rPr>
              <w:t xml:space="preserve"> (further described in the IA</w:t>
            </w:r>
            <w:r>
              <w:rPr>
                <w:highlight w:val="yellow"/>
              </w:rPr>
              <w:t>), which is the same for the Facility and Renewable Resource if the BESS is paired with a Renewable Resource</w:t>
            </w:r>
          </w:p>
        </w:tc>
      </w:tr>
      <w:tr w:rsidR="00AE51F9" w14:paraId="6D664D39" w14:textId="77777777">
        <w:trPr>
          <w:trHeight w:val="58"/>
        </w:trPr>
        <w:tc>
          <w:tcPr>
            <w:tcW w:w="2245" w:type="dxa"/>
          </w:tcPr>
          <w:p w:rsidR="00115ED7" w:rsidP="00115ED7" w:rsidRDefault="008B55A2" w14:paraId="0CA1F69F" w14:textId="160FED48">
            <w:pPr>
              <w:spacing w:after="120"/>
              <w:jc w:val="left"/>
              <w:rPr>
                <w:b/>
                <w:bCs/>
              </w:rPr>
            </w:pPr>
            <w:r>
              <w:rPr>
                <w:b/>
                <w:bCs/>
              </w:rPr>
              <w:t xml:space="preserve">Renewable Resource </w:t>
            </w:r>
            <w:r w:rsidR="00EA4471">
              <w:rPr>
                <w:b/>
                <w:bCs/>
              </w:rPr>
              <w:t>Name</w:t>
            </w:r>
            <w:r>
              <w:rPr>
                <w:b/>
                <w:bCs/>
              </w:rPr>
              <w:t xml:space="preserve"> (if Facility is Paired with Renewable Resource)</w:t>
            </w:r>
          </w:p>
        </w:tc>
        <w:tc>
          <w:tcPr>
            <w:tcW w:w="7105" w:type="dxa"/>
          </w:tcPr>
          <w:p w:rsidRPr="00115ED7" w:rsidR="00115ED7" w:rsidRDefault="008B55A2" w14:paraId="3C7EF413" w14:textId="4C8E1B7F">
            <w:pPr>
              <w:spacing w:after="120"/>
              <w:rPr>
                <w:highlight w:val="yellow"/>
              </w:rPr>
            </w:pPr>
            <w:r>
              <w:rPr>
                <w:highlight w:val="yellow"/>
              </w:rPr>
              <w:t>#RenewableResourceName</w:t>
            </w:r>
            <w:r>
              <w:rPr>
                <w:b/>
                <w:bCs/>
                <w:i/>
                <w:iCs/>
                <w:color w:val="FF0000"/>
                <w:highlight w:val="cyan"/>
                <w:u w:val="single"/>
              </w:rPr>
              <w:t>OR</w:t>
            </w:r>
            <w:r>
              <w:rPr>
                <w:highlight w:val="yellow"/>
              </w:rPr>
              <w:t>#N/A</w:t>
            </w:r>
          </w:p>
        </w:tc>
      </w:tr>
      <w:tr w:rsidR="00AE51F9" w14:paraId="30B2736F" w14:textId="77777777">
        <w:trPr>
          <w:trHeight w:val="58"/>
        </w:trPr>
        <w:tc>
          <w:tcPr>
            <w:tcW w:w="2245" w:type="dxa"/>
          </w:tcPr>
          <w:p w:rsidR="00936020" w:rsidP="00310048" w:rsidRDefault="008B55A2" w14:paraId="08AD7920" w14:textId="60BAB0FF">
            <w:pPr>
              <w:spacing w:after="120"/>
              <w:jc w:val="left"/>
              <w:rPr>
                <w:b/>
                <w:bCs/>
              </w:rPr>
            </w:pPr>
            <w:r>
              <w:rPr>
                <w:b/>
                <w:bCs/>
              </w:rPr>
              <w:t>Renewable Resource PPA</w:t>
            </w:r>
            <w:r w:rsidR="00310048">
              <w:rPr>
                <w:b/>
                <w:bCs/>
              </w:rPr>
              <w:t xml:space="preserve"> (if Facility is Paired with Renewable Resource)</w:t>
            </w:r>
          </w:p>
        </w:tc>
        <w:tc>
          <w:tcPr>
            <w:tcW w:w="7105" w:type="dxa"/>
          </w:tcPr>
          <w:p w:rsidR="00936020" w:rsidRDefault="00077A9E" w14:paraId="020C6605" w14:textId="14B7173E">
            <w:pPr>
              <w:spacing w:after="120"/>
              <w:rPr>
                <w:highlight w:val="yellow"/>
              </w:rPr>
            </w:pPr>
            <w:r>
              <w:rPr>
                <w:highlight w:val="yellow"/>
              </w:rPr>
              <w:t>#Name</w:t>
            </w:r>
            <w:r w:rsidR="00E534CB">
              <w:rPr>
                <w:highlight w:val="yellow"/>
              </w:rPr>
              <w:t>AndDate</w:t>
            </w:r>
            <w:r>
              <w:rPr>
                <w:highlight w:val="yellow"/>
              </w:rPr>
              <w:t>ofRenewableResourcePPA</w:t>
            </w:r>
          </w:p>
        </w:tc>
      </w:tr>
    </w:tbl>
    <w:p w:rsidR="00D023B6" w:rsidP="004B0BBF" w:rsidRDefault="00D023B6" w14:paraId="490323D8" w14:textId="77777777">
      <w:pPr>
        <w:pStyle w:val="zG01"/>
        <w:numPr>
          <w:ilvl w:val="0"/>
          <w:numId w:val="0"/>
        </w:numPr>
        <w:spacing w:before="120" w:after="120"/>
      </w:pPr>
    </w:p>
    <w:tbl>
      <w:tblPr>
        <w:tblStyle w:val="TableGrid"/>
        <w:tblW w:w="0" w:type="auto"/>
        <w:tblLook w:val="04A0" w:firstRow="1" w:lastRow="0" w:firstColumn="1" w:lastColumn="0" w:noHBand="0" w:noVBand="1"/>
      </w:tblPr>
      <w:tblGrid>
        <w:gridCol w:w="2245"/>
        <w:gridCol w:w="7105"/>
      </w:tblGrid>
      <w:tr w:rsidR="00AE51F9" w14:paraId="7F2A6318" w14:textId="77777777">
        <w:tc>
          <w:tcPr>
            <w:tcW w:w="9350" w:type="dxa"/>
            <w:gridSpan w:val="2"/>
          </w:tcPr>
          <w:p w:rsidR="00D023B6" w:rsidP="00254AE8" w:rsidRDefault="008B55A2" w14:paraId="188300FE" w14:textId="77777777">
            <w:pPr>
              <w:spacing w:after="120"/>
              <w:jc w:val="center"/>
              <w:rPr>
                <w:b/>
                <w:bCs/>
              </w:rPr>
            </w:pPr>
            <w:r>
              <w:rPr>
                <w:b/>
                <w:bCs/>
              </w:rPr>
              <w:t xml:space="preserve">Table A-2 </w:t>
            </w:r>
          </w:p>
          <w:p w:rsidRPr="005842CD" w:rsidR="00D023B6" w:rsidP="00254AE8" w:rsidRDefault="008B55A2" w14:paraId="74C9DCD9" w14:textId="0AD83DBF">
            <w:pPr>
              <w:spacing w:after="120"/>
              <w:jc w:val="center"/>
              <w:rPr>
                <w:b/>
                <w:bCs/>
                <w:highlight w:val="yellow"/>
              </w:rPr>
            </w:pPr>
            <w:r>
              <w:rPr>
                <w:b/>
                <w:bCs/>
              </w:rPr>
              <w:t>Term, RCOD</w:t>
            </w:r>
          </w:p>
        </w:tc>
      </w:tr>
      <w:tr w:rsidR="00AE51F9" w14:paraId="19927CD3" w14:textId="77777777">
        <w:tc>
          <w:tcPr>
            <w:tcW w:w="2245" w:type="dxa"/>
          </w:tcPr>
          <w:p w:rsidRPr="009222E0" w:rsidR="00D023B6" w:rsidP="00254AE8" w:rsidRDefault="008B55A2" w14:paraId="18289013" w14:textId="77777777">
            <w:pPr>
              <w:spacing w:after="120"/>
              <w:jc w:val="left"/>
              <w:rPr>
                <w:b/>
                <w:iCs/>
              </w:rPr>
            </w:pPr>
            <w:r>
              <w:rPr>
                <w:b/>
                <w:bCs/>
              </w:rPr>
              <w:t>Term</w:t>
            </w:r>
          </w:p>
        </w:tc>
        <w:tc>
          <w:tcPr>
            <w:tcW w:w="7105" w:type="dxa"/>
          </w:tcPr>
          <w:p w:rsidRPr="0006084B" w:rsidR="00D023B6" w:rsidP="00254AE8" w:rsidRDefault="008B55A2" w14:paraId="672BE238" w14:textId="42184A7E">
            <w:pPr>
              <w:spacing w:after="120"/>
              <w:rPr>
                <w:iCs/>
              </w:rPr>
            </w:pPr>
            <w:r>
              <w:rPr>
                <w:highlight w:val="yellow"/>
              </w:rPr>
              <w:t>#NumberBetween</w:t>
            </w:r>
            <w:r w:rsidR="006D6DBC">
              <w:rPr>
                <w:highlight w:val="yellow"/>
              </w:rPr>
              <w:t>Five</w:t>
            </w:r>
            <w:r>
              <w:rPr>
                <w:highlight w:val="yellow"/>
              </w:rPr>
              <w:t>And</w:t>
            </w:r>
            <w:r w:rsidRPr="008C0589" w:rsidR="008C0589">
              <w:rPr>
                <w:highlight w:val="yellow"/>
              </w:rPr>
              <w:t>Thirty</w:t>
            </w:r>
            <w:r>
              <w:t xml:space="preserve"> Annual Periods</w:t>
            </w:r>
          </w:p>
        </w:tc>
      </w:tr>
      <w:tr w:rsidR="00AE51F9" w14:paraId="5A6FDFAB" w14:textId="77777777">
        <w:tc>
          <w:tcPr>
            <w:tcW w:w="2245" w:type="dxa"/>
          </w:tcPr>
          <w:p w:rsidRPr="009222E0" w:rsidR="00D023B6" w:rsidP="00254AE8" w:rsidRDefault="008B55A2" w14:paraId="23CB7582" w14:textId="77777777">
            <w:pPr>
              <w:spacing w:after="120"/>
              <w:jc w:val="left"/>
              <w:rPr>
                <w:b/>
                <w:iCs/>
              </w:rPr>
            </w:pPr>
            <w:r>
              <w:rPr>
                <w:rFonts w:cs="Arial"/>
                <w:b/>
                <w:bCs/>
              </w:rPr>
              <w:t>RCOD:</w:t>
            </w:r>
          </w:p>
        </w:tc>
        <w:tc>
          <w:tcPr>
            <w:tcW w:w="7105" w:type="dxa"/>
          </w:tcPr>
          <w:p w:rsidR="00D023B6" w:rsidP="00254AE8" w:rsidRDefault="008B55A2" w14:paraId="4F67C14F" w14:textId="77777777">
            <w:pPr>
              <w:spacing w:after="120"/>
              <w:rPr>
                <w:bCs/>
                <w:iCs/>
              </w:rPr>
            </w:pPr>
            <w:r>
              <w:rPr>
                <w:rFonts w:cs="Arial"/>
                <w:highlight w:val="yellow"/>
              </w:rPr>
              <w:t>#Month #Day, #Year</w:t>
            </w:r>
          </w:p>
        </w:tc>
      </w:tr>
    </w:tbl>
    <w:p w:rsidRPr="004B0BBF" w:rsidR="00D023B6" w:rsidP="00D023B6" w:rsidRDefault="008B55A2" w14:paraId="6045D532" w14:textId="6D459341">
      <w:pPr>
        <w:widowControl w:val="0"/>
        <w:rPr>
          <w:rFonts w:ascii="Arial" w:hAnsi="Arial"/>
          <w:sz w:val="20"/>
        </w:rPr>
      </w:pPr>
      <w:r>
        <w:rPr>
          <w:rFonts w:ascii="Arial" w:hAnsi="Arial" w:cs="Arial"/>
          <w:b/>
          <w:sz w:val="20"/>
          <w:szCs w:val="20"/>
          <w:highlight w:val="yellow"/>
        </w:rPr>
        <w:t>[</w:t>
      </w:r>
      <w:r>
        <w:rPr>
          <w:rFonts w:ascii="Arial" w:hAnsi="Arial" w:cs="Arial"/>
          <w:b/>
          <w:i/>
          <w:iCs/>
          <w:sz w:val="20"/>
          <w:szCs w:val="20"/>
          <w:highlight w:val="yellow"/>
          <w:u w:val="single"/>
        </w:rPr>
        <w:t>Note to Bidders</w:t>
      </w:r>
      <w:r>
        <w:rPr>
          <w:rFonts w:ascii="Arial" w:hAnsi="Arial" w:cs="Arial"/>
          <w:b/>
          <w:i/>
          <w:iCs/>
          <w:sz w:val="20"/>
          <w:szCs w:val="20"/>
          <w:highlight w:val="yellow"/>
        </w:rPr>
        <w:t xml:space="preserve">: Term of </w:t>
      </w:r>
      <w:r w:rsidR="006D6DBC">
        <w:rPr>
          <w:rFonts w:ascii="Arial" w:hAnsi="Arial" w:cs="Arial"/>
          <w:b/>
          <w:i/>
          <w:iCs/>
          <w:sz w:val="20"/>
          <w:szCs w:val="20"/>
          <w:highlight w:val="yellow"/>
        </w:rPr>
        <w:t xml:space="preserve">5, </w:t>
      </w:r>
      <w:r>
        <w:rPr>
          <w:rFonts w:ascii="Arial" w:hAnsi="Arial" w:cs="Arial"/>
          <w:b/>
          <w:i/>
          <w:iCs/>
          <w:sz w:val="20"/>
          <w:szCs w:val="20"/>
          <w:highlight w:val="yellow"/>
        </w:rPr>
        <w:t xml:space="preserve">10, 15, </w:t>
      </w:r>
      <w:r w:rsidRPr="004B0BBF">
        <w:rPr>
          <w:rFonts w:ascii="Arial" w:hAnsi="Arial"/>
          <w:b/>
          <w:i/>
          <w:sz w:val="20"/>
          <w:highlight w:val="yellow"/>
        </w:rPr>
        <w:t>20</w:t>
      </w:r>
      <w:r w:rsidRPr="004B0BBF" w:rsidR="00B73D60">
        <w:rPr>
          <w:rFonts w:ascii="Arial" w:hAnsi="Arial"/>
          <w:b/>
          <w:i/>
          <w:sz w:val="20"/>
          <w:highlight w:val="yellow"/>
        </w:rPr>
        <w:t>, 25</w:t>
      </w:r>
      <w:r w:rsidRPr="004B0BBF" w:rsidR="008C0589">
        <w:rPr>
          <w:rFonts w:ascii="Arial" w:hAnsi="Arial"/>
          <w:b/>
          <w:i/>
          <w:sz w:val="20"/>
          <w:highlight w:val="yellow"/>
        </w:rPr>
        <w:t>, or 30</w:t>
      </w:r>
      <w:r w:rsidRPr="004B0BBF">
        <w:rPr>
          <w:rFonts w:ascii="Arial" w:hAnsi="Arial"/>
          <w:b/>
          <w:i/>
          <w:sz w:val="20"/>
          <w:highlight w:val="yellow"/>
        </w:rPr>
        <w:t xml:space="preserve"> Annual Periods based on Delivery Commencement Date.</w:t>
      </w:r>
      <w:r w:rsidRPr="004B0BBF">
        <w:rPr>
          <w:rFonts w:ascii="Arial" w:hAnsi="Arial"/>
          <w:b/>
          <w:sz w:val="20"/>
          <w:highlight w:val="yellow"/>
        </w:rPr>
        <w:t>]</w:t>
      </w:r>
    </w:p>
    <w:p w:rsidRPr="004B0BBF" w:rsidR="00786D96" w:rsidP="00786D96" w:rsidRDefault="00786D96" w14:paraId="7210BFF8" w14:textId="77777777">
      <w:pPr>
        <w:widowControl w:val="0"/>
        <w:rPr>
          <w:rFonts w:ascii="Arial" w:hAnsi="Arial"/>
          <w:sz w:val="20"/>
        </w:rPr>
      </w:pPr>
    </w:p>
    <w:p w:rsidRPr="004B0BBF" w:rsidR="00D62BA7" w:rsidP="00786D96" w:rsidRDefault="00D62BA7" w14:paraId="07A18103" w14:textId="77777777">
      <w:pPr>
        <w:widowControl w:val="0"/>
        <w:rPr>
          <w:rFonts w:ascii="Arial" w:hAnsi="Arial"/>
          <w:sz w:val="20"/>
        </w:rPr>
      </w:pPr>
    </w:p>
    <w:p w:rsidRPr="004B0BBF" w:rsidR="004C6AFC" w:rsidP="00786D96" w:rsidRDefault="004C6AFC" w14:paraId="134EF70B" w14:textId="77777777">
      <w:pPr>
        <w:widowControl w:val="0"/>
        <w:rPr>
          <w:rFonts w:ascii="Arial" w:hAnsi="Arial"/>
          <w:sz w:val="20"/>
        </w:rPr>
      </w:pPr>
    </w:p>
    <w:tbl>
      <w:tblPr>
        <w:tblStyle w:val="TableGrid"/>
        <w:tblW w:w="9355" w:type="dxa"/>
        <w:tblLook w:val="04A0" w:firstRow="1" w:lastRow="0" w:firstColumn="1" w:lastColumn="0" w:noHBand="0" w:noVBand="1"/>
      </w:tblPr>
      <w:tblGrid>
        <w:gridCol w:w="1165"/>
        <w:gridCol w:w="8190"/>
      </w:tblGrid>
      <w:tr w:rsidR="004B0BBF" w:rsidTr="004B0BBF" w14:paraId="1AFFD005" w14:textId="77777777">
        <w:tc>
          <w:tcPr>
            <w:tcW w:w="9355" w:type="dxa"/>
            <w:gridSpan w:val="2"/>
          </w:tcPr>
          <w:p w:rsidRPr="00A930F3" w:rsidR="004B0BBF" w:rsidP="00254AE8" w:rsidRDefault="004B0BBF" w14:paraId="21623101" w14:textId="77777777">
            <w:pPr>
              <w:widowControl w:val="0"/>
              <w:spacing w:before="60" w:after="60"/>
              <w:jc w:val="center"/>
              <w:rPr>
                <w:rFonts w:eastAsia="Calibri" w:cs="Arial"/>
                <w:b/>
              </w:rPr>
            </w:pPr>
            <w:r>
              <w:rPr>
                <w:rFonts w:eastAsia="Calibri" w:cs="Arial"/>
                <w:b/>
              </w:rPr>
              <w:lastRenderedPageBreak/>
              <w:t>Table A-3</w:t>
            </w:r>
          </w:p>
          <w:p w:rsidRPr="004B0BBF" w:rsidR="004B0BBF" w:rsidP="004B0BBF" w:rsidRDefault="004B0BBF" w14:paraId="4EFEAB56" w14:textId="464AE345">
            <w:pPr>
              <w:widowControl w:val="0"/>
              <w:spacing w:before="60" w:after="60"/>
              <w:jc w:val="center"/>
              <w:rPr>
                <w:highlight w:val="yellow"/>
              </w:rPr>
            </w:pPr>
            <w:r>
              <w:rPr>
                <w:rFonts w:eastAsia="Calibri" w:cs="Arial"/>
                <w:b/>
              </w:rPr>
              <w:t>Additional Facility and Operating Information</w:t>
            </w:r>
            <w:r w:rsidR="00981751">
              <w:rPr>
                <w:rStyle w:val="FootnoteReference"/>
                <w:rFonts w:eastAsia="Calibri" w:cs="Arial"/>
                <w:b/>
              </w:rPr>
              <w:footnoteReference w:id="3"/>
            </w:r>
            <w:r>
              <w:rPr>
                <w:rFonts w:eastAsia="Calibri" w:cs="Arial"/>
              </w:rPr>
              <w:t xml:space="preserve"> </w:t>
            </w:r>
          </w:p>
        </w:tc>
      </w:tr>
      <w:tr w:rsidR="00AE51F9" w:rsidTr="00392543" w14:paraId="14FEBE3F" w14:textId="77777777">
        <w:tc>
          <w:tcPr>
            <w:tcW w:w="1165" w:type="dxa"/>
          </w:tcPr>
          <w:p w:rsidRPr="00254AE8" w:rsidR="00786D96" w:rsidP="00254AE8" w:rsidRDefault="008B55A2" w14:paraId="0ED4956F" w14:textId="77777777">
            <w:pPr>
              <w:widowControl w:val="0"/>
              <w:spacing w:before="60" w:after="60"/>
              <w:rPr>
                <w:rFonts w:cs="Arial"/>
              </w:rPr>
            </w:pPr>
            <w:r>
              <w:rPr>
                <w:rFonts w:cs="Arial"/>
              </w:rPr>
              <w:t>A</w:t>
            </w:r>
          </w:p>
        </w:tc>
        <w:tc>
          <w:tcPr>
            <w:tcW w:w="8190" w:type="dxa"/>
          </w:tcPr>
          <w:p w:rsidRPr="00254AE8" w:rsidR="00786D96" w:rsidP="00254AE8" w:rsidRDefault="008B55A2" w14:paraId="0C758F15" w14:textId="77777777">
            <w:pPr>
              <w:widowControl w:val="0"/>
              <w:spacing w:before="60" w:after="60"/>
              <w:rPr>
                <w:rFonts w:cs="Arial"/>
              </w:rPr>
            </w:pPr>
            <w:r>
              <w:rPr>
                <w:rFonts w:eastAsia="Calibri" w:cs="Arial"/>
                <w:highlight w:val="yellow"/>
              </w:rPr>
              <w:t>#____#</w:t>
            </w:r>
            <w:r>
              <w:rPr>
                <w:rFonts w:cs="Arial"/>
              </w:rPr>
              <w:t xml:space="preserve"> </w:t>
            </w:r>
            <w:r>
              <w:rPr>
                <w:rFonts w:eastAsia="Calibri" w:cs="Arial"/>
              </w:rPr>
              <w:t>(%) Guaranteed Round-Trip Efficiency (RTE)</w:t>
            </w:r>
            <w:r>
              <w:rPr>
                <w:rFonts w:eastAsia="Calibri" w:cs="Arial"/>
                <w:b/>
                <w:bCs/>
              </w:rPr>
              <w:t xml:space="preserve">* </w:t>
            </w:r>
          </w:p>
        </w:tc>
      </w:tr>
      <w:tr w:rsidR="00AE51F9" w:rsidTr="00392543" w14:paraId="6AB75A9D" w14:textId="77777777">
        <w:tc>
          <w:tcPr>
            <w:tcW w:w="1165" w:type="dxa"/>
          </w:tcPr>
          <w:p w:rsidRPr="00254AE8" w:rsidR="00786D96" w:rsidP="00254AE8" w:rsidRDefault="008B55A2" w14:paraId="0BD53169" w14:textId="77777777">
            <w:pPr>
              <w:widowControl w:val="0"/>
              <w:spacing w:before="60" w:after="60"/>
              <w:rPr>
                <w:rFonts w:cs="Arial"/>
              </w:rPr>
            </w:pPr>
            <w:r>
              <w:rPr>
                <w:rFonts w:cs="Arial"/>
              </w:rPr>
              <w:t>B</w:t>
            </w:r>
          </w:p>
        </w:tc>
        <w:tc>
          <w:tcPr>
            <w:tcW w:w="8190" w:type="dxa"/>
          </w:tcPr>
          <w:p w:rsidRPr="00254AE8" w:rsidR="00786D96" w:rsidP="00254AE8" w:rsidRDefault="00AC4632" w14:paraId="0CD5374E" w14:textId="3FB7CF44">
            <w:pPr>
              <w:widowControl w:val="0"/>
              <w:spacing w:before="60" w:after="60"/>
              <w:rPr>
                <w:rFonts w:cs="Arial"/>
              </w:rPr>
            </w:pPr>
            <w:r>
              <w:rPr>
                <w:rFonts w:eastAsia="Calibri" w:cs="Arial"/>
                <w:highlight w:val="yellow"/>
              </w:rPr>
              <w:t>#____#</w:t>
            </w:r>
            <w:r>
              <w:rPr>
                <w:rFonts w:cs="Arial"/>
              </w:rPr>
              <w:t xml:space="preserve"> </w:t>
            </w:r>
            <w:r w:rsidR="008B55A2">
              <w:rPr>
                <w:rFonts w:cs="Arial"/>
              </w:rPr>
              <w:t xml:space="preserve">(Hours) Storage Device </w:t>
            </w:r>
            <w:r w:rsidR="00F52FD6">
              <w:rPr>
                <w:rFonts w:cs="Arial"/>
              </w:rPr>
              <w:t xml:space="preserve">Discharge </w:t>
            </w:r>
            <w:r w:rsidR="008B55A2">
              <w:rPr>
                <w:rFonts w:cs="Arial"/>
              </w:rPr>
              <w:t>Duration (SDDD)*</w:t>
            </w:r>
          </w:p>
        </w:tc>
      </w:tr>
      <w:tr w:rsidR="00AE51F9" w14:paraId="5A930A4E" w14:textId="77777777">
        <w:tc>
          <w:tcPr>
            <w:tcW w:w="1165" w:type="dxa"/>
          </w:tcPr>
          <w:p w:rsidRPr="00254AE8" w:rsidR="00786D96" w:rsidP="00254AE8" w:rsidRDefault="008B55A2" w14:paraId="171C2A7B" w14:textId="3205090E">
            <w:pPr>
              <w:widowControl w:val="0"/>
              <w:spacing w:before="60" w:after="60"/>
              <w:rPr>
                <w:rFonts w:cs="Arial"/>
              </w:rPr>
            </w:pPr>
            <w:r>
              <w:rPr>
                <w:rFonts w:cs="Arial"/>
              </w:rPr>
              <w:t>C</w:t>
            </w:r>
          </w:p>
        </w:tc>
        <w:tc>
          <w:tcPr>
            <w:tcW w:w="8190" w:type="dxa"/>
          </w:tcPr>
          <w:p w:rsidRPr="00254AE8" w:rsidR="00786D96" w:rsidP="00254AE8" w:rsidRDefault="008B55A2" w14:paraId="2E966450" w14:textId="77777777">
            <w:pPr>
              <w:widowControl w:val="0"/>
              <w:spacing w:before="60" w:after="60"/>
              <w:rPr>
                <w:rFonts w:cs="Arial"/>
              </w:rPr>
            </w:pPr>
            <w:r>
              <w:rPr>
                <w:rFonts w:eastAsia="Calibri" w:cs="Arial"/>
                <w:highlight w:val="yellow"/>
              </w:rPr>
              <w:t>#____#</w:t>
            </w:r>
            <w:r>
              <w:rPr>
                <w:rFonts w:cs="Arial"/>
              </w:rPr>
              <w:t xml:space="preserve"> (MWh) Storage Device Operating Energy (SDOE) – per Cycle*</w:t>
            </w:r>
          </w:p>
        </w:tc>
      </w:tr>
      <w:tr w:rsidR="00AE51F9" w14:paraId="2A4A41E9" w14:textId="77777777">
        <w:tc>
          <w:tcPr>
            <w:tcW w:w="1165" w:type="dxa"/>
          </w:tcPr>
          <w:p w:rsidRPr="00254AE8" w:rsidR="00786D96" w:rsidP="00254AE8" w:rsidRDefault="008B55A2" w14:paraId="55FF49D8" w14:textId="77777777">
            <w:pPr>
              <w:widowControl w:val="0"/>
              <w:spacing w:before="60" w:after="60"/>
              <w:rPr>
                <w:rFonts w:cs="Arial"/>
              </w:rPr>
            </w:pPr>
            <w:r>
              <w:rPr>
                <w:rFonts w:cs="Arial"/>
              </w:rPr>
              <w:t>D</w:t>
            </w:r>
          </w:p>
        </w:tc>
        <w:tc>
          <w:tcPr>
            <w:tcW w:w="8190" w:type="dxa"/>
          </w:tcPr>
          <w:p w:rsidRPr="00254AE8" w:rsidR="00786D96" w:rsidP="00254AE8" w:rsidRDefault="008B55A2" w14:paraId="3DC0D8CF" w14:textId="77777777">
            <w:pPr>
              <w:widowControl w:val="0"/>
              <w:spacing w:before="60" w:after="60"/>
              <w:rPr>
                <w:rFonts w:cs="Arial"/>
              </w:rPr>
            </w:pPr>
            <w:r>
              <w:rPr>
                <w:rFonts w:eastAsia="Calibri" w:cs="Arial"/>
                <w:highlight w:val="yellow"/>
              </w:rPr>
              <w:t>#____#</w:t>
            </w:r>
            <w:r>
              <w:rPr>
                <w:rFonts w:cs="Arial"/>
              </w:rPr>
              <w:t xml:space="preserve"> (MW) Maximum Rate of Charge (ROC)</w:t>
            </w:r>
            <w:r>
              <w:rPr>
                <w:rFonts w:cs="Arial"/>
                <w:b/>
              </w:rPr>
              <w:t xml:space="preserve">* </w:t>
            </w:r>
          </w:p>
        </w:tc>
      </w:tr>
      <w:tr w:rsidR="00AE51F9" w14:paraId="50CE65B1" w14:textId="77777777">
        <w:tc>
          <w:tcPr>
            <w:tcW w:w="1165" w:type="dxa"/>
          </w:tcPr>
          <w:p w:rsidRPr="00254AE8" w:rsidR="00786D96" w:rsidP="00254AE8" w:rsidRDefault="008B55A2" w14:paraId="7DCF50C5" w14:textId="77777777">
            <w:pPr>
              <w:pStyle w:val="Heading5"/>
              <w:keepLines w:val="0"/>
              <w:widowControl w:val="0"/>
              <w:spacing w:before="60" w:after="60"/>
              <w:rPr>
                <w:rFonts w:cs="Arial"/>
              </w:rPr>
            </w:pPr>
            <w:r>
              <w:rPr>
                <w:rFonts w:cs="Arial"/>
              </w:rPr>
              <w:t>E</w:t>
            </w:r>
          </w:p>
        </w:tc>
        <w:tc>
          <w:tcPr>
            <w:tcW w:w="8190" w:type="dxa"/>
          </w:tcPr>
          <w:p w:rsidRPr="00254AE8" w:rsidR="00786D96" w:rsidP="00254AE8" w:rsidRDefault="008B55A2" w14:paraId="155AA090" w14:textId="77777777">
            <w:pPr>
              <w:widowControl w:val="0"/>
              <w:spacing w:before="60" w:after="60"/>
              <w:rPr>
                <w:rFonts w:eastAsia="Calibri" w:cs="Arial"/>
                <w:highlight w:val="yellow"/>
              </w:rPr>
            </w:pPr>
            <w:r>
              <w:rPr>
                <w:rFonts w:eastAsia="Calibri" w:cs="Arial"/>
                <w:highlight w:val="yellow"/>
              </w:rPr>
              <w:t>#____#</w:t>
            </w:r>
            <w:r>
              <w:rPr>
                <w:rFonts w:eastAsia="Calibri" w:cs="Arial"/>
              </w:rPr>
              <w:t xml:space="preserve"> </w:t>
            </w:r>
            <w:r>
              <w:rPr>
                <w:rFonts w:cs="Arial"/>
              </w:rPr>
              <w:t>(MW) Storage Device Design Capacity (SDDC) (continuous discharge)*</w:t>
            </w:r>
          </w:p>
        </w:tc>
      </w:tr>
      <w:tr w:rsidR="00AE51F9" w14:paraId="52704CDE" w14:textId="77777777">
        <w:tc>
          <w:tcPr>
            <w:tcW w:w="1165" w:type="dxa"/>
          </w:tcPr>
          <w:p w:rsidRPr="00254AE8" w:rsidR="00786D96" w:rsidP="00254AE8" w:rsidRDefault="008B55A2" w14:paraId="192005AE" w14:textId="77777777">
            <w:pPr>
              <w:pStyle w:val="Heading5"/>
              <w:keepLines w:val="0"/>
              <w:widowControl w:val="0"/>
              <w:spacing w:before="60" w:after="60"/>
              <w:rPr>
                <w:rFonts w:cs="Arial"/>
              </w:rPr>
            </w:pPr>
            <w:r>
              <w:rPr>
                <w:rFonts w:cs="Arial"/>
              </w:rPr>
              <w:t>F</w:t>
            </w:r>
          </w:p>
        </w:tc>
        <w:tc>
          <w:tcPr>
            <w:tcW w:w="8190" w:type="dxa"/>
          </w:tcPr>
          <w:p w:rsidRPr="00254AE8" w:rsidR="00786D96" w:rsidP="00254AE8" w:rsidRDefault="008B55A2" w14:paraId="7C869789" w14:textId="77777777">
            <w:pPr>
              <w:widowControl w:val="0"/>
              <w:spacing w:before="60" w:after="60"/>
              <w:rPr>
                <w:rFonts w:eastAsia="Calibri" w:cs="Arial"/>
                <w:highlight w:val="yellow"/>
              </w:rPr>
            </w:pPr>
            <w:r>
              <w:rPr>
                <w:rFonts w:eastAsia="Calibri" w:cs="Arial"/>
                <w:highlight w:val="yellow"/>
              </w:rPr>
              <w:t>#____#</w:t>
            </w:r>
            <w:r>
              <w:rPr>
                <w:rFonts w:eastAsia="Calibri" w:cs="Arial"/>
              </w:rPr>
              <w:t xml:space="preserve"> (MW) Contracted Capacity</w:t>
            </w:r>
            <w:r>
              <w:rPr>
                <w:rFonts w:eastAsia="Calibri" w:cs="Arial"/>
                <w:b/>
                <w:bCs/>
              </w:rPr>
              <w:t xml:space="preserve"> </w:t>
            </w:r>
            <w:r>
              <w:rPr>
                <w:rFonts w:eastAsia="Calibri" w:cs="Arial"/>
              </w:rPr>
              <w:t>(Equal to (E) above &amp; remains unchanged for the Term)</w:t>
            </w:r>
          </w:p>
        </w:tc>
      </w:tr>
      <w:tr w:rsidR="00AE51F9" w14:paraId="31FC46A6" w14:textId="77777777">
        <w:tc>
          <w:tcPr>
            <w:tcW w:w="1165" w:type="dxa"/>
          </w:tcPr>
          <w:p w:rsidRPr="00254AE8" w:rsidR="00786D96" w:rsidP="00254AE8" w:rsidRDefault="008B55A2" w14:paraId="3941C248" w14:textId="77777777">
            <w:pPr>
              <w:pStyle w:val="EnvelopeReturn"/>
              <w:widowControl w:val="0"/>
              <w:spacing w:before="60" w:after="60"/>
            </w:pPr>
            <w:r>
              <w:t>G</w:t>
            </w:r>
          </w:p>
        </w:tc>
        <w:tc>
          <w:tcPr>
            <w:tcW w:w="8190" w:type="dxa"/>
          </w:tcPr>
          <w:p w:rsidRPr="00254AE8" w:rsidR="00786D96" w:rsidP="00254AE8" w:rsidRDefault="008B55A2" w14:paraId="2AC711A2" w14:textId="77777777">
            <w:pPr>
              <w:widowControl w:val="0"/>
              <w:spacing w:before="60" w:after="60"/>
              <w:rPr>
                <w:rFonts w:cs="Arial"/>
              </w:rPr>
            </w:pPr>
            <w:r>
              <w:rPr>
                <w:rFonts w:eastAsia="Calibri" w:cs="Arial"/>
                <w:highlight w:val="yellow"/>
              </w:rPr>
              <w:t>#____#</w:t>
            </w:r>
            <w:r>
              <w:rPr>
                <w:rFonts w:cs="Arial"/>
              </w:rPr>
              <w:t xml:space="preserve"> </w:t>
            </w:r>
            <w:r>
              <w:rPr>
                <w:rFonts w:eastAsia="Calibri" w:cs="Arial"/>
              </w:rPr>
              <w:t>(#) Daily Cycle Limits</w:t>
            </w:r>
            <w:r>
              <w:rPr>
                <w:rFonts w:cs="Arial"/>
              </w:rPr>
              <w:t xml:space="preserve"> </w:t>
            </w:r>
          </w:p>
        </w:tc>
      </w:tr>
      <w:tr w:rsidR="00AE51F9" w14:paraId="0BAA9500" w14:textId="77777777">
        <w:tc>
          <w:tcPr>
            <w:tcW w:w="1165" w:type="dxa"/>
          </w:tcPr>
          <w:p w:rsidRPr="00254AE8" w:rsidR="00786D96" w:rsidP="00254AE8" w:rsidRDefault="008B55A2" w14:paraId="362F1D21" w14:textId="77777777">
            <w:pPr>
              <w:pStyle w:val="EnvelopeReturn"/>
              <w:widowControl w:val="0"/>
              <w:spacing w:before="60" w:after="60"/>
            </w:pPr>
            <w:r>
              <w:t>H</w:t>
            </w:r>
          </w:p>
        </w:tc>
        <w:tc>
          <w:tcPr>
            <w:tcW w:w="8190" w:type="dxa"/>
          </w:tcPr>
          <w:p w:rsidRPr="00254AE8" w:rsidR="00786D96" w:rsidP="00254AE8" w:rsidRDefault="008B55A2" w14:paraId="487D5820" w14:textId="6677BB53">
            <w:pPr>
              <w:widowControl w:val="0"/>
              <w:spacing w:before="60" w:after="60"/>
              <w:rPr>
                <w:rFonts w:cs="Arial"/>
              </w:rPr>
            </w:pPr>
            <w:r>
              <w:rPr>
                <w:rFonts w:eastAsia="Calibri" w:cs="Arial"/>
                <w:highlight w:val="yellow"/>
              </w:rPr>
              <w:t>#____#</w:t>
            </w:r>
            <w:r>
              <w:rPr>
                <w:rFonts w:cs="Arial"/>
              </w:rPr>
              <w:t xml:space="preserve"> (#) Cycle Limit (per Annual Period – minimum 365</w:t>
            </w:r>
            <w:r w:rsidR="00AA29DA">
              <w:rPr>
                <w:rFonts w:cs="Arial"/>
              </w:rPr>
              <w:t>/366</w:t>
            </w:r>
            <w:r>
              <w:rPr>
                <w:rFonts w:cs="Arial"/>
              </w:rPr>
              <w:t>)</w:t>
            </w:r>
          </w:p>
        </w:tc>
      </w:tr>
      <w:tr w:rsidR="00AE51F9" w14:paraId="43ECE003" w14:textId="77777777">
        <w:tc>
          <w:tcPr>
            <w:tcW w:w="1165" w:type="dxa"/>
          </w:tcPr>
          <w:p w:rsidRPr="00254AE8" w:rsidR="00786D96" w:rsidP="00254AE8" w:rsidRDefault="008B55A2" w14:paraId="2A22DE85" w14:textId="77777777">
            <w:pPr>
              <w:pStyle w:val="EnvelopeReturn"/>
              <w:widowControl w:val="0"/>
              <w:spacing w:before="60" w:after="60"/>
            </w:pPr>
            <w:r>
              <w:t>I</w:t>
            </w:r>
          </w:p>
        </w:tc>
        <w:tc>
          <w:tcPr>
            <w:tcW w:w="8190" w:type="dxa"/>
          </w:tcPr>
          <w:p w:rsidRPr="00254AE8" w:rsidR="00786D96" w:rsidP="00254AE8" w:rsidRDefault="008B55A2" w14:paraId="16BF4CAA" w14:textId="77777777">
            <w:pPr>
              <w:pStyle w:val="EnvelopeReturn"/>
              <w:widowControl w:val="0"/>
              <w:spacing w:before="60" w:after="60"/>
              <w:rPr>
                <w:rFonts w:eastAsia="Calibri"/>
                <w:highlight w:val="yellow"/>
              </w:rPr>
            </w:pPr>
            <w:r>
              <w:rPr>
                <w:rFonts w:eastAsia="Calibri"/>
                <w:highlight w:val="yellow"/>
              </w:rPr>
              <w:t>#____#</w:t>
            </w:r>
            <w:r>
              <w:rPr>
                <w:rFonts w:eastAsia="Calibri"/>
              </w:rPr>
              <w:t xml:space="preserve"> </w:t>
            </w:r>
            <w:r>
              <w:t xml:space="preserve">(MW) Interconnection Limit </w:t>
            </w:r>
          </w:p>
        </w:tc>
      </w:tr>
    </w:tbl>
    <w:p w:rsidRPr="002D2A8F" w:rsidR="00786D96" w:rsidP="004B0BBF" w:rsidRDefault="008B55A2" w14:paraId="715AAD27" w14:textId="4EBDE537">
      <w:pPr>
        <w:widowControl w:val="0"/>
        <w:jc w:val="both"/>
        <w:rPr>
          <w:rFonts w:ascii="Arial" w:hAnsi="Arial" w:cs="Arial"/>
          <w:sz w:val="20"/>
          <w:szCs w:val="20"/>
        </w:rPr>
      </w:pPr>
      <w:r>
        <w:rPr>
          <w:rFonts w:ascii="Arial" w:hAnsi="Arial" w:cs="Arial"/>
          <w:b/>
          <w:color w:val="FF0000"/>
          <w:sz w:val="20"/>
          <w:szCs w:val="20"/>
        </w:rPr>
        <w:t>*</w:t>
      </w:r>
      <w:r w:rsidRPr="004B0BBF">
        <w:rPr>
          <w:rFonts w:ascii="Arial" w:hAnsi="Arial"/>
          <w:b/>
          <w:color w:val="FF0000"/>
          <w:sz w:val="20"/>
          <w:u w:val="single"/>
        </w:rPr>
        <w:t>NOTE</w:t>
      </w:r>
      <w:r w:rsidRPr="004B0BBF">
        <w:rPr>
          <w:rFonts w:ascii="Arial" w:hAnsi="Arial"/>
          <w:b/>
          <w:color w:val="FF0000"/>
          <w:sz w:val="20"/>
        </w:rPr>
        <w:t>:</w:t>
      </w:r>
      <w:r>
        <w:rPr>
          <w:rFonts w:ascii="Arial" w:hAnsi="Arial" w:cs="Arial"/>
          <w:color w:val="FF0000"/>
          <w:sz w:val="20"/>
          <w:szCs w:val="20"/>
        </w:rPr>
        <w:t xml:space="preserve"> Starred items will be Seller Performance Guarantees used by GPC in evaluating</w:t>
      </w:r>
      <w:r w:rsidRPr="004B0BBF">
        <w:rPr>
          <w:color w:val="FF0000"/>
        </w:rPr>
        <w:t xml:space="preserve"> </w:t>
      </w:r>
      <w:r>
        <w:rPr>
          <w:color w:val="FF0000"/>
        </w:rPr>
        <w:t>BESS</w:t>
      </w:r>
      <w:r>
        <w:rPr>
          <w:rFonts w:ascii="Arial" w:hAnsi="Arial" w:cs="Arial"/>
          <w:color w:val="FF0000"/>
          <w:sz w:val="20"/>
          <w:szCs w:val="20"/>
        </w:rPr>
        <w:t xml:space="preserve"> performance. </w:t>
      </w:r>
    </w:p>
    <w:p w:rsidRPr="002C2CE9" w:rsidR="002D54C4" w:rsidP="007E46C5" w:rsidRDefault="008B55A2" w14:paraId="3EB197BF" w14:textId="77777777">
      <w:pPr>
        <w:widowControl w:val="0"/>
        <w:rPr>
          <w:rFonts w:ascii="Arial" w:hAnsi="Arial" w:cs="Arial"/>
          <w:sz w:val="20"/>
          <w:szCs w:val="20"/>
        </w:rPr>
      </w:pPr>
      <w:r>
        <w:rPr>
          <w:rFonts w:ascii="Arial" w:hAnsi="Arial" w:cs="Arial"/>
          <w:sz w:val="20"/>
          <w:szCs w:val="20"/>
        </w:rPr>
        <w:t xml:space="preserve">The Facility includes the following: </w:t>
      </w:r>
      <w:r>
        <w:rPr>
          <w:rFonts w:ascii="Arial" w:hAnsi="Arial" w:cs="Arial"/>
          <w:sz w:val="20"/>
          <w:szCs w:val="20"/>
          <w:highlight w:val="yellow"/>
        </w:rPr>
        <w:t>[Description to be provided by Seller and conformed to the Bid]</w:t>
      </w:r>
    </w:p>
    <w:p w:rsidRPr="002C2CE9" w:rsidR="00345BE0" w:rsidP="007E46C5" w:rsidRDefault="008B55A2" w14:paraId="3E17477D" w14:textId="77777777">
      <w:pPr>
        <w:widowControl w:val="0"/>
        <w:rPr>
          <w:rFonts w:ascii="Arial" w:hAnsi="Arial" w:cs="Arial"/>
          <w:sz w:val="20"/>
          <w:szCs w:val="20"/>
        </w:rPr>
      </w:pPr>
      <w:r>
        <w:rPr>
          <w:rFonts w:ascii="Arial" w:hAnsi="Arial" w:cs="Arial"/>
          <w:sz w:val="20"/>
          <w:szCs w:val="20"/>
        </w:rPr>
        <w:t>(For example, storage facility technology type, number and arrangement of cells and inverters, round-trip efficiency, etc.)</w:t>
      </w:r>
    </w:p>
    <w:tbl>
      <w:tblPr>
        <w:tblStyle w:val="TableGrid"/>
        <w:tblW w:w="0" w:type="auto"/>
        <w:tblLook w:val="04A0" w:firstRow="1" w:lastRow="0" w:firstColumn="1" w:lastColumn="0" w:noHBand="0" w:noVBand="1"/>
      </w:tblPr>
      <w:tblGrid>
        <w:gridCol w:w="2245"/>
        <w:gridCol w:w="7105"/>
      </w:tblGrid>
      <w:tr w:rsidR="00AE51F9" w14:paraId="398FEE43" w14:textId="77777777">
        <w:tc>
          <w:tcPr>
            <w:tcW w:w="9350" w:type="dxa"/>
            <w:gridSpan w:val="2"/>
          </w:tcPr>
          <w:p w:rsidRPr="00D36C8A" w:rsidR="00421F6A" w:rsidRDefault="008B55A2" w14:paraId="1E1E5CBB" w14:textId="445C4BA7">
            <w:pPr>
              <w:spacing w:after="120"/>
              <w:jc w:val="center"/>
              <w:rPr>
                <w:rFonts w:cs="Arial"/>
                <w:b/>
              </w:rPr>
            </w:pPr>
            <w:bookmarkStart w:name="_Toc174624981" w:id="1395"/>
            <w:bookmarkStart w:name="_Toc160749228" w:id="1396"/>
            <w:r>
              <w:rPr>
                <w:rFonts w:cs="Arial"/>
                <w:b/>
              </w:rPr>
              <w:t xml:space="preserve">Table A-4 </w:t>
            </w:r>
          </w:p>
          <w:p w:rsidRPr="00D36C8A" w:rsidR="00421F6A" w:rsidRDefault="008B55A2" w14:paraId="0DD82F01" w14:textId="77777777">
            <w:pPr>
              <w:pStyle w:val="Subtitle-Bold"/>
              <w:spacing w:after="120"/>
              <w:rPr>
                <w:rFonts w:cs="Arial"/>
                <w:shd w:val="clear" w:color="auto" w:fill="E6E6E6"/>
              </w:rPr>
            </w:pPr>
            <w:r>
              <w:rPr>
                <w:rFonts w:cs="Arial"/>
              </w:rPr>
              <w:t>Renewable Resource and Site Information</w:t>
            </w:r>
          </w:p>
        </w:tc>
      </w:tr>
      <w:tr w:rsidR="00AE51F9" w14:paraId="6EE3C7A6" w14:textId="77777777">
        <w:tc>
          <w:tcPr>
            <w:tcW w:w="2245" w:type="dxa"/>
          </w:tcPr>
          <w:p w:rsidRPr="00D36C8A" w:rsidR="00421F6A" w:rsidRDefault="008B55A2" w14:paraId="61B46352" w14:textId="77777777">
            <w:pPr>
              <w:spacing w:after="120"/>
              <w:rPr>
                <w:rFonts w:cs="Arial"/>
                <w:b/>
              </w:rPr>
            </w:pPr>
            <w:r>
              <w:rPr>
                <w:rFonts w:cs="Arial"/>
                <w:b/>
              </w:rPr>
              <w:t>Renewable Resource Seller Name</w:t>
            </w:r>
          </w:p>
        </w:tc>
        <w:tc>
          <w:tcPr>
            <w:tcW w:w="7105" w:type="dxa"/>
          </w:tcPr>
          <w:p w:rsidRPr="00D36C8A" w:rsidR="00421F6A" w:rsidRDefault="008B55A2" w14:paraId="6053189A" w14:textId="77777777">
            <w:pPr>
              <w:spacing w:after="120"/>
              <w:rPr>
                <w:rFonts w:cs="Arial"/>
                <w:shd w:val="clear" w:color="auto" w:fill="E6E6E6"/>
              </w:rPr>
            </w:pPr>
            <w:r>
              <w:rPr>
                <w:rFonts w:cs="Arial"/>
                <w:highlight w:val="yellow"/>
              </w:rPr>
              <w:t>#SellerName#</w:t>
            </w:r>
            <w:r>
              <w:rPr>
                <w:rFonts w:cs="Arial"/>
              </w:rPr>
              <w:t xml:space="preserve">, a </w:t>
            </w:r>
            <w:r>
              <w:rPr>
                <w:rFonts w:cs="Arial"/>
                <w:highlight w:val="yellow"/>
              </w:rPr>
              <w:t>#SellerEntityType#</w:t>
            </w:r>
            <w:r>
              <w:rPr>
                <w:rFonts w:cs="Arial"/>
              </w:rPr>
              <w:t xml:space="preserve">, organized under the laws of the state of </w:t>
            </w:r>
            <w:r>
              <w:rPr>
                <w:rFonts w:cs="Arial"/>
                <w:highlight w:val="yellow"/>
              </w:rPr>
              <w:t>#State#</w:t>
            </w:r>
          </w:p>
        </w:tc>
      </w:tr>
      <w:tr w:rsidR="00AE51F9" w14:paraId="3D92DBEB" w14:textId="77777777">
        <w:tc>
          <w:tcPr>
            <w:tcW w:w="2245" w:type="dxa"/>
          </w:tcPr>
          <w:p w:rsidRPr="00D36C8A" w:rsidR="00421F6A" w:rsidP="00421F6A" w:rsidRDefault="008B55A2" w14:paraId="336F273D" w14:textId="77777777">
            <w:pPr>
              <w:spacing w:after="120"/>
              <w:rPr>
                <w:rFonts w:cs="Arial"/>
                <w:b/>
              </w:rPr>
            </w:pPr>
            <w:r>
              <w:rPr>
                <w:b/>
              </w:rPr>
              <w:t>Renewable Resource Facility Name</w:t>
            </w:r>
          </w:p>
        </w:tc>
        <w:tc>
          <w:tcPr>
            <w:tcW w:w="7105" w:type="dxa"/>
          </w:tcPr>
          <w:p w:rsidRPr="00D36C8A" w:rsidR="00421F6A" w:rsidP="00421F6A" w:rsidRDefault="008B55A2" w14:paraId="4A41136B" w14:textId="77777777">
            <w:pPr>
              <w:spacing w:after="120"/>
              <w:rPr>
                <w:rFonts w:cs="Arial"/>
                <w:shd w:val="clear" w:color="auto" w:fill="E6E6E6"/>
              </w:rPr>
            </w:pPr>
            <w:r w:rsidRPr="0011445E">
              <w:rPr>
                <w:highlight w:val="yellow"/>
              </w:rPr>
              <w:t>#RenewableResourceName</w:t>
            </w:r>
          </w:p>
        </w:tc>
      </w:tr>
      <w:tr w:rsidR="00AE51F9" w14:paraId="60BFA4F3" w14:textId="77777777">
        <w:tc>
          <w:tcPr>
            <w:tcW w:w="2245" w:type="dxa"/>
          </w:tcPr>
          <w:p w:rsidRPr="00D36C8A" w:rsidR="00421F6A" w:rsidP="00421F6A" w:rsidRDefault="008B55A2" w14:paraId="460B9D5D" w14:textId="77777777">
            <w:pPr>
              <w:spacing w:after="120"/>
              <w:jc w:val="left"/>
              <w:rPr>
                <w:b/>
              </w:rPr>
            </w:pPr>
            <w:r>
              <w:rPr>
                <w:rFonts w:cs="Arial"/>
                <w:b/>
              </w:rPr>
              <w:t>Site</w:t>
            </w:r>
          </w:p>
        </w:tc>
        <w:tc>
          <w:tcPr>
            <w:tcW w:w="7105" w:type="dxa"/>
          </w:tcPr>
          <w:p w:rsidRPr="00D36C8A" w:rsidR="00421F6A" w:rsidP="00421F6A" w:rsidRDefault="008B55A2" w14:paraId="46A0CE34" w14:textId="77777777">
            <w:pPr>
              <w:spacing w:after="120"/>
              <w:rPr>
                <w:rFonts w:cs="Arial"/>
                <w:shd w:val="clear" w:color="auto" w:fill="E6E6E6"/>
              </w:rPr>
            </w:pPr>
            <w:r>
              <w:rPr>
                <w:rFonts w:cs="Arial"/>
                <w:highlight w:val="yellow"/>
                <w:shd w:val="clear" w:color="auto" w:fill="E6E6E6"/>
              </w:rPr>
              <w:t>#Street Address#</w:t>
            </w:r>
          </w:p>
          <w:p w:rsidRPr="00D36C8A" w:rsidR="00421F6A" w:rsidP="00421F6A" w:rsidRDefault="008B55A2" w14:paraId="22137D6E" w14:textId="77777777">
            <w:pPr>
              <w:spacing w:after="120"/>
              <w:rPr>
                <w:b/>
              </w:rPr>
            </w:pPr>
            <w:r>
              <w:rPr>
                <w:rFonts w:cs="Arial"/>
                <w:highlight w:val="yellow"/>
              </w:rPr>
              <w:t>#City</w:t>
            </w:r>
            <w:r>
              <w:rPr>
                <w:rFonts w:cs="Arial"/>
              </w:rPr>
              <w:t xml:space="preserve">, </w:t>
            </w:r>
            <w:r>
              <w:rPr>
                <w:rFonts w:cs="Arial"/>
                <w:highlight w:val="yellow"/>
              </w:rPr>
              <w:t>#State</w:t>
            </w:r>
            <w:r>
              <w:rPr>
                <w:rFonts w:cs="Arial"/>
              </w:rPr>
              <w:t xml:space="preserve">, </w:t>
            </w:r>
            <w:r>
              <w:rPr>
                <w:rFonts w:cs="Arial"/>
                <w:highlight w:val="yellow"/>
              </w:rPr>
              <w:t>#ZipCode</w:t>
            </w:r>
          </w:p>
        </w:tc>
      </w:tr>
      <w:tr w:rsidR="00AE51F9" w14:paraId="741B07A6" w14:textId="77777777">
        <w:tc>
          <w:tcPr>
            <w:tcW w:w="2245" w:type="dxa"/>
          </w:tcPr>
          <w:p w:rsidRPr="00D36C8A" w:rsidR="00421F6A" w:rsidP="00421F6A" w:rsidRDefault="008B55A2" w14:paraId="3327DCC3" w14:textId="77777777">
            <w:pPr>
              <w:spacing w:after="120"/>
              <w:jc w:val="left"/>
              <w:rPr>
                <w:b/>
              </w:rPr>
            </w:pPr>
            <w:r>
              <w:rPr>
                <w:b/>
              </w:rPr>
              <w:t>GPS Coordinates</w:t>
            </w:r>
          </w:p>
        </w:tc>
        <w:tc>
          <w:tcPr>
            <w:tcW w:w="7105" w:type="dxa"/>
          </w:tcPr>
          <w:p w:rsidRPr="00D36C8A" w:rsidR="00421F6A" w:rsidP="00421F6A" w:rsidRDefault="008B55A2" w14:paraId="1B4D008E" w14:textId="77777777">
            <w:pPr>
              <w:spacing w:after="120"/>
              <w:rPr>
                <w:b/>
              </w:rPr>
            </w:pPr>
            <w:r>
              <w:rPr>
                <w:highlight w:val="yellow"/>
              </w:rPr>
              <w:t>#Latitude</w:t>
            </w:r>
            <w:r>
              <w:t xml:space="preserve">, </w:t>
            </w:r>
            <w:r>
              <w:rPr>
                <w:highlight w:val="yellow"/>
              </w:rPr>
              <w:t>#Longitude</w:t>
            </w:r>
            <w:r>
              <w:t xml:space="preserve"> </w:t>
            </w:r>
          </w:p>
        </w:tc>
      </w:tr>
      <w:tr w:rsidR="00AE51F9" w14:paraId="072304B9" w14:textId="77777777">
        <w:tc>
          <w:tcPr>
            <w:tcW w:w="2245" w:type="dxa"/>
          </w:tcPr>
          <w:p w:rsidRPr="00D36C8A" w:rsidR="00421F6A" w:rsidP="00421F6A" w:rsidRDefault="008B55A2" w14:paraId="4C0150C2" w14:textId="77777777">
            <w:pPr>
              <w:spacing w:after="120"/>
              <w:jc w:val="left"/>
              <w:rPr>
                <w:b/>
              </w:rPr>
            </w:pPr>
            <w:r>
              <w:rPr>
                <w:b/>
              </w:rPr>
              <w:t>IC Number</w:t>
            </w:r>
          </w:p>
        </w:tc>
        <w:tc>
          <w:tcPr>
            <w:tcW w:w="7105" w:type="dxa"/>
          </w:tcPr>
          <w:p w:rsidRPr="00D36C8A" w:rsidR="00421F6A" w:rsidP="00421F6A" w:rsidRDefault="008B55A2" w14:paraId="6983FA37" w14:textId="77777777">
            <w:pPr>
              <w:spacing w:after="120"/>
              <w:rPr>
                <w:b/>
              </w:rPr>
            </w:pPr>
            <w:r>
              <w:rPr>
                <w:rFonts w:cs="Arial"/>
              </w:rPr>
              <w:t>IC-</w:t>
            </w:r>
            <w:r>
              <w:rPr>
                <w:rFonts w:cs="Arial"/>
                <w:highlight w:val="yellow"/>
              </w:rPr>
              <w:t>#InterconnectionID#</w:t>
            </w:r>
          </w:p>
        </w:tc>
      </w:tr>
      <w:tr w:rsidR="00AE51F9" w14:paraId="70A2557E" w14:textId="77777777">
        <w:tc>
          <w:tcPr>
            <w:tcW w:w="2245" w:type="dxa"/>
          </w:tcPr>
          <w:p w:rsidRPr="00D36C8A" w:rsidR="00421F6A" w:rsidP="00421F6A" w:rsidRDefault="008B55A2" w14:paraId="6578E088" w14:textId="77777777">
            <w:pPr>
              <w:spacing w:after="120"/>
              <w:jc w:val="left"/>
              <w:rPr>
                <w:b/>
              </w:rPr>
            </w:pPr>
            <w:r>
              <w:rPr>
                <w:rFonts w:cs="Arial"/>
                <w:b/>
              </w:rPr>
              <w:t>Facility Description</w:t>
            </w:r>
          </w:p>
        </w:tc>
        <w:tc>
          <w:tcPr>
            <w:tcW w:w="7105" w:type="dxa"/>
          </w:tcPr>
          <w:p w:rsidRPr="00D36C8A" w:rsidR="00421F6A" w:rsidP="00421F6A" w:rsidRDefault="008B55A2" w14:paraId="694AAB81" w14:textId="77777777">
            <w:pPr>
              <w:spacing w:after="120"/>
            </w:pPr>
            <w:r>
              <w:t xml:space="preserve">The </w:t>
            </w:r>
            <w:r w:rsidRPr="0011445E">
              <w:rPr>
                <w:highlight w:val="yellow"/>
              </w:rPr>
              <w:t>#Number</w:t>
            </w:r>
            <w:r>
              <w:t xml:space="preserve"> MW Renewable Resource at </w:t>
            </w:r>
            <w:r w:rsidRPr="0011445E">
              <w:rPr>
                <w:highlight w:val="yellow"/>
              </w:rPr>
              <w:t>#FacilityName</w:t>
            </w:r>
            <w:r>
              <w:t>, interconnected to the Southern Company Transmission System at the POI.</w:t>
            </w:r>
          </w:p>
        </w:tc>
      </w:tr>
      <w:tr w:rsidR="00AE51F9" w14:paraId="286FB4F2" w14:textId="77777777">
        <w:trPr>
          <w:trHeight w:val="58"/>
        </w:trPr>
        <w:tc>
          <w:tcPr>
            <w:tcW w:w="2245" w:type="dxa"/>
          </w:tcPr>
          <w:p w:rsidRPr="00D36C8A" w:rsidR="00421F6A" w:rsidP="00421F6A" w:rsidRDefault="008B55A2" w14:paraId="1EB6B69D" w14:textId="77777777">
            <w:pPr>
              <w:spacing w:after="120"/>
              <w:jc w:val="left"/>
              <w:rPr>
                <w:b/>
              </w:rPr>
            </w:pPr>
            <w:r>
              <w:rPr>
                <w:b/>
              </w:rPr>
              <w:t>POI</w:t>
            </w:r>
          </w:p>
        </w:tc>
        <w:tc>
          <w:tcPr>
            <w:tcW w:w="7105" w:type="dxa"/>
          </w:tcPr>
          <w:p w:rsidRPr="00D36C8A" w:rsidR="00421F6A" w:rsidP="00421F6A" w:rsidRDefault="008B55A2" w14:paraId="628877FB" w14:textId="77777777">
            <w:pPr>
              <w:spacing w:after="120"/>
            </w:pPr>
            <w:r>
              <w:rPr>
                <w:highlight w:val="yellow"/>
              </w:rPr>
              <w:t>#DescribeLocation</w:t>
            </w:r>
            <w:r>
              <w:t xml:space="preserve"> </w:t>
            </w:r>
          </w:p>
        </w:tc>
      </w:tr>
    </w:tbl>
    <w:p w:rsidR="00003FF7" w:rsidP="00C70A00" w:rsidRDefault="008B55A2" w14:paraId="607D7CCE" w14:textId="77777777">
      <w:pPr>
        <w:pStyle w:val="zGTableTxt10"/>
        <w:widowControl/>
        <w:autoSpaceDE/>
        <w:autoSpaceDN/>
        <w:adjustRightInd/>
        <w:spacing w:after="200" w:line="276" w:lineRule="auto"/>
        <w:sectPr w:rsidR="00003FF7" w:rsidSect="0022606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2240" w:h="15840" w:code="1"/>
          <w:pgMar w:top="1440" w:right="1440" w:bottom="1440" w:left="1440" w:header="720" w:footer="720" w:gutter="0"/>
          <w:paperSrc w:first="15" w:other="15"/>
          <w:cols w:space="1440"/>
        </w:sectPr>
      </w:pPr>
      <w:r>
        <w:rPr>
          <w:rFonts w:eastAsiaTheme="minorHAnsi"/>
          <w:spacing w:val="0"/>
          <w:kern w:val="0"/>
        </w:rPr>
        <w:br w:type="page"/>
      </w:r>
    </w:p>
    <w:p w:rsidR="00050A04" w:rsidP="00D20B52" w:rsidRDefault="00050A04" w14:paraId="4929E352" w14:textId="77777777">
      <w:pPr>
        <w:pStyle w:val="zGTitleExhibit"/>
      </w:pPr>
    </w:p>
    <w:p w:rsidR="00345BE0" w:rsidP="00D20B52" w:rsidRDefault="008B55A2" w14:paraId="67029DA0" w14:textId="73C90C80">
      <w:pPr>
        <w:pStyle w:val="zGTitleExhibit"/>
      </w:pPr>
      <w:bookmarkStart w:name="_Toc194937595" w:id="1397"/>
      <w:bookmarkStart w:name="_Toc227451641" w:id="1398"/>
      <w:r>
        <w:t xml:space="preserve">Exhibit A-1 – </w:t>
      </w:r>
      <w:bookmarkEnd w:id="1395"/>
      <w:r>
        <w:t>Key Milestones and Required Key Milestone Dates</w:t>
      </w:r>
      <w:bookmarkEnd w:id="1396"/>
      <w:bookmarkEnd w:id="1397"/>
      <w:bookmarkEnd w:id="1398"/>
      <w:r>
        <w:t xml:space="preserve"> </w:t>
      </w:r>
    </w:p>
    <w:p w:rsidRPr="00C12B3B" w:rsidR="00784667" w:rsidP="00C12B3B" w:rsidRDefault="008B55A2" w14:paraId="6A65DEFC" w14:textId="046AD558">
      <w:pPr>
        <w:pStyle w:val="zGNormal"/>
        <w:rPr>
          <w:b/>
          <w:bCs/>
        </w:rPr>
      </w:pPr>
      <w:r w:rsidRPr="00B4306C">
        <w:rPr>
          <w:b/>
          <w:highlight w:val="cyan"/>
        </w:rPr>
        <w:t>[</w:t>
      </w:r>
      <w:r w:rsidRPr="00B4306C">
        <w:rPr>
          <w:b/>
          <w:i/>
          <w:highlight w:val="cyan"/>
          <w:u w:val="single"/>
        </w:rPr>
        <w:t>Note to Bidders</w:t>
      </w:r>
      <w:r w:rsidRPr="00B4306C">
        <w:rPr>
          <w:b/>
          <w:i/>
          <w:highlight w:val="cyan"/>
        </w:rPr>
        <w:t>: This Key Milestones and Required Key Milestone Dates Exhibit will be revised to reflect Key Milestones applicable to the Facility and project prior to PPA execution</w:t>
      </w:r>
      <w:r w:rsidRPr="00B4306C">
        <w:rPr>
          <w:b/>
          <w:highlight w:val="cyan"/>
        </w:rPr>
        <w:t>]</w:t>
      </w:r>
    </w:p>
    <w:p w:rsidRPr="00784667" w:rsidR="00C12B3B" w:rsidP="00C12B3B" w:rsidRDefault="00C12B3B" w14:paraId="61285DE9" w14:textId="77777777">
      <w:pPr>
        <w:pStyle w:val="zGNormal"/>
      </w:pPr>
    </w:p>
    <w:tbl>
      <w:tblPr>
        <w:tblStyle w:val="TableGrid"/>
        <w:tblW w:w="9360" w:type="dxa"/>
        <w:tblInd w:w="-5" w:type="dxa"/>
        <w:tblLook w:val="04A0" w:firstRow="1" w:lastRow="0" w:firstColumn="1" w:lastColumn="0" w:noHBand="0" w:noVBand="1"/>
      </w:tblPr>
      <w:tblGrid>
        <w:gridCol w:w="3420"/>
        <w:gridCol w:w="2610"/>
        <w:gridCol w:w="3330"/>
      </w:tblGrid>
      <w:tr w:rsidR="00AE51F9" w:rsidTr="00611BF3" w14:paraId="3599F826" w14:textId="77777777">
        <w:tc>
          <w:tcPr>
            <w:tcW w:w="3420" w:type="dxa"/>
          </w:tcPr>
          <w:p w:rsidRPr="000D0556" w:rsidR="00D61E70" w:rsidP="00D61E70" w:rsidRDefault="008B55A2" w14:paraId="64A790DA" w14:textId="77777777">
            <w:pPr>
              <w:spacing w:after="120"/>
              <w:jc w:val="center"/>
              <w:rPr>
                <w:b/>
                <w:szCs w:val="24"/>
              </w:rPr>
            </w:pPr>
            <w:r>
              <w:rPr>
                <w:b/>
                <w:szCs w:val="24"/>
              </w:rPr>
              <w:t>Key Milestone</w:t>
            </w:r>
          </w:p>
        </w:tc>
        <w:tc>
          <w:tcPr>
            <w:tcW w:w="2610" w:type="dxa"/>
          </w:tcPr>
          <w:p w:rsidRPr="000D0556" w:rsidR="00D61E70" w:rsidP="00D61E70" w:rsidRDefault="008B55A2" w14:paraId="0B6CF9E7" w14:textId="77777777">
            <w:pPr>
              <w:spacing w:after="120"/>
              <w:jc w:val="center"/>
              <w:rPr>
                <w:b/>
                <w:szCs w:val="24"/>
              </w:rPr>
            </w:pPr>
            <w:r>
              <w:rPr>
                <w:b/>
                <w:szCs w:val="24"/>
              </w:rPr>
              <w:t>Key Milestone Date</w:t>
            </w:r>
          </w:p>
        </w:tc>
        <w:tc>
          <w:tcPr>
            <w:tcW w:w="3330" w:type="dxa"/>
          </w:tcPr>
          <w:p w:rsidRPr="000D0556" w:rsidR="00D61E70" w:rsidP="00D61E70" w:rsidRDefault="008B55A2" w14:paraId="6EBBCC4F" w14:textId="76A03965">
            <w:pPr>
              <w:spacing w:after="120"/>
              <w:jc w:val="center"/>
              <w:rPr>
                <w:b/>
                <w:szCs w:val="24"/>
              </w:rPr>
            </w:pPr>
            <w:r>
              <w:rPr>
                <w:b/>
                <w:szCs w:val="24"/>
              </w:rPr>
              <w:t>Required Substantiation</w:t>
            </w:r>
            <w:r>
              <w:rPr>
                <w:rStyle w:val="FootnoteReference"/>
                <w:szCs w:val="24"/>
              </w:rPr>
              <w:footnoteReference w:id="4"/>
            </w:r>
          </w:p>
        </w:tc>
      </w:tr>
      <w:tr w:rsidR="00AE51F9" w:rsidTr="00611BF3" w14:paraId="521025B1" w14:textId="77777777">
        <w:tc>
          <w:tcPr>
            <w:tcW w:w="3420" w:type="dxa"/>
          </w:tcPr>
          <w:p w:rsidRPr="00AD18D9" w:rsidR="00D61E70" w:rsidP="00432623" w:rsidRDefault="008B55A2" w14:paraId="6ED1909C" w14:textId="77777777">
            <w:pPr>
              <w:spacing w:after="240"/>
              <w:jc w:val="left"/>
              <w:rPr>
                <w:b/>
                <w:bCs/>
                <w:szCs w:val="24"/>
              </w:rPr>
            </w:pPr>
            <w:r>
              <w:rPr>
                <w:b/>
                <w:bCs/>
                <w:szCs w:val="24"/>
              </w:rPr>
              <w:t>Interconnection</w:t>
            </w:r>
          </w:p>
          <w:p w:rsidR="00D61E70" w:rsidP="00432623" w:rsidRDefault="008B55A2" w14:paraId="1F65C266" w14:textId="77777777">
            <w:pPr>
              <w:spacing w:after="240"/>
              <w:jc w:val="left"/>
              <w:rPr>
                <w:szCs w:val="24"/>
              </w:rPr>
            </w:pPr>
            <w:r>
              <w:rPr>
                <w:szCs w:val="24"/>
              </w:rPr>
              <w:t xml:space="preserve">IA execution </w:t>
            </w:r>
          </w:p>
        </w:tc>
        <w:tc>
          <w:tcPr>
            <w:tcW w:w="2610" w:type="dxa"/>
          </w:tcPr>
          <w:p w:rsidR="00D61E70" w:rsidRDefault="00D61E70" w14:paraId="1DDF7B8E" w14:textId="77777777">
            <w:pPr>
              <w:spacing w:after="240"/>
              <w:rPr>
                <w:szCs w:val="24"/>
              </w:rPr>
            </w:pPr>
          </w:p>
        </w:tc>
        <w:tc>
          <w:tcPr>
            <w:tcW w:w="3330" w:type="dxa"/>
          </w:tcPr>
          <w:p w:rsidR="00D61E70" w:rsidRDefault="008B55A2" w14:paraId="2193A86A" w14:textId="77777777">
            <w:pPr>
              <w:spacing w:after="240"/>
              <w:rPr>
                <w:szCs w:val="24"/>
              </w:rPr>
            </w:pPr>
            <w:r>
              <w:rPr>
                <w:szCs w:val="24"/>
              </w:rPr>
              <w:t>Copies of:</w:t>
            </w:r>
          </w:p>
          <w:p w:rsidR="00D61E70" w:rsidRDefault="008B55A2" w14:paraId="2B7C13CB" w14:textId="6381A0FC">
            <w:pPr>
              <w:spacing w:after="240"/>
              <w:rPr>
                <w:szCs w:val="24"/>
              </w:rPr>
            </w:pPr>
            <w:r>
              <w:rPr>
                <w:szCs w:val="24"/>
              </w:rPr>
              <w:t>Executed copy of IA reflecting a commercial operation date no later than the RCOD</w:t>
            </w:r>
          </w:p>
        </w:tc>
      </w:tr>
      <w:tr w:rsidR="00AE51F9" w:rsidTr="00611BF3" w14:paraId="1898C95D" w14:textId="77777777">
        <w:tc>
          <w:tcPr>
            <w:tcW w:w="3420" w:type="dxa"/>
          </w:tcPr>
          <w:p w:rsidR="00D61E70" w:rsidP="00432623" w:rsidRDefault="008B55A2" w14:paraId="1647587B" w14:textId="77777777">
            <w:pPr>
              <w:spacing w:after="240"/>
              <w:jc w:val="left"/>
              <w:rPr>
                <w:szCs w:val="24"/>
              </w:rPr>
            </w:pPr>
            <w:r>
              <w:rPr>
                <w:szCs w:val="24"/>
              </w:rPr>
              <w:t>EPC Contract execution</w:t>
            </w:r>
          </w:p>
        </w:tc>
        <w:tc>
          <w:tcPr>
            <w:tcW w:w="2610" w:type="dxa"/>
          </w:tcPr>
          <w:p w:rsidR="00D61E70" w:rsidRDefault="00D61E70" w14:paraId="4A1A34AF" w14:textId="77777777">
            <w:pPr>
              <w:spacing w:after="240"/>
              <w:rPr>
                <w:szCs w:val="24"/>
              </w:rPr>
            </w:pPr>
          </w:p>
        </w:tc>
        <w:tc>
          <w:tcPr>
            <w:tcW w:w="3330" w:type="dxa"/>
          </w:tcPr>
          <w:p w:rsidR="00D61E70" w:rsidRDefault="008B55A2" w14:paraId="6A63FAC8" w14:textId="07B68AE2">
            <w:pPr>
              <w:spacing w:after="240"/>
              <w:rPr>
                <w:szCs w:val="24"/>
              </w:rPr>
            </w:pPr>
            <w:r>
              <w:rPr>
                <w:szCs w:val="24"/>
              </w:rPr>
              <w:t>A copy of the executed EPC Contract reflecting a substantial completion date that supports the RCOD</w:t>
            </w:r>
            <w:r w:rsidR="00883D07">
              <w:rPr>
                <w:szCs w:val="24"/>
              </w:rPr>
              <w:t>, with pricing and other commercially sensitive information redacted</w:t>
            </w:r>
          </w:p>
        </w:tc>
      </w:tr>
      <w:tr w:rsidR="00AE51F9" w:rsidTr="00611BF3" w14:paraId="57A1B3BD" w14:textId="77777777">
        <w:tc>
          <w:tcPr>
            <w:tcW w:w="3420" w:type="dxa"/>
          </w:tcPr>
          <w:p w:rsidRPr="00C22E00" w:rsidR="00AA4B90" w:rsidP="00AA4B90" w:rsidRDefault="00AA4B90" w14:paraId="1A88981B" w14:textId="51831518">
            <w:pPr>
              <w:spacing w:after="240"/>
            </w:pPr>
            <w:r w:rsidRPr="00C22E00">
              <w:t>Full execution of all major equipment procurement agreements, including those between Seller and applicable suppliers and vendors for</w:t>
            </w:r>
            <w:r>
              <w:t xml:space="preserve"> GSU, Switchyard equipment, Generator, BESS components,</w:t>
            </w:r>
            <w:r w:rsidR="00D8309C">
              <w:t xml:space="preserve"> </w:t>
            </w:r>
            <w:r>
              <w:t>Medium Voltage Transformer</w:t>
            </w:r>
            <w:r w:rsidR="00D8309C">
              <w:t>, and [</w:t>
            </w:r>
            <w:r w:rsidRPr="006E5A2F" w:rsidR="00D8309C">
              <w:rPr>
                <w:b/>
                <w:bCs/>
                <w:highlight w:val="cyan"/>
              </w:rPr>
              <w:t>Note to Bidders:</w:t>
            </w:r>
            <w:r w:rsidRPr="006E5A2F" w:rsidR="00D8309C">
              <w:rPr>
                <w:highlight w:val="cyan"/>
              </w:rPr>
              <w:t xml:space="preserve"> Please list additional major equipment</w:t>
            </w:r>
            <w:r w:rsidR="00D8309C">
              <w:t>]</w:t>
            </w:r>
            <w:r w:rsidRPr="00C22E00">
              <w:t>:</w:t>
            </w:r>
          </w:p>
          <w:p w:rsidR="00AA4B90" w:rsidP="00AA4B90" w:rsidRDefault="00AA4B90" w14:paraId="05400AB2" w14:textId="77777777">
            <w:pPr>
              <w:spacing w:after="240"/>
            </w:pPr>
            <w:r w:rsidRPr="00C22E00">
              <w:t xml:space="preserve">•     </w:t>
            </w:r>
            <w:r w:rsidRPr="00883E27">
              <w:rPr>
                <w:highlight w:val="yellow"/>
              </w:rPr>
              <w:t>#AddEquipment</w:t>
            </w:r>
            <w:r>
              <w:t xml:space="preserve"> </w:t>
            </w:r>
          </w:p>
          <w:p w:rsidR="00AA4B90" w:rsidP="00AA4B90" w:rsidRDefault="00AA4B90" w14:paraId="04E6FBB3" w14:textId="77777777">
            <w:pPr>
              <w:spacing w:after="240"/>
            </w:pPr>
            <w:r w:rsidRPr="00C22E00">
              <w:t xml:space="preserve">•     </w:t>
            </w:r>
            <w:r w:rsidRPr="00DD2C25">
              <w:rPr>
                <w:highlight w:val="yellow"/>
              </w:rPr>
              <w:t>#AddEquipment</w:t>
            </w:r>
            <w:r>
              <w:t xml:space="preserve"> </w:t>
            </w:r>
          </w:p>
          <w:p w:rsidR="00AA4B90" w:rsidP="00AA4B90" w:rsidRDefault="00AA4B90" w14:paraId="2C52BBE0" w14:textId="77777777">
            <w:pPr>
              <w:spacing w:after="240"/>
            </w:pPr>
            <w:r w:rsidRPr="00C22E00">
              <w:t xml:space="preserve">•     </w:t>
            </w:r>
            <w:r w:rsidRPr="00DD2C25">
              <w:rPr>
                <w:highlight w:val="yellow"/>
              </w:rPr>
              <w:t>#AddEquipment</w:t>
            </w:r>
            <w:r>
              <w:t xml:space="preserve"> </w:t>
            </w:r>
          </w:p>
          <w:p w:rsidR="00AA4B90" w:rsidP="00AA4B90" w:rsidRDefault="00AA4B90" w14:paraId="7CFE3C8A" w14:textId="77777777">
            <w:pPr>
              <w:spacing w:after="240"/>
              <w:jc w:val="left"/>
            </w:pPr>
            <w:r w:rsidRPr="00C22E00">
              <w:t xml:space="preserve">•     </w:t>
            </w:r>
            <w:r w:rsidRPr="00DD2C25">
              <w:rPr>
                <w:highlight w:val="yellow"/>
              </w:rPr>
              <w:t>#AddEquipment</w:t>
            </w:r>
          </w:p>
          <w:p w:rsidR="00D61E70" w:rsidP="00432623" w:rsidRDefault="00AA4B90" w14:paraId="4E417483" w14:textId="5B547830">
            <w:pPr>
              <w:spacing w:after="240"/>
              <w:jc w:val="left"/>
              <w:rPr>
                <w:szCs w:val="24"/>
              </w:rPr>
            </w:pPr>
            <w:r w:rsidRPr="00C22E00">
              <w:t>and issuance of any applicable full notice to proceed.</w:t>
            </w:r>
          </w:p>
        </w:tc>
        <w:tc>
          <w:tcPr>
            <w:tcW w:w="2610" w:type="dxa"/>
          </w:tcPr>
          <w:p w:rsidR="00D61E70" w:rsidRDefault="00D61E70" w14:paraId="401F9D08" w14:textId="77777777">
            <w:pPr>
              <w:spacing w:after="240"/>
              <w:rPr>
                <w:szCs w:val="24"/>
              </w:rPr>
            </w:pPr>
          </w:p>
        </w:tc>
        <w:tc>
          <w:tcPr>
            <w:tcW w:w="3330" w:type="dxa"/>
          </w:tcPr>
          <w:p w:rsidR="00D61E70" w:rsidP="00462E05" w:rsidRDefault="008B55A2" w14:paraId="17D814C6" w14:textId="518740F3">
            <w:pPr>
              <w:spacing w:after="240"/>
              <w:jc w:val="left"/>
              <w:rPr>
                <w:szCs w:val="24"/>
              </w:rPr>
            </w:pPr>
            <w:r>
              <w:rPr>
                <w:szCs w:val="24"/>
              </w:rPr>
              <w:t>A copy of each executed major equipment procurement agreement, with pricing</w:t>
            </w:r>
            <w:r w:rsidR="00AC0BFB">
              <w:rPr>
                <w:szCs w:val="24"/>
              </w:rPr>
              <w:t xml:space="preserve"> and other commercially sensitive information</w:t>
            </w:r>
            <w:r>
              <w:rPr>
                <w:szCs w:val="24"/>
              </w:rPr>
              <w:t xml:space="preserve"> redacted,</w:t>
            </w:r>
            <w:r w:rsidR="00AC0BFB">
              <w:rPr>
                <w:szCs w:val="24"/>
              </w:rPr>
              <w:t xml:space="preserve"> but</w:t>
            </w:r>
            <w:r>
              <w:rPr>
                <w:szCs w:val="24"/>
              </w:rPr>
              <w:t xml:space="preserve"> including: (i) a description of the country of origin for all equipment and components to be supplied under the agreement; (ii) any applicable full notice to proceed; and (iii) schedules with required delivery dates consistent with the RCOD. </w:t>
            </w:r>
          </w:p>
        </w:tc>
      </w:tr>
      <w:tr w:rsidR="00AE51F9" w:rsidTr="00611BF3" w14:paraId="3A03D4EB" w14:textId="77777777">
        <w:tc>
          <w:tcPr>
            <w:tcW w:w="3420" w:type="dxa"/>
          </w:tcPr>
          <w:p w:rsidR="00221888" w:rsidP="00432623" w:rsidRDefault="008B55A2" w14:paraId="71794242" w14:textId="77777777">
            <w:pPr>
              <w:spacing w:after="240"/>
              <w:rPr>
                <w:szCs w:val="24"/>
              </w:rPr>
            </w:pPr>
            <w:r>
              <w:rPr>
                <w:szCs w:val="24"/>
              </w:rPr>
              <w:t>EPC Contract Schedule Complete</w:t>
            </w:r>
          </w:p>
        </w:tc>
        <w:tc>
          <w:tcPr>
            <w:tcW w:w="2610" w:type="dxa"/>
          </w:tcPr>
          <w:p w:rsidR="00221888" w:rsidRDefault="00221888" w14:paraId="53EFCDB2" w14:textId="77777777">
            <w:pPr>
              <w:spacing w:after="240"/>
              <w:rPr>
                <w:szCs w:val="24"/>
              </w:rPr>
            </w:pPr>
          </w:p>
        </w:tc>
        <w:tc>
          <w:tcPr>
            <w:tcW w:w="3330" w:type="dxa"/>
          </w:tcPr>
          <w:p w:rsidR="00221888" w:rsidRDefault="008B55A2" w14:paraId="31B2F8E9" w14:textId="77777777">
            <w:pPr>
              <w:spacing w:after="240"/>
              <w:rPr>
                <w:szCs w:val="24"/>
              </w:rPr>
            </w:pPr>
            <w:r>
              <w:rPr>
                <w:szCs w:val="24"/>
              </w:rPr>
              <w:t xml:space="preserve">A copy of the EPC Contract schedule, which must be at least a </w:t>
            </w:r>
            <w:r>
              <w:rPr>
                <w:szCs w:val="24"/>
              </w:rPr>
              <w:lastRenderedPageBreak/>
              <w:t xml:space="preserve">level 3 critical path method schedule that supports the RCOD. </w:t>
            </w:r>
          </w:p>
        </w:tc>
      </w:tr>
      <w:tr w:rsidR="00AE51F9" w:rsidTr="00611BF3" w14:paraId="469480C1" w14:textId="77777777">
        <w:tc>
          <w:tcPr>
            <w:tcW w:w="3420" w:type="dxa"/>
          </w:tcPr>
          <w:p w:rsidR="00D61E70" w:rsidP="00432623" w:rsidRDefault="008B55A2" w14:paraId="400BFFC8" w14:textId="5C9989CA">
            <w:pPr>
              <w:spacing w:after="240"/>
              <w:jc w:val="left"/>
              <w:rPr>
                <w:szCs w:val="24"/>
              </w:rPr>
            </w:pPr>
            <w:r>
              <w:rPr>
                <w:szCs w:val="24"/>
              </w:rPr>
              <w:lastRenderedPageBreak/>
              <w:t xml:space="preserve">All </w:t>
            </w:r>
            <w:r w:rsidR="005557BE">
              <w:rPr>
                <w:szCs w:val="24"/>
              </w:rPr>
              <w:t>p</w:t>
            </w:r>
            <w:r>
              <w:rPr>
                <w:szCs w:val="24"/>
              </w:rPr>
              <w:t>ermits required for Facility construction and Commercial Operation.</w:t>
            </w:r>
          </w:p>
          <w:p w:rsidR="00D61E70" w:rsidP="00432623" w:rsidRDefault="008B55A2" w14:paraId="27606F47" w14:textId="77777777">
            <w:pPr>
              <w:spacing w:after="240"/>
              <w:jc w:val="left"/>
              <w:rPr>
                <w:szCs w:val="24"/>
              </w:rPr>
            </w:pPr>
            <w:r>
              <w:rPr>
                <w:szCs w:val="24"/>
              </w:rPr>
              <w:t>•    Applications submitted</w:t>
            </w:r>
          </w:p>
          <w:p w:rsidR="00D61E70" w:rsidP="00432623" w:rsidRDefault="008B55A2" w14:paraId="3999C58B" w14:textId="0947F935">
            <w:pPr>
              <w:spacing w:after="240"/>
              <w:jc w:val="left"/>
              <w:rPr>
                <w:szCs w:val="24"/>
              </w:rPr>
            </w:pPr>
            <w:r>
              <w:rPr>
                <w:szCs w:val="24"/>
              </w:rPr>
              <w:t xml:space="preserve">•    All </w:t>
            </w:r>
            <w:r w:rsidR="005557BE">
              <w:rPr>
                <w:szCs w:val="24"/>
              </w:rPr>
              <w:t>p</w:t>
            </w:r>
            <w:r>
              <w:rPr>
                <w:szCs w:val="24"/>
              </w:rPr>
              <w:t>ermits obtained</w:t>
            </w:r>
          </w:p>
        </w:tc>
        <w:tc>
          <w:tcPr>
            <w:tcW w:w="2610" w:type="dxa"/>
          </w:tcPr>
          <w:p w:rsidR="00D61E70" w:rsidRDefault="00D61E70" w14:paraId="5B3C3BAA" w14:textId="77777777">
            <w:pPr>
              <w:spacing w:after="240"/>
              <w:rPr>
                <w:szCs w:val="24"/>
              </w:rPr>
            </w:pPr>
          </w:p>
        </w:tc>
        <w:tc>
          <w:tcPr>
            <w:tcW w:w="3330" w:type="dxa"/>
          </w:tcPr>
          <w:p w:rsidR="00D61E70" w:rsidRDefault="008B55A2" w14:paraId="30C9BE41" w14:textId="334FA404">
            <w:pPr>
              <w:spacing w:after="240"/>
              <w:rPr>
                <w:szCs w:val="24"/>
              </w:rPr>
            </w:pPr>
            <w:r>
              <w:rPr>
                <w:szCs w:val="24"/>
              </w:rPr>
              <w:t xml:space="preserve">A matrix of required </w:t>
            </w:r>
            <w:r w:rsidR="005557BE">
              <w:rPr>
                <w:szCs w:val="24"/>
              </w:rPr>
              <w:t>p</w:t>
            </w:r>
            <w:r>
              <w:rPr>
                <w:szCs w:val="24"/>
              </w:rPr>
              <w:t xml:space="preserve">ermits, copies of applications submitted, and a copy of </w:t>
            </w:r>
            <w:r w:rsidR="005557BE">
              <w:rPr>
                <w:szCs w:val="24"/>
              </w:rPr>
              <w:t>p</w:t>
            </w:r>
            <w:r>
              <w:rPr>
                <w:szCs w:val="24"/>
              </w:rPr>
              <w:t>ermits obtained.</w:t>
            </w:r>
          </w:p>
        </w:tc>
      </w:tr>
      <w:tr w:rsidR="00AE51F9" w:rsidTr="00611BF3" w14:paraId="02442E61" w14:textId="77777777">
        <w:tc>
          <w:tcPr>
            <w:tcW w:w="3420" w:type="dxa"/>
          </w:tcPr>
          <w:p w:rsidR="00D61E70" w:rsidP="00432623" w:rsidRDefault="008B55A2" w14:paraId="4A1C4E58" w14:textId="77777777">
            <w:pPr>
              <w:spacing w:after="240"/>
              <w:jc w:val="left"/>
              <w:rPr>
                <w:szCs w:val="24"/>
              </w:rPr>
            </w:pPr>
            <w:r>
              <w:rPr>
                <w:szCs w:val="24"/>
              </w:rPr>
              <w:t>Financial Closing</w:t>
            </w:r>
          </w:p>
        </w:tc>
        <w:tc>
          <w:tcPr>
            <w:tcW w:w="2610" w:type="dxa"/>
          </w:tcPr>
          <w:p w:rsidR="00D61E70" w:rsidRDefault="00D61E70" w14:paraId="3AF664D4" w14:textId="77777777">
            <w:pPr>
              <w:spacing w:after="240"/>
              <w:rPr>
                <w:szCs w:val="24"/>
              </w:rPr>
            </w:pPr>
          </w:p>
        </w:tc>
        <w:tc>
          <w:tcPr>
            <w:tcW w:w="3330" w:type="dxa"/>
          </w:tcPr>
          <w:p w:rsidRPr="00EB2A91" w:rsidR="00173028" w:rsidP="00173028" w:rsidRDefault="008B55A2" w14:paraId="1986F135" w14:textId="77777777">
            <w:pPr>
              <w:pStyle w:val="BodyText"/>
              <w:spacing w:after="240"/>
              <w:rPr>
                <w:rFonts w:cs="Arial"/>
                <w:szCs w:val="24"/>
              </w:rPr>
            </w:pPr>
            <w:r>
              <w:rPr>
                <w:szCs w:val="24"/>
              </w:rPr>
              <w:t xml:space="preserve">A letter from an officer of Seller certifying that </w:t>
            </w:r>
            <w:r>
              <w:rPr>
                <w:rFonts w:cs="Arial"/>
                <w:szCs w:val="24"/>
              </w:rPr>
              <w:t xml:space="preserve">the following </w:t>
            </w:r>
            <w:r>
              <w:rPr>
                <w:szCs w:val="24"/>
              </w:rPr>
              <w:t>occurred</w:t>
            </w:r>
            <w:r>
              <w:rPr>
                <w:rFonts w:cs="Arial"/>
                <w:szCs w:val="24"/>
              </w:rPr>
              <w:t xml:space="preserve">:  </w:t>
            </w:r>
          </w:p>
          <w:p w:rsidRPr="009E23CE" w:rsidR="00173028" w:rsidP="00173028" w:rsidRDefault="008B55A2" w14:paraId="68E05013" w14:textId="77777777">
            <w:pPr>
              <w:pStyle w:val="BodyText"/>
              <w:spacing w:after="240"/>
              <w:rPr>
                <w:rFonts w:cs="Arial"/>
                <w:szCs w:val="24"/>
              </w:rPr>
            </w:pPr>
            <w:r>
              <w:rPr>
                <w:rFonts w:cs="Arial"/>
                <w:szCs w:val="24"/>
              </w:rPr>
              <w:t>(i)</w:t>
            </w:r>
            <w:r>
              <w:rPr>
                <w:rFonts w:cs="Arial"/>
                <w:szCs w:val="24"/>
              </w:rPr>
              <w:tab/>
              <w:t xml:space="preserve">Seller obtained and has closed on all financing arrangements necessary to obtain funds for the anticipated cost of completing construction of the Facility; </w:t>
            </w:r>
          </w:p>
          <w:p w:rsidRPr="007E20F5" w:rsidR="00173028" w:rsidP="00173028" w:rsidRDefault="008B55A2" w14:paraId="006CD03C" w14:textId="77777777">
            <w:pPr>
              <w:pStyle w:val="BodyText"/>
              <w:spacing w:after="240"/>
              <w:rPr>
                <w:rFonts w:cs="Arial"/>
                <w:szCs w:val="24"/>
              </w:rPr>
            </w:pPr>
            <w:r>
              <w:rPr>
                <w:rFonts w:cs="Arial"/>
                <w:szCs w:val="24"/>
              </w:rPr>
              <w:t>(ii)</w:t>
            </w:r>
            <w:r>
              <w:rPr>
                <w:rFonts w:cs="Arial"/>
                <w:szCs w:val="24"/>
              </w:rPr>
              <w:tab/>
              <w:t>all conditions precedent to the availability of funds</w:t>
            </w:r>
            <w:r>
              <w:rPr>
                <w:szCs w:val="24"/>
              </w:rPr>
              <w:t xml:space="preserve"> pursuant to </w:t>
            </w:r>
            <w:r>
              <w:rPr>
                <w:rFonts w:cs="Arial"/>
                <w:szCs w:val="24"/>
              </w:rPr>
              <w:t>such financing arrangements have been satisfied or waived by the applicable parties (other than customary conditions to each drawdown of a construction loan), and such funds (subject to customary conditions to each drawdown of a construction loan) will be made available for disbursement to Seller; and</w:t>
            </w:r>
          </w:p>
          <w:p w:rsidR="00D61E70" w:rsidP="00173028" w:rsidRDefault="008B55A2" w14:paraId="697D2D6A" w14:textId="77777777">
            <w:pPr>
              <w:spacing w:after="240"/>
              <w:rPr>
                <w:szCs w:val="24"/>
              </w:rPr>
            </w:pPr>
            <w:r>
              <w:rPr>
                <w:rFonts w:cs="Arial"/>
                <w:szCs w:val="24"/>
              </w:rPr>
              <w:t>(iii)</w:t>
            </w:r>
            <w:r>
              <w:rPr>
                <w:rFonts w:cs="Arial"/>
                <w:szCs w:val="24"/>
              </w:rPr>
              <w:tab/>
              <w:t>an officer of Seller has provided GPC with an executed certification that the foregoing (i) and (ii) have occurred.</w:t>
            </w:r>
          </w:p>
        </w:tc>
      </w:tr>
      <w:tr w:rsidR="00AE51F9" w:rsidTr="00611BF3" w14:paraId="30079410" w14:textId="77777777">
        <w:tc>
          <w:tcPr>
            <w:tcW w:w="3420" w:type="dxa"/>
          </w:tcPr>
          <w:p w:rsidR="00D61E70" w:rsidP="00432623" w:rsidRDefault="008B55A2" w14:paraId="0CB3E947" w14:textId="77777777">
            <w:pPr>
              <w:spacing w:after="240"/>
              <w:jc w:val="left"/>
              <w:rPr>
                <w:szCs w:val="24"/>
              </w:rPr>
            </w:pPr>
            <w:r>
              <w:rPr>
                <w:szCs w:val="24"/>
              </w:rPr>
              <w:t>Interconnection Notice to Proceed</w:t>
            </w:r>
          </w:p>
        </w:tc>
        <w:tc>
          <w:tcPr>
            <w:tcW w:w="2610" w:type="dxa"/>
          </w:tcPr>
          <w:p w:rsidR="00D61E70" w:rsidRDefault="008B55A2" w14:paraId="6D08F873" w14:textId="77777777">
            <w:pPr>
              <w:spacing w:after="240"/>
              <w:rPr>
                <w:szCs w:val="24"/>
              </w:rPr>
            </w:pPr>
            <w:r>
              <w:t>The date by which the IA notice to proceed must be issued for commercial operation (as defined in the IA) to be achieved in time to support RCOD.</w:t>
            </w:r>
          </w:p>
        </w:tc>
        <w:tc>
          <w:tcPr>
            <w:tcW w:w="3330" w:type="dxa"/>
          </w:tcPr>
          <w:p w:rsidR="00D61E70" w:rsidRDefault="008B55A2" w14:paraId="0C303255" w14:textId="77777777">
            <w:pPr>
              <w:spacing w:after="240"/>
              <w:rPr>
                <w:szCs w:val="24"/>
              </w:rPr>
            </w:pPr>
            <w:r>
              <w:rPr>
                <w:szCs w:val="24"/>
              </w:rPr>
              <w:t xml:space="preserve">An executed copy of the Interconnection Notice to Proceed </w:t>
            </w:r>
          </w:p>
        </w:tc>
      </w:tr>
      <w:tr w:rsidR="00AE51F9" w:rsidTr="00611BF3" w14:paraId="39BD44FF" w14:textId="77777777">
        <w:tc>
          <w:tcPr>
            <w:tcW w:w="3420" w:type="dxa"/>
          </w:tcPr>
          <w:p w:rsidR="00D61E70" w:rsidP="00432623" w:rsidRDefault="008B55A2" w14:paraId="2DC7F198" w14:textId="77777777">
            <w:pPr>
              <w:spacing w:after="240"/>
              <w:jc w:val="left"/>
              <w:rPr>
                <w:szCs w:val="24"/>
              </w:rPr>
            </w:pPr>
            <w:r>
              <w:rPr>
                <w:szCs w:val="24"/>
              </w:rPr>
              <w:t xml:space="preserve">EPC Notice to Proceed </w:t>
            </w:r>
          </w:p>
        </w:tc>
        <w:tc>
          <w:tcPr>
            <w:tcW w:w="2610" w:type="dxa"/>
          </w:tcPr>
          <w:p w:rsidR="00D61E70" w:rsidRDefault="00D61E70" w14:paraId="6A8C2E81" w14:textId="77777777">
            <w:pPr>
              <w:spacing w:after="240"/>
              <w:rPr>
                <w:szCs w:val="24"/>
              </w:rPr>
            </w:pPr>
          </w:p>
        </w:tc>
        <w:tc>
          <w:tcPr>
            <w:tcW w:w="3330" w:type="dxa"/>
          </w:tcPr>
          <w:p w:rsidR="00D61E70" w:rsidRDefault="008B55A2" w14:paraId="1EE10659" w14:textId="77777777">
            <w:pPr>
              <w:spacing w:after="240"/>
              <w:rPr>
                <w:szCs w:val="24"/>
              </w:rPr>
            </w:pPr>
            <w:r>
              <w:rPr>
                <w:szCs w:val="24"/>
              </w:rPr>
              <w:t>A copy of the EPC Notice to Proceed.</w:t>
            </w:r>
          </w:p>
        </w:tc>
      </w:tr>
      <w:tr w:rsidR="00AE51F9" w:rsidTr="00611BF3" w14:paraId="3D3738A3" w14:textId="77777777">
        <w:tc>
          <w:tcPr>
            <w:tcW w:w="3420" w:type="dxa"/>
          </w:tcPr>
          <w:p w:rsidR="00D61E70" w:rsidP="00432623" w:rsidRDefault="008B55A2" w14:paraId="2D0CBB1C" w14:textId="5293BB7A">
            <w:pPr>
              <w:spacing w:after="240"/>
              <w:jc w:val="left"/>
              <w:rPr>
                <w:szCs w:val="24"/>
              </w:rPr>
            </w:pPr>
            <w:r>
              <w:rPr>
                <w:szCs w:val="24"/>
              </w:rPr>
              <w:lastRenderedPageBreak/>
              <w:t xml:space="preserve">Delivery of </w:t>
            </w:r>
            <w:r w:rsidR="00D456C8">
              <w:rPr>
                <w:szCs w:val="24"/>
              </w:rPr>
              <w:t xml:space="preserve">all </w:t>
            </w:r>
            <w:r>
              <w:rPr>
                <w:szCs w:val="24"/>
              </w:rPr>
              <w:t xml:space="preserve">Major Equipment to the Facility site by date required to support </w:t>
            </w:r>
            <w:r w:rsidR="00C169F4">
              <w:rPr>
                <w:szCs w:val="24"/>
              </w:rPr>
              <w:t>Commercial Operation by the RCOD</w:t>
            </w:r>
            <w:r>
              <w:rPr>
                <w:szCs w:val="24"/>
              </w:rPr>
              <w:t xml:space="preserve">. </w:t>
            </w:r>
          </w:p>
        </w:tc>
        <w:tc>
          <w:tcPr>
            <w:tcW w:w="2610" w:type="dxa"/>
          </w:tcPr>
          <w:p w:rsidR="00D61E70" w:rsidRDefault="00D61E70" w14:paraId="5C72FE28" w14:textId="77777777">
            <w:pPr>
              <w:spacing w:after="240"/>
              <w:rPr>
                <w:szCs w:val="24"/>
              </w:rPr>
            </w:pPr>
          </w:p>
        </w:tc>
        <w:tc>
          <w:tcPr>
            <w:tcW w:w="3330" w:type="dxa"/>
          </w:tcPr>
          <w:p w:rsidR="00D61E70" w:rsidRDefault="00D61E70" w14:paraId="428D2E55" w14:textId="77777777">
            <w:pPr>
              <w:spacing w:after="240"/>
              <w:rPr>
                <w:szCs w:val="24"/>
              </w:rPr>
            </w:pPr>
          </w:p>
        </w:tc>
      </w:tr>
      <w:tr w:rsidR="00AE51F9" w:rsidTr="00611BF3" w14:paraId="0944B254" w14:textId="77777777">
        <w:tc>
          <w:tcPr>
            <w:tcW w:w="3420" w:type="dxa"/>
          </w:tcPr>
          <w:p w:rsidR="00D61E70" w:rsidP="00432623" w:rsidRDefault="008B55A2" w14:paraId="0A84A32E" w14:textId="77777777">
            <w:pPr>
              <w:spacing w:after="240"/>
              <w:jc w:val="left"/>
              <w:rPr>
                <w:szCs w:val="24"/>
              </w:rPr>
            </w:pPr>
            <w:r>
              <w:rPr>
                <w:szCs w:val="24"/>
              </w:rPr>
              <w:t>Achievement of EPC Contract key milestones:</w:t>
            </w:r>
          </w:p>
          <w:p w:rsidR="00D61E70" w:rsidP="00432623" w:rsidRDefault="008B55A2" w14:paraId="1D74C6A6" w14:textId="77777777">
            <w:pPr>
              <w:spacing w:after="240"/>
              <w:jc w:val="left"/>
              <w:rPr>
                <w:szCs w:val="24"/>
              </w:rPr>
            </w:pPr>
            <w:r>
              <w:rPr>
                <w:szCs w:val="24"/>
              </w:rPr>
              <w:t>•    Site mobilization</w:t>
            </w:r>
          </w:p>
          <w:p w:rsidR="00D61E70" w:rsidP="00432623" w:rsidRDefault="008B55A2" w14:paraId="23F584DB" w14:textId="77777777">
            <w:pPr>
              <w:spacing w:after="240"/>
              <w:jc w:val="left"/>
              <w:rPr>
                <w:szCs w:val="24"/>
              </w:rPr>
            </w:pPr>
            <w:r>
              <w:rPr>
                <w:szCs w:val="24"/>
              </w:rPr>
              <w:t>•    Mechanical Completion</w:t>
            </w:r>
          </w:p>
          <w:p w:rsidR="00D61E70" w:rsidP="00432623" w:rsidRDefault="008B55A2" w14:paraId="1CF68207" w14:textId="77777777">
            <w:pPr>
              <w:spacing w:after="240"/>
              <w:jc w:val="left"/>
              <w:rPr>
                <w:szCs w:val="24"/>
              </w:rPr>
            </w:pPr>
            <w:r>
              <w:rPr>
                <w:szCs w:val="24"/>
              </w:rPr>
              <w:t>•    Substantial Completion</w:t>
            </w:r>
          </w:p>
          <w:p w:rsidR="00D61E70" w:rsidP="00432623" w:rsidRDefault="008B55A2" w14:paraId="37E7106C" w14:textId="77777777">
            <w:pPr>
              <w:spacing w:after="240"/>
              <w:jc w:val="left"/>
              <w:rPr>
                <w:szCs w:val="24"/>
              </w:rPr>
            </w:pPr>
            <w:r>
              <w:rPr>
                <w:szCs w:val="24"/>
              </w:rPr>
              <w:t>•    Initial synchronization</w:t>
            </w:r>
          </w:p>
        </w:tc>
        <w:tc>
          <w:tcPr>
            <w:tcW w:w="2610" w:type="dxa"/>
          </w:tcPr>
          <w:p w:rsidR="00D61E70" w:rsidRDefault="00D61E70" w14:paraId="366DDCD2" w14:textId="77777777">
            <w:pPr>
              <w:spacing w:after="240"/>
              <w:rPr>
                <w:szCs w:val="24"/>
              </w:rPr>
            </w:pPr>
          </w:p>
        </w:tc>
        <w:tc>
          <w:tcPr>
            <w:tcW w:w="3330" w:type="dxa"/>
          </w:tcPr>
          <w:p w:rsidR="00D61E70" w:rsidRDefault="00D61E70" w14:paraId="2FBD391C" w14:textId="77777777">
            <w:pPr>
              <w:spacing w:after="240"/>
              <w:rPr>
                <w:szCs w:val="24"/>
              </w:rPr>
            </w:pPr>
          </w:p>
        </w:tc>
      </w:tr>
      <w:tr w:rsidR="00AE51F9" w:rsidTr="00611BF3" w14:paraId="31D932D4" w14:textId="77777777">
        <w:tc>
          <w:tcPr>
            <w:tcW w:w="3420" w:type="dxa"/>
          </w:tcPr>
          <w:p w:rsidR="00D61E70" w:rsidP="00432623" w:rsidRDefault="008B55A2" w14:paraId="2B79FB1C" w14:textId="77777777">
            <w:pPr>
              <w:spacing w:after="240"/>
              <w:jc w:val="left"/>
              <w:rPr>
                <w:szCs w:val="24"/>
              </w:rPr>
            </w:pPr>
            <w:r>
              <w:rPr>
                <w:szCs w:val="24"/>
              </w:rPr>
              <w:t>RCOD</w:t>
            </w:r>
          </w:p>
        </w:tc>
        <w:tc>
          <w:tcPr>
            <w:tcW w:w="2610" w:type="dxa"/>
          </w:tcPr>
          <w:p w:rsidR="00D61E70" w:rsidRDefault="00D61E70" w14:paraId="01A33CAA" w14:textId="77777777">
            <w:pPr>
              <w:spacing w:after="240"/>
              <w:rPr>
                <w:szCs w:val="24"/>
              </w:rPr>
            </w:pPr>
          </w:p>
        </w:tc>
        <w:tc>
          <w:tcPr>
            <w:tcW w:w="3330" w:type="dxa"/>
          </w:tcPr>
          <w:p w:rsidR="00D61E70" w:rsidRDefault="00D61E70" w14:paraId="6E5AF0EA" w14:textId="77777777">
            <w:pPr>
              <w:spacing w:after="240"/>
              <w:rPr>
                <w:szCs w:val="24"/>
              </w:rPr>
            </w:pPr>
          </w:p>
        </w:tc>
      </w:tr>
    </w:tbl>
    <w:p w:rsidR="00EF6F07" w:rsidP="00EF6F07" w:rsidRDefault="008B55A2" w14:paraId="747FAABB" w14:textId="77777777">
      <w:pPr>
        <w:pStyle w:val="zGTitle12"/>
        <w:tabs>
          <w:tab w:val="left" w:pos="640"/>
          <w:tab w:val="center" w:pos="4680"/>
        </w:tabs>
        <w:jc w:val="left"/>
      </w:pPr>
      <w:r>
        <w:tab/>
      </w:r>
    </w:p>
    <w:p w:rsidR="00BF0D35" w:rsidRDefault="00BF0D35" w14:paraId="60C5BF38" w14:textId="77777777"/>
    <w:p w:rsidR="00613427" w:rsidRDefault="008B55A2" w14:paraId="1D45A7C7" w14:textId="77777777">
      <w:pPr>
        <w:sectPr w:rsidR="00613427" w:rsidSect="00226062">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2240" w:h="15840" w:code="1"/>
          <w:pgMar w:top="1440" w:right="1440" w:bottom="1440" w:left="1440" w:header="720" w:footer="720" w:gutter="0"/>
          <w:paperSrc w:first="15" w:other="15"/>
          <w:cols w:space="1440"/>
        </w:sectPr>
      </w:pPr>
      <w:r>
        <w:br w:type="page"/>
      </w:r>
    </w:p>
    <w:p w:rsidR="00050A04" w:rsidP="00BF0D35" w:rsidRDefault="00050A04" w14:paraId="14424E5E" w14:textId="77777777">
      <w:pPr>
        <w:pStyle w:val="zGTitleExhibit"/>
      </w:pPr>
      <w:bookmarkStart w:name="_Toc160749229" w:id="1399"/>
    </w:p>
    <w:p w:rsidR="00BF0D35" w:rsidP="00BF0D35" w:rsidRDefault="008B55A2" w14:paraId="4EC53427" w14:textId="1D304CD0">
      <w:pPr>
        <w:pStyle w:val="zGTitleExhibit"/>
      </w:pPr>
      <w:bookmarkStart w:name="_Toc174624982" w:id="1400"/>
      <w:bookmarkStart w:name="_Toc194937596" w:id="1401"/>
      <w:bookmarkStart w:name="_Toc227451642" w:id="1402"/>
      <w:r>
        <w:t xml:space="preserve">Exhibit A-2 – Performance Security and </w:t>
      </w:r>
      <w:bookmarkEnd w:id="1400"/>
      <w:r>
        <w:t>Liquidated Damages</w:t>
      </w:r>
      <w:bookmarkEnd w:id="1399"/>
      <w:bookmarkEnd w:id="1401"/>
      <w:bookmarkEnd w:id="1402"/>
    </w:p>
    <w:p w:rsidR="00216971" w:rsidP="00216971" w:rsidRDefault="00216971" w14:paraId="7E6EAB5C" w14:textId="77777777">
      <w:pPr>
        <w:pStyle w:val="zGNormal"/>
      </w:pPr>
    </w:p>
    <w:p w:rsidRPr="00884D7E" w:rsidR="00216971" w:rsidP="00216971" w:rsidRDefault="008B55A2" w14:paraId="76B0D78A" w14:textId="77777777">
      <w:pPr>
        <w:pStyle w:val="zGNormal"/>
        <w:rPr>
          <w:rStyle w:val="Subheading"/>
        </w:rPr>
      </w:pPr>
      <w:r>
        <w:t>All amounts shown as $/kW will be calculated based on the Facility’s Contracted Capacity.</w:t>
      </w:r>
    </w:p>
    <w:p w:rsidRPr="00884D7E" w:rsidR="00216971" w:rsidP="00216971" w:rsidRDefault="00216971" w14:paraId="7949B15B" w14:textId="77777777">
      <w:pPr>
        <w:pStyle w:val="zGNormal"/>
      </w:pPr>
      <w:bookmarkStart w:name="_Toc167347254" w:id="1403"/>
      <w:bookmarkStart w:name="_Toc169758313" w:id="1404"/>
    </w:p>
    <w:p w:rsidRPr="00884D7E" w:rsidR="00216971" w:rsidP="00216971" w:rsidRDefault="00216971" w14:paraId="1B25E360" w14:textId="77777777">
      <w:pPr>
        <w:pStyle w:val="zGNormal"/>
      </w:pPr>
    </w:p>
    <w:p w:rsidRPr="00884D7E" w:rsidR="00216971" w:rsidP="00216971" w:rsidRDefault="008B55A2" w14:paraId="1790A255" w14:textId="69A44A34">
      <w:pPr>
        <w:pStyle w:val="zGNormal"/>
        <w:rPr>
          <w:b/>
          <w:bCs/>
          <w:caps/>
          <w:u w:val="single"/>
        </w:rPr>
      </w:pPr>
      <w:r>
        <w:rPr>
          <w:b/>
          <w:bCs/>
          <w:caps/>
          <w:u w:val="single"/>
        </w:rPr>
        <w:t>Part 1.  Performance Security</w:t>
      </w:r>
      <w:bookmarkEnd w:id="1403"/>
      <w:bookmarkEnd w:id="1404"/>
    </w:p>
    <w:p w:rsidRPr="00884D7E" w:rsidR="00216971" w:rsidP="00216971" w:rsidRDefault="00216971" w14:paraId="22B06328" w14:textId="77777777">
      <w:pPr>
        <w:pStyle w:val="zGNormal"/>
        <w:rPr>
          <w:b/>
          <w:bCs/>
          <w:caps/>
          <w:u w:val="single"/>
        </w:rPr>
      </w:pPr>
    </w:p>
    <w:p w:rsidRPr="00884D7E" w:rsidR="00216971" w:rsidP="00216971" w:rsidRDefault="00216971" w14:paraId="63D8CBEC" w14:textId="77777777">
      <w:pPr>
        <w:pStyle w:val="zGNormal"/>
        <w:rPr>
          <w:b/>
          <w:bCs/>
          <w:caps/>
          <w:u w:val="single"/>
        </w:rPr>
      </w:pPr>
    </w:p>
    <w:p w:rsidRPr="00884D7E" w:rsidR="00216971" w:rsidP="00216971" w:rsidRDefault="00216971" w14:paraId="362FEB16" w14:textId="77777777">
      <w:pPr>
        <w:pStyle w:val="zGNormal"/>
      </w:pPr>
    </w:p>
    <w:p w:rsidRPr="00884D7E" w:rsidR="00216971" w:rsidP="00216971" w:rsidRDefault="00216971" w14:paraId="675A8A73" w14:textId="77777777">
      <w:pPr>
        <w:pStyle w:val="zGNormal"/>
      </w:pPr>
    </w:p>
    <w:p w:rsidRPr="00884D7E" w:rsidR="00216971" w:rsidP="00216971" w:rsidRDefault="008B55A2" w14:paraId="177E475B" w14:textId="6E16A718">
      <w:pPr>
        <w:pStyle w:val="zGNormal"/>
        <w:rPr>
          <w:b/>
          <w:bCs/>
        </w:rPr>
      </w:pPr>
      <w:r w:rsidRPr="004D646E">
        <w:rPr>
          <w:b/>
          <w:highlight w:val="cyan"/>
        </w:rPr>
        <w:t>[</w:t>
      </w:r>
      <w:r w:rsidRPr="004D646E">
        <w:rPr>
          <w:b/>
          <w:i/>
          <w:highlight w:val="cyan"/>
          <w:u w:val="single"/>
        </w:rPr>
        <w:t>Note to Bidders</w:t>
      </w:r>
      <w:r w:rsidRPr="004D646E">
        <w:rPr>
          <w:b/>
          <w:i/>
          <w:highlight w:val="cyan"/>
        </w:rPr>
        <w:t xml:space="preserve">: </w:t>
      </w:r>
      <w:r w:rsidRPr="004D646E" w:rsidR="009A0165">
        <w:rPr>
          <w:b/>
          <w:i/>
          <w:highlight w:val="cyan"/>
        </w:rPr>
        <w:t xml:space="preserve">A </w:t>
      </w:r>
      <w:r w:rsidRPr="004D646E">
        <w:rPr>
          <w:b/>
          <w:i/>
          <w:highlight w:val="cyan"/>
        </w:rPr>
        <w:t xml:space="preserve">Performance Security table will be </w:t>
      </w:r>
      <w:r w:rsidRPr="004D646E" w:rsidR="00847751">
        <w:rPr>
          <w:b/>
          <w:i/>
          <w:highlight w:val="cyan"/>
        </w:rPr>
        <w:t xml:space="preserve">added to include </w:t>
      </w:r>
      <w:r w:rsidRPr="004D646E">
        <w:rPr>
          <w:b/>
          <w:i/>
          <w:highlight w:val="cyan"/>
        </w:rPr>
        <w:t xml:space="preserve">the applicable Performance Security amounts in Attachment 1 (Performance Security and Termination Liquidated Damages Summary) of RFP Exhibit </w:t>
      </w:r>
      <w:r w:rsidR="000C6D51">
        <w:rPr>
          <w:b/>
          <w:bCs/>
          <w:i/>
          <w:iCs/>
          <w:highlight w:val="cyan"/>
        </w:rPr>
        <w:t>E</w:t>
      </w:r>
      <w:r w:rsidRPr="004D646E">
        <w:rPr>
          <w:b/>
          <w:i/>
          <w:highlight w:val="cyan"/>
        </w:rPr>
        <w:t xml:space="preserve"> (Summary of Fees, Costs, Security, and Deadlines).</w:t>
      </w:r>
      <w:r w:rsidRPr="004D646E">
        <w:rPr>
          <w:b/>
          <w:highlight w:val="cyan"/>
        </w:rPr>
        <w:t>]</w:t>
      </w:r>
    </w:p>
    <w:p w:rsidRPr="00884D7E" w:rsidR="00216971" w:rsidP="00216971" w:rsidRDefault="00216971" w14:paraId="62841EE9" w14:textId="77777777">
      <w:pPr>
        <w:pStyle w:val="zGNormal"/>
        <w:rPr>
          <w:b/>
          <w:bCs/>
        </w:rPr>
      </w:pPr>
    </w:p>
    <w:p w:rsidRPr="00884D7E" w:rsidR="00216971" w:rsidP="00216971" w:rsidRDefault="00216971" w14:paraId="01A2BAF9" w14:textId="77777777">
      <w:pPr>
        <w:pStyle w:val="zGNormal"/>
        <w:rPr>
          <w:b/>
          <w:bCs/>
        </w:rPr>
      </w:pPr>
    </w:p>
    <w:p w:rsidRPr="00884D7E" w:rsidR="00216971" w:rsidP="00216971" w:rsidRDefault="00216971" w14:paraId="5AEB8C44" w14:textId="77777777">
      <w:pPr>
        <w:pStyle w:val="zGNormal"/>
        <w:rPr>
          <w:b/>
          <w:bCs/>
        </w:rPr>
      </w:pPr>
    </w:p>
    <w:p w:rsidRPr="00884D7E" w:rsidR="00216971" w:rsidP="00216971" w:rsidRDefault="00216971" w14:paraId="1970F42F" w14:textId="77777777">
      <w:pPr>
        <w:pStyle w:val="zGNormal"/>
        <w:rPr>
          <w:b/>
          <w:bCs/>
        </w:rPr>
      </w:pPr>
    </w:p>
    <w:p w:rsidRPr="00884D7E" w:rsidR="00216971" w:rsidP="00216971" w:rsidRDefault="00216971" w14:paraId="1D546819" w14:textId="77777777">
      <w:pPr>
        <w:pStyle w:val="zGNormal"/>
        <w:rPr>
          <w:b/>
          <w:bCs/>
        </w:rPr>
      </w:pPr>
    </w:p>
    <w:p w:rsidRPr="00884D7E" w:rsidR="00216971" w:rsidP="00216971" w:rsidRDefault="00216971" w14:paraId="4A2A4353" w14:textId="77777777">
      <w:pPr>
        <w:pStyle w:val="zGNormal"/>
        <w:rPr>
          <w:b/>
          <w:bCs/>
        </w:rPr>
      </w:pPr>
    </w:p>
    <w:p w:rsidRPr="00884D7E" w:rsidR="00216971" w:rsidP="00216971" w:rsidRDefault="00216971" w14:paraId="5265A27D" w14:textId="77777777">
      <w:pPr>
        <w:pStyle w:val="zGNormal"/>
        <w:rPr>
          <w:b/>
          <w:bCs/>
        </w:rPr>
      </w:pPr>
    </w:p>
    <w:p w:rsidRPr="00884D7E" w:rsidR="00216971" w:rsidP="00216971" w:rsidRDefault="00216971" w14:paraId="20177F5C" w14:textId="77777777">
      <w:pPr>
        <w:pStyle w:val="zGNormal"/>
        <w:rPr>
          <w:b/>
          <w:bCs/>
        </w:rPr>
      </w:pPr>
    </w:p>
    <w:p w:rsidRPr="00884D7E" w:rsidR="00216971" w:rsidP="00216971" w:rsidRDefault="00216971" w14:paraId="407DC01E" w14:textId="77777777">
      <w:pPr>
        <w:pStyle w:val="zGNormal"/>
        <w:rPr>
          <w:b/>
          <w:bCs/>
        </w:rPr>
      </w:pPr>
    </w:p>
    <w:p w:rsidRPr="00884D7E" w:rsidR="00216971" w:rsidP="00216971" w:rsidRDefault="00216971" w14:paraId="3340149E" w14:textId="77777777">
      <w:pPr>
        <w:pStyle w:val="zGNormal"/>
        <w:rPr>
          <w:b/>
          <w:bCs/>
        </w:rPr>
      </w:pPr>
    </w:p>
    <w:p w:rsidRPr="00884D7E" w:rsidR="00216971" w:rsidP="00216971" w:rsidRDefault="00216971" w14:paraId="3C63C372" w14:textId="77777777">
      <w:pPr>
        <w:pStyle w:val="zGNormal"/>
        <w:rPr>
          <w:b/>
          <w:bCs/>
        </w:rPr>
      </w:pPr>
    </w:p>
    <w:p w:rsidRPr="00884D7E" w:rsidR="00216971" w:rsidP="00216971" w:rsidRDefault="00216971" w14:paraId="5A4DC248" w14:textId="77777777">
      <w:pPr>
        <w:pStyle w:val="zGNormal"/>
        <w:rPr>
          <w:b/>
          <w:bCs/>
        </w:rPr>
      </w:pPr>
    </w:p>
    <w:p w:rsidRPr="00884D7E" w:rsidR="00216971" w:rsidP="00216971" w:rsidRDefault="00216971" w14:paraId="74232423" w14:textId="77777777">
      <w:pPr>
        <w:pStyle w:val="zGNormal"/>
        <w:rPr>
          <w:b/>
          <w:bCs/>
        </w:rPr>
      </w:pPr>
    </w:p>
    <w:p w:rsidRPr="00884D7E" w:rsidR="00216971" w:rsidP="00216971" w:rsidRDefault="00216971" w14:paraId="032E46B5" w14:textId="77777777">
      <w:pPr>
        <w:pStyle w:val="zGNormal"/>
        <w:rPr>
          <w:b/>
          <w:bCs/>
        </w:rPr>
      </w:pPr>
    </w:p>
    <w:p w:rsidRPr="00884D7E" w:rsidR="00216971" w:rsidP="00216971" w:rsidRDefault="00216971" w14:paraId="215B4820" w14:textId="77777777">
      <w:pPr>
        <w:pStyle w:val="zGNormal"/>
        <w:rPr>
          <w:b/>
          <w:bCs/>
        </w:rPr>
      </w:pPr>
    </w:p>
    <w:p w:rsidRPr="00884D7E" w:rsidR="00216971" w:rsidP="00216971" w:rsidRDefault="00216971" w14:paraId="45EABA36" w14:textId="77777777">
      <w:pPr>
        <w:pStyle w:val="zGNormal"/>
        <w:rPr>
          <w:b/>
          <w:bCs/>
        </w:rPr>
      </w:pPr>
    </w:p>
    <w:p w:rsidRPr="00884D7E" w:rsidR="00216971" w:rsidP="00216971" w:rsidRDefault="00216971" w14:paraId="58F67824" w14:textId="77777777">
      <w:pPr>
        <w:pStyle w:val="zGNormal"/>
        <w:rPr>
          <w:b/>
          <w:bCs/>
        </w:rPr>
      </w:pPr>
    </w:p>
    <w:p w:rsidRPr="00884D7E" w:rsidR="00216971" w:rsidP="00216971" w:rsidRDefault="008B55A2" w14:paraId="026BE4B5" w14:textId="76152EA3">
      <w:pPr>
        <w:pStyle w:val="zGNormal"/>
        <w:rPr>
          <w:b/>
          <w:bCs/>
          <w:caps/>
          <w:u w:val="single"/>
        </w:rPr>
      </w:pPr>
      <w:bookmarkStart w:name="_Toc167347255" w:id="1405"/>
      <w:bookmarkStart w:name="_Toc169758314" w:id="1406"/>
      <w:r>
        <w:rPr>
          <w:b/>
          <w:bCs/>
          <w:caps/>
          <w:u w:val="single"/>
        </w:rPr>
        <w:t>Part 2. Liquidated Damages</w:t>
      </w:r>
      <w:bookmarkEnd w:id="1405"/>
      <w:bookmarkEnd w:id="1406"/>
    </w:p>
    <w:p w:rsidRPr="00884D7E" w:rsidR="00216971" w:rsidP="00216971" w:rsidRDefault="00216971" w14:paraId="0031AF40" w14:textId="77777777">
      <w:pPr>
        <w:pStyle w:val="zGNormal"/>
      </w:pPr>
    </w:p>
    <w:p w:rsidRPr="00884D7E" w:rsidR="00216971" w:rsidP="00216971" w:rsidRDefault="008B55A2" w14:paraId="0D1CE646" w14:textId="16D19544">
      <w:pPr>
        <w:pStyle w:val="zGNormal"/>
      </w:pPr>
      <w:r>
        <w:t xml:space="preserve">The following table represents delay liquidated damages amounts that </w:t>
      </w:r>
      <w:r w:rsidR="000C0CE7">
        <w:t>will</w:t>
      </w:r>
      <w:r>
        <w:t xml:space="preserve"> be owed if Seller does not timely achieve </w:t>
      </w:r>
      <w:r w:rsidR="000C0CE7">
        <w:t xml:space="preserve">Commercial Operation by </w:t>
      </w:r>
      <w:r>
        <w:t>RCOD. The amounts shown in the table are daily amounts that will be owed for each Day of delay beyond the RCOD and in the applicable Month.</w:t>
      </w:r>
    </w:p>
    <w:p w:rsidRPr="00884D7E" w:rsidR="00216971" w:rsidP="00216971" w:rsidRDefault="00216971" w14:paraId="28BAC280" w14:textId="77777777">
      <w:pPr>
        <w:pStyle w:val="zGNormal"/>
      </w:pPr>
    </w:p>
    <w:p w:rsidRPr="00884D7E" w:rsidR="00216971" w:rsidP="00216971" w:rsidRDefault="00216971" w14:paraId="4A008A41" w14:textId="77777777">
      <w:pPr>
        <w:pStyle w:val="zGNormal"/>
      </w:pPr>
    </w:p>
    <w:p w:rsidR="00C620B8" w:rsidP="00C620B8" w:rsidRDefault="008B55A2" w14:paraId="11C4CA3D" w14:textId="5A62A4C8">
      <w:pPr>
        <w:pStyle w:val="zGTitle12"/>
        <w:jc w:val="both"/>
      </w:pPr>
      <w:r w:rsidRPr="004D646E">
        <w:rPr>
          <w:rFonts w:cs="Arial"/>
          <w:sz w:val="20"/>
          <w:szCs w:val="20"/>
          <w:highlight w:val="cyan"/>
        </w:rPr>
        <w:t>[</w:t>
      </w:r>
      <w:r w:rsidRPr="004D646E">
        <w:rPr>
          <w:rFonts w:cs="Arial"/>
          <w:i/>
          <w:sz w:val="20"/>
          <w:szCs w:val="20"/>
          <w:highlight w:val="cyan"/>
          <w:u w:val="single"/>
        </w:rPr>
        <w:t>Note to Bidders</w:t>
      </w:r>
      <w:r w:rsidRPr="004D646E">
        <w:rPr>
          <w:rFonts w:cs="Arial"/>
          <w:i/>
          <w:sz w:val="20"/>
          <w:szCs w:val="20"/>
          <w:highlight w:val="cyan"/>
        </w:rPr>
        <w:t xml:space="preserve">: </w:t>
      </w:r>
      <w:r w:rsidRPr="004D646E" w:rsidR="00FF5E90">
        <w:rPr>
          <w:rFonts w:cs="Arial"/>
          <w:i/>
          <w:sz w:val="20"/>
          <w:szCs w:val="20"/>
          <w:highlight w:val="cyan"/>
        </w:rPr>
        <w:t xml:space="preserve">A </w:t>
      </w:r>
      <w:r w:rsidRPr="004D646E">
        <w:rPr>
          <w:rFonts w:cs="Arial"/>
          <w:i/>
          <w:sz w:val="20"/>
          <w:szCs w:val="20"/>
          <w:highlight w:val="cyan"/>
        </w:rPr>
        <w:t xml:space="preserve">Liquidated Damages table will be </w:t>
      </w:r>
      <w:r w:rsidRPr="004D646E" w:rsidR="00FF5E90">
        <w:rPr>
          <w:rFonts w:cs="Arial"/>
          <w:i/>
          <w:sz w:val="20"/>
          <w:szCs w:val="20"/>
          <w:highlight w:val="cyan"/>
        </w:rPr>
        <w:t xml:space="preserve">added </w:t>
      </w:r>
      <w:r w:rsidRPr="004D646E" w:rsidR="00B73D60">
        <w:rPr>
          <w:rFonts w:cs="Arial"/>
          <w:i/>
          <w:sz w:val="20"/>
          <w:szCs w:val="20"/>
          <w:highlight w:val="cyan"/>
        </w:rPr>
        <w:t>to include</w:t>
      </w:r>
      <w:r w:rsidRPr="004D646E">
        <w:rPr>
          <w:rFonts w:cs="Arial"/>
          <w:i/>
          <w:sz w:val="20"/>
          <w:szCs w:val="20"/>
          <w:highlight w:val="cyan"/>
        </w:rPr>
        <w:t xml:space="preserve"> the applicable delay liquidated damages stated in Attachment 2 (Delay Liquidated Damages Summary) of RFP Exhibit </w:t>
      </w:r>
      <w:r w:rsidR="002519C1">
        <w:rPr>
          <w:rFonts w:cs="Arial"/>
          <w:bCs/>
          <w:i/>
          <w:iCs/>
          <w:sz w:val="20"/>
          <w:szCs w:val="20"/>
          <w:highlight w:val="cyan"/>
        </w:rPr>
        <w:t>E</w:t>
      </w:r>
      <w:r w:rsidRPr="004D646E">
        <w:rPr>
          <w:rFonts w:cs="Arial"/>
          <w:i/>
          <w:sz w:val="20"/>
          <w:szCs w:val="20"/>
          <w:highlight w:val="cyan"/>
        </w:rPr>
        <w:t xml:space="preserve"> (Summary of Fees, Costs, Security, and Deadlines).</w:t>
      </w:r>
      <w:r w:rsidRPr="004D646E">
        <w:rPr>
          <w:rFonts w:cs="Arial"/>
          <w:highlight w:val="cyan"/>
        </w:rPr>
        <w:t>]</w:t>
      </w:r>
    </w:p>
    <w:p w:rsidRPr="00884D7E" w:rsidR="00216971" w:rsidP="00216971" w:rsidRDefault="00216971" w14:paraId="458F4BD8" w14:textId="77777777">
      <w:pPr>
        <w:pStyle w:val="zGNormal"/>
      </w:pPr>
    </w:p>
    <w:p w:rsidRPr="00884D7E" w:rsidR="00216971" w:rsidP="00216971" w:rsidRDefault="00216971" w14:paraId="255D7476" w14:textId="77777777">
      <w:pPr>
        <w:pStyle w:val="zGNormal"/>
      </w:pPr>
    </w:p>
    <w:p w:rsidRPr="00DE5692" w:rsidR="00BF0D35" w:rsidP="002506F7" w:rsidRDefault="00BF0D35" w14:paraId="0D49A84A" w14:textId="77777777">
      <w:pPr>
        <w:pStyle w:val="Footnote"/>
        <w:sectPr w:rsidRPr="00DE5692" w:rsidR="00BF0D35" w:rsidSect="00226062">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2240" w:h="15840" w:code="1"/>
          <w:pgMar w:top="1440" w:right="1440" w:bottom="1440" w:left="1440" w:header="720" w:footer="720" w:gutter="0"/>
          <w:paperSrc w:first="15" w:other="15"/>
          <w:cols w:space="1440"/>
        </w:sectPr>
      </w:pPr>
    </w:p>
    <w:p w:rsidR="00050A04" w:rsidP="001C5D11" w:rsidRDefault="00050A04" w14:paraId="5DC9D50E" w14:textId="77777777">
      <w:pPr>
        <w:pStyle w:val="zGTitleExhibit"/>
        <w:rPr>
          <w:rFonts w:cs="Arial"/>
        </w:rPr>
      </w:pPr>
      <w:bookmarkStart w:name="_Toc160749230" w:id="1407"/>
    </w:p>
    <w:p w:rsidRPr="00B917D5" w:rsidR="00B917D5" w:rsidP="001C5D11" w:rsidRDefault="008B55A2" w14:paraId="22FF6071" w14:textId="1D4FD5F5">
      <w:pPr>
        <w:pStyle w:val="zGTitleExhibit"/>
      </w:pPr>
      <w:bookmarkStart w:name="_Toc174624983" w:id="1408"/>
      <w:bookmarkStart w:name="_Toc194937597" w:id="1409"/>
      <w:bookmarkStart w:name="_Toc227451643" w:id="1410"/>
      <w:r>
        <w:rPr>
          <w:rFonts w:cs="Arial"/>
        </w:rPr>
        <w:t>Exhibit B – Capacity; Capacity Payments</w:t>
      </w:r>
      <w:r>
        <w:t xml:space="preserve"> </w:t>
      </w:r>
      <w:bookmarkEnd w:id="1408"/>
      <w:r>
        <w:t>and Payment Reductions; Buydown</w:t>
      </w:r>
      <w:bookmarkEnd w:id="1407"/>
      <w:bookmarkEnd w:id="1409"/>
      <w:bookmarkEnd w:id="1410"/>
    </w:p>
    <w:p w:rsidRPr="0096238E" w:rsidR="00B415CC" w:rsidP="000907B6" w:rsidRDefault="008B55A2" w14:paraId="3A23872C" w14:textId="77777777">
      <w:pPr>
        <w:pStyle w:val="zGBody1"/>
        <w:numPr>
          <w:ilvl w:val="0"/>
          <w:numId w:val="27"/>
        </w:numPr>
      </w:pPr>
      <w:bookmarkStart w:name="_Toc206673892" w:id="1411"/>
      <w:bookmarkStart w:name="_Toc227451644" w:id="1412"/>
      <w:r>
        <w:t>Testing Requirements</w:t>
      </w:r>
      <w:bookmarkEnd w:id="1411"/>
      <w:bookmarkEnd w:id="1412"/>
    </w:p>
    <w:p w:rsidRPr="008D4D4E" w:rsidR="008D4D4E" w:rsidP="000907B6" w:rsidRDefault="008B55A2" w14:paraId="00057EB3" w14:textId="77777777">
      <w:pPr>
        <w:pStyle w:val="zGBody2"/>
        <w:numPr>
          <w:ilvl w:val="1"/>
          <w:numId w:val="27"/>
        </w:numPr>
        <w:rPr>
          <w:bCs/>
          <w:vanish/>
          <w:specVanish/>
        </w:rPr>
      </w:pPr>
      <w:bookmarkStart w:name="_Toc206673893" w:id="1413"/>
      <w:bookmarkStart w:name="_Toc227451645" w:id="1414"/>
      <w:r>
        <w:t>Contracted Capacity Cap.</w:t>
      </w:r>
      <w:bookmarkEnd w:id="1413"/>
      <w:bookmarkEnd w:id="1414"/>
    </w:p>
    <w:p w:rsidRPr="00950426" w:rsidR="00B415CC" w:rsidP="008D4D4E" w:rsidRDefault="008B55A2" w14:paraId="6DDA5917" w14:textId="77777777">
      <w:pPr>
        <w:pStyle w:val="zGNormal"/>
      </w:pPr>
      <w:r>
        <w:t xml:space="preserve"> Throughout the Term, </w:t>
      </w:r>
      <w:r>
        <w:rPr>
          <w:rStyle w:val="cf01"/>
          <w:rFonts w:ascii="Arial" w:hAnsi="Arial" w:cs="Arial"/>
          <w:sz w:val="20"/>
          <w:szCs w:val="20"/>
        </w:rPr>
        <w:t>SDDC will be capped at the Contracted Capacity</w:t>
      </w:r>
      <w:r>
        <w:t>.</w:t>
      </w:r>
    </w:p>
    <w:p w:rsidRPr="00950426" w:rsidR="00B415CC" w:rsidP="000907B6" w:rsidRDefault="008B55A2" w14:paraId="6C98ACCF" w14:textId="77777777">
      <w:pPr>
        <w:pStyle w:val="zGBody2"/>
        <w:numPr>
          <w:ilvl w:val="1"/>
          <w:numId w:val="27"/>
        </w:numPr>
      </w:pPr>
      <w:bookmarkStart w:name="_Toc206673894" w:id="1415"/>
      <w:bookmarkStart w:name="_Toc227451646" w:id="1416"/>
      <w:r>
        <w:t>Tested Storage Capacity; Performance Testing.</w:t>
      </w:r>
      <w:bookmarkEnd w:id="1415"/>
      <w:bookmarkEnd w:id="1416"/>
    </w:p>
    <w:p w:rsidRPr="008D4D4E" w:rsidR="00D22429" w:rsidP="000907B6" w:rsidRDefault="008B55A2" w14:paraId="7D7B9848" w14:textId="77777777">
      <w:pPr>
        <w:pStyle w:val="zGBody2"/>
        <w:numPr>
          <w:ilvl w:val="2"/>
          <w:numId w:val="27"/>
        </w:numPr>
        <w:rPr>
          <w:bCs/>
          <w:vanish/>
          <w:specVanish/>
        </w:rPr>
      </w:pPr>
      <w:bookmarkStart w:name="_Toc227451647" w:id="1417"/>
      <w:r>
        <w:rPr>
          <w:b w:val="0"/>
        </w:rPr>
        <w:t>Pre-COD Performance Testing.</w:t>
      </w:r>
      <w:bookmarkEnd w:id="1417"/>
    </w:p>
    <w:p w:rsidRPr="00F40F9C" w:rsidR="00B415CC" w:rsidP="000B49B4" w:rsidRDefault="008B55A2" w14:paraId="382A66BA" w14:textId="098DFF5D">
      <w:pPr>
        <w:pStyle w:val="zGBody3"/>
      </w:pPr>
      <w:r>
        <w:t xml:space="preserve"> Pre-COD Performance Testing will be conducted in accordance with Section 1.2.2 (</w:t>
      </w:r>
      <w:r>
        <w:rPr>
          <w:i/>
        </w:rPr>
        <w:t>Performance Testing</w:t>
      </w:r>
      <w:r>
        <w:t>) and Exhibit E (</w:t>
      </w:r>
      <w:r>
        <w:rPr>
          <w:i/>
        </w:rPr>
        <w:t>Performance Testing Procedures</w:t>
      </w:r>
      <w:r>
        <w:t xml:space="preserve">) to establish the tested performance of the BESS for the Performance Guarantees stated as A – E in Table A-3 </w:t>
      </w:r>
      <w:r w:rsidR="007F314C">
        <w:t>(</w:t>
      </w:r>
      <w:r w:rsidRPr="007F314C" w:rsidR="007F314C">
        <w:rPr>
          <w:bCs/>
          <w:i/>
          <w:iCs/>
        </w:rPr>
        <w:t>Additional Facility and Operating Information</w:t>
      </w:r>
      <w:r w:rsidR="00CE6DA3">
        <w:rPr>
          <w:bCs/>
          <w:i/>
          <w:iCs/>
        </w:rPr>
        <w:t>)</w:t>
      </w:r>
      <w:r w:rsidR="007F314C">
        <w:t xml:space="preserve"> </w:t>
      </w:r>
      <w:r>
        <w:t>of Exhibit A (</w:t>
      </w:r>
      <w:r>
        <w:rPr>
          <w:i/>
        </w:rPr>
        <w:t>Facility Description and Additional Details</w:t>
      </w:r>
      <w:r>
        <w:t>). For Commercial Operation to be accepted by GPC, the tested performance of the BESS must equal or exceed the corresponding Performance Guarantee, except to the extent of a buydown payment made by Seller in accordance with Section 1.3 (</w:t>
      </w:r>
      <w:r w:rsidRPr="004B0BBF">
        <w:rPr>
          <w:i/>
        </w:rPr>
        <w:t>T</w:t>
      </w:r>
      <w:r>
        <w:rPr>
          <w:i/>
        </w:rPr>
        <w:t>ested Storage Capacity Below SDDC; SDDC Buydown</w:t>
      </w:r>
      <w:r>
        <w:t>) for SDDC. In addition to Performance Testing, Seller must successfully complete any testing required by the IA and any required BESS AGC dispatch testing.</w:t>
      </w:r>
    </w:p>
    <w:p w:rsidRPr="00F40F9C" w:rsidR="00B415CC" w:rsidP="00D47E63" w:rsidRDefault="000469C0" w14:paraId="4DB3CC34" w14:textId="57251DEA">
      <w:pPr>
        <w:pStyle w:val="zGBody4"/>
        <w:ind w:left="1440"/>
        <w:jc w:val="both"/>
      </w:pPr>
      <w:r w:rsidRPr="000469C0">
        <w:rPr>
          <w:b/>
          <w:bCs/>
        </w:rPr>
        <w:t>A.</w:t>
      </w:r>
      <w:r>
        <w:t xml:space="preserve">  </w:t>
      </w:r>
      <w:r w:rsidR="008B55A2">
        <w:t>Except as described in Section 1.3 (</w:t>
      </w:r>
      <w:r w:rsidR="008B55A2">
        <w:rPr>
          <w:i/>
        </w:rPr>
        <w:t>Tested Storage Capacity Below SDDC; SDDC Buydown</w:t>
      </w:r>
      <w:r w:rsidR="008B55A2">
        <w:t>), no Performance Test result will change any Performance Guarantee. All Performance Metrics will compare actual performance to the Performance Guarantees. Seller will not receive any additional compensation for tested or actual BESS performance that exceeds any of the Performance Guarantees.</w:t>
      </w:r>
    </w:p>
    <w:p w:rsidRPr="00F40F9C" w:rsidR="00B415CC" w:rsidP="00D47E63" w:rsidRDefault="000469C0" w14:paraId="05ADD08B" w14:textId="54848A3D">
      <w:pPr>
        <w:pStyle w:val="zGBody4"/>
        <w:ind w:left="1440"/>
        <w:jc w:val="both"/>
      </w:pPr>
      <w:r w:rsidRPr="000469C0">
        <w:rPr>
          <w:b/>
          <w:bCs/>
        </w:rPr>
        <w:t>B.</w:t>
      </w:r>
      <w:r>
        <w:t xml:space="preserve"> </w:t>
      </w:r>
      <w:r w:rsidR="008B55A2">
        <w:t>As stated in Section 1.2.1 (</w:t>
      </w:r>
      <w:r w:rsidR="008B55A2">
        <w:rPr>
          <w:i/>
        </w:rPr>
        <w:t>Pre-COD Performance Testing</w:t>
      </w:r>
      <w:r w:rsidR="008B55A2">
        <w:t>), GPC acceptance of Commercial Operation is contingent on Seller meeting or exceeding all Performance Guarantees. Subject to Seller’s one-time option to buydown SDDC under Section 1.3.4.A (</w:t>
      </w:r>
      <w:r w:rsidR="008B55A2">
        <w:rPr>
          <w:i/>
          <w:iCs/>
        </w:rPr>
        <w:t>Buydown Liquidated Damages</w:t>
      </w:r>
      <w:r w:rsidR="008B55A2">
        <w:t>), if Performance Testing demonstrates that Seller failed to meet or exceed any Performance Guarantee, Seller must cure the performance deficiency to meet or exceed the Performance Guarantee.</w:t>
      </w:r>
    </w:p>
    <w:p w:rsidRPr="008D4D4E" w:rsidR="00B06705" w:rsidP="000907B6" w:rsidRDefault="008B55A2" w14:paraId="24ABDAB4" w14:textId="77777777">
      <w:pPr>
        <w:pStyle w:val="zGBody2"/>
        <w:numPr>
          <w:ilvl w:val="2"/>
          <w:numId w:val="27"/>
        </w:numPr>
        <w:rPr>
          <w:bCs/>
          <w:vanish/>
          <w:specVanish/>
        </w:rPr>
      </w:pPr>
      <w:bookmarkStart w:name="_Toc227451648" w:id="1418"/>
      <w:r>
        <w:rPr>
          <w:b w:val="0"/>
        </w:rPr>
        <w:t>Performance Testing.</w:t>
      </w:r>
      <w:bookmarkEnd w:id="1418"/>
    </w:p>
    <w:p w:rsidRPr="00F40F9C" w:rsidR="00B415CC" w:rsidP="00E02875" w:rsidRDefault="008B55A2" w14:paraId="78261C51" w14:textId="7F09C7F2">
      <w:pPr>
        <w:pStyle w:val="zGBody3"/>
      </w:pPr>
      <w:r>
        <w:t xml:space="preserve"> Seller must conduct Performance Testing in accordance with Exhibit E (</w:t>
      </w:r>
      <w:r>
        <w:rPr>
          <w:i/>
        </w:rPr>
        <w:t>Performance Testing Procedures</w:t>
      </w:r>
      <w:r>
        <w:t>) to demonstrate that SDDC and all other Performance Guarantees are met.  To demonstrate the BESS capability, Performance Tests will measure the maximum output of the BESS at the POI over the SDDD as well as the moment-to-moment variability of energy discharged from the BESS. The moment-to-moment variability of energy discharged from the BESS as determined in the Performance Test will determine if the tested performance of the BESS meets or exceeds the Performance Guarantees specified in Exhibit A (</w:t>
      </w:r>
      <w:r>
        <w:rPr>
          <w:i/>
          <w:iCs/>
        </w:rPr>
        <w:t>Facility Description and Additional Details</w:t>
      </w:r>
      <w:r>
        <w:t>). Performance Testing must demonstrate that the Facility can operate autonomously, without human intervention</w:t>
      </w:r>
      <w:r w:rsidR="00B01E6D">
        <w:t xml:space="preserve"> that would not be available and responsive during normal commercial operation</w:t>
      </w:r>
      <w:r>
        <w:t xml:space="preserve">, during the charging and discharging Cycles and that the thermal management system performs as required. Prior to COD, Seller must not begin Performance Testing until Seller confirms the Facility is ready for Performance Testing, including confirmation that all commissioning is complete, all equipment is operational, and all activities to confirm BESS health and balancing are complete. </w:t>
      </w:r>
      <w:r w:rsidR="00862B3B">
        <w:t>After the Delivery Commencement Date and n</w:t>
      </w:r>
      <w:r>
        <w:t>o more than twice each Annual Period, if GPC requests that Seller conduct additional Performance Testing</w:t>
      </w:r>
      <w:r w:rsidR="004A67B5">
        <w:t xml:space="preserve"> </w:t>
      </w:r>
      <w:r w:rsidR="004A67B5">
        <w:lastRenderedPageBreak/>
        <w:t>because of documented BESS performance deficiencies</w:t>
      </w:r>
      <w:r>
        <w:t>, Seller must conduct additional Performance Testing to confirm the BESS meets the Performance Guarantees. If Performance Testing shows performance deficiencies, no such limit applies to the frequency with which GPC may request retesting. No later than 10 Days after receipt of a GPC request for Performance Testing, Seller must notify GPC of when the Performance Test will be conducted. Seller must conduct Performance Testing no later than 30 Days after receipt of GPC’s request.</w:t>
      </w:r>
    </w:p>
    <w:p w:rsidRPr="008D4D4E" w:rsidR="00B06705" w:rsidP="000907B6" w:rsidRDefault="008B55A2" w14:paraId="7D9B64B4" w14:textId="77777777">
      <w:pPr>
        <w:pStyle w:val="zGBody2"/>
        <w:numPr>
          <w:ilvl w:val="2"/>
          <w:numId w:val="27"/>
        </w:numPr>
        <w:rPr>
          <w:bCs/>
          <w:vanish/>
          <w:specVanish/>
        </w:rPr>
      </w:pPr>
      <w:bookmarkStart w:name="_Toc227451649" w:id="1419"/>
      <w:r>
        <w:rPr>
          <w:b w:val="0"/>
        </w:rPr>
        <w:t>GPC Election; No Waiver.</w:t>
      </w:r>
      <w:bookmarkEnd w:id="1419"/>
    </w:p>
    <w:p w:rsidRPr="00F40F9C" w:rsidR="00B415CC" w:rsidP="00E02875" w:rsidRDefault="008B55A2" w14:paraId="691935A0" w14:textId="4D73383D">
      <w:pPr>
        <w:pStyle w:val="zGBody3"/>
      </w:pPr>
      <w:r>
        <w:rPr>
          <w:bCs/>
        </w:rPr>
        <w:t xml:space="preserve"> </w:t>
      </w:r>
      <w:r>
        <w:t>GPC in its sole discretion may elect to waive any Performance Test requirement. Any GPC election to waive any Performance Testing requirement will not waive any Performance Testing requirement for future Performance Tests or otherwise relieve Seller from any Performance Guarantee obligation.</w:t>
      </w:r>
    </w:p>
    <w:p w:rsidRPr="008D4D4E" w:rsidR="00B06705" w:rsidP="000907B6" w:rsidRDefault="008B55A2" w14:paraId="69833FB2" w14:textId="77777777">
      <w:pPr>
        <w:pStyle w:val="zGBody2"/>
        <w:numPr>
          <w:ilvl w:val="2"/>
          <w:numId w:val="27"/>
        </w:numPr>
        <w:rPr>
          <w:bCs/>
          <w:vanish/>
          <w:specVanish/>
        </w:rPr>
      </w:pPr>
      <w:bookmarkStart w:name="_Toc227451650" w:id="1420"/>
      <w:r>
        <w:rPr>
          <w:b w:val="0"/>
        </w:rPr>
        <w:t>Test Charge/Discharge Energy Price Before Commercial Operation Date.</w:t>
      </w:r>
      <w:bookmarkEnd w:id="1420"/>
    </w:p>
    <w:p w:rsidRPr="00F40F9C" w:rsidR="00B415CC" w:rsidP="00E02875" w:rsidRDefault="008B55A2" w14:paraId="072B320A" w14:textId="3DF1A943">
      <w:pPr>
        <w:pStyle w:val="zGBody3"/>
      </w:pPr>
      <w:r>
        <w:t xml:space="preserve"> For all Charging Energy prior to COD, GPC will sell and Seller will receive and purchase Charging Energy at the Test Charge Energy Price. For all energy delivered to the POI from the BESS prior to COD, but not after the </w:t>
      </w:r>
      <w:r w:rsidR="00DA37A9">
        <w:t>Delivery Commencement Date,</w:t>
      </w:r>
      <w:r>
        <w:t xml:space="preserve"> GPC will receive and purchase such energy from Seller at the Test Discharge Energy Price. After the </w:t>
      </w:r>
      <w:r w:rsidR="00DA37A9">
        <w:t>Delivery Commencement Date</w:t>
      </w:r>
      <w:r>
        <w:t>, GPC will not pay Seller for any test energy delivered to the POI.</w:t>
      </w:r>
    </w:p>
    <w:p w:rsidRPr="00F40F9C" w:rsidR="00E02875" w:rsidP="000907B6" w:rsidRDefault="008B55A2" w14:paraId="1F2B673A" w14:textId="77777777">
      <w:pPr>
        <w:pStyle w:val="zGBody2"/>
        <w:numPr>
          <w:ilvl w:val="1"/>
          <w:numId w:val="27"/>
        </w:numPr>
        <w:rPr>
          <w:vanish/>
          <w:specVanish/>
        </w:rPr>
      </w:pPr>
      <w:bookmarkStart w:name="_Hlk160060236" w:id="1421"/>
      <w:bookmarkStart w:name="_Toc206673895" w:id="1422"/>
      <w:bookmarkStart w:name="_Toc227451651" w:id="1423"/>
      <w:r>
        <w:t>Tested Storage Capacity Below SDDC; SDDC Buydown</w:t>
      </w:r>
      <w:bookmarkEnd w:id="1421"/>
      <w:r>
        <w:t>.</w:t>
      </w:r>
      <w:bookmarkEnd w:id="1422"/>
      <w:bookmarkEnd w:id="1423"/>
      <w:r>
        <w:t xml:space="preserve"> </w:t>
      </w:r>
    </w:p>
    <w:p w:rsidRPr="00F40F9C" w:rsidR="00B415CC" w:rsidP="00E02875" w:rsidRDefault="008B55A2" w14:paraId="5F23DB62" w14:textId="145680FA">
      <w:pPr>
        <w:pStyle w:val="zGNormal"/>
      </w:pPr>
      <w:r>
        <w:t xml:space="preserve"> This Section 1.3 applies to Tested Storage Capacity only and not to any other Performance Guarantee. During the Performance Test, Tested Storage Capacity must prove continuous and steady output </w:t>
      </w:r>
      <w:r w:rsidR="00A35AF3">
        <w:t xml:space="preserve">(within the permitted deviation limits outlined in Exhibit E) </w:t>
      </w:r>
      <w:r>
        <w:t>from the BESS at the SDDC over the entire SDDD. In the event the Performance Test fails to demonstrate the Tested Storage Capacity is equal to or greater than the SDDC over the entire SDDD</w:t>
      </w:r>
      <w:r w:rsidR="007661E4">
        <w:t>,</w:t>
      </w:r>
      <w:r>
        <w:t xml:space="preserve"> Seller must remedy the failure per the provisions in this </w:t>
      </w:r>
      <w:r w:rsidR="00B2289E">
        <w:t>S</w:t>
      </w:r>
      <w:r>
        <w:t>ection</w:t>
      </w:r>
      <w:r w:rsidR="00B2289E">
        <w:t xml:space="preserve"> 1.3</w:t>
      </w:r>
      <w:r>
        <w:t xml:space="preserve">. </w:t>
      </w:r>
    </w:p>
    <w:p w:rsidRPr="00F40F9C" w:rsidR="00B06705" w:rsidP="000907B6" w:rsidRDefault="008B55A2" w14:paraId="0E24FDE5" w14:textId="77777777">
      <w:pPr>
        <w:pStyle w:val="zGBody2"/>
        <w:numPr>
          <w:ilvl w:val="2"/>
          <w:numId w:val="27"/>
        </w:numPr>
        <w:rPr>
          <w:vanish/>
          <w:specVanish/>
        </w:rPr>
      </w:pPr>
      <w:bookmarkStart w:name="_Toc227451652" w:id="1424"/>
      <w:r>
        <w:rPr>
          <w:b w:val="0"/>
        </w:rPr>
        <w:t>Cure Plan and Cure Period.</w:t>
      </w:r>
      <w:bookmarkEnd w:id="1424"/>
    </w:p>
    <w:p w:rsidRPr="00F40F9C" w:rsidR="00B415CC" w:rsidP="001B427D" w:rsidRDefault="008B55A2" w14:paraId="7DA42B18" w14:textId="7AF752FE">
      <w:pPr>
        <w:pStyle w:val="zGBody3"/>
      </w:pPr>
      <w:r>
        <w:t xml:space="preserve"> In addition to and without limiting the remedies available to GPC under PPA Section 16.1.9 (</w:t>
      </w:r>
      <w:r>
        <w:rPr>
          <w:i/>
        </w:rPr>
        <w:t>Tested Storage Capacity Below 70% Contracted Capacity; Cure; Remedies</w:t>
      </w:r>
      <w:r>
        <w:t>), if a Performance Test indicates that the Tested Storage Capacity, including continuous output over the SDDD, is less than SDDC but greater than or equal to 70% of Contracted Capacity, Seller must, by no later than 10 Days after the Performance Test date, submit to GPC a written cure plan for increasing the Tested Storage Capacity to the Contracted Capacity. Seller’s cure plan must be acceptable to GPC and include a reasonable Cure Period during which Seller will conduct additional Performance Tests. Except as permitted under Section 1.3.1.A (</w:t>
      </w:r>
      <w:r>
        <w:rPr>
          <w:i/>
        </w:rPr>
        <w:t>Cure Period Extension</w:t>
      </w:r>
      <w:r>
        <w:t>), the Cure Period must not exceed 1</w:t>
      </w:r>
      <w:r w:rsidR="009618BE">
        <w:t>8</w:t>
      </w:r>
      <w:r>
        <w:t xml:space="preserve">0 Days. </w:t>
      </w:r>
    </w:p>
    <w:p w:rsidRPr="00F40F9C" w:rsidR="00B415CC" w:rsidP="000907B6" w:rsidRDefault="008B55A2" w14:paraId="1E163886" w14:textId="7D37CA70">
      <w:pPr>
        <w:pStyle w:val="zGBody4"/>
        <w:numPr>
          <w:ilvl w:val="3"/>
          <w:numId w:val="27"/>
        </w:numPr>
        <w:jc w:val="both"/>
      </w:pPr>
      <w:r>
        <w:rPr>
          <w:b/>
        </w:rPr>
        <w:t>Cure Period Extension.</w:t>
      </w:r>
      <w:r>
        <w:t xml:space="preserve"> If Seller establishes a cure plan under this Section 1.3.1</w:t>
      </w:r>
      <w:r>
        <w:rPr>
          <w:snapToGrid w:val="0"/>
        </w:rPr>
        <w:t xml:space="preserve"> (</w:t>
      </w:r>
      <w:r>
        <w:rPr>
          <w:i/>
          <w:snapToGrid w:val="0"/>
        </w:rPr>
        <w:t>Cure Plan and Cure Period</w:t>
      </w:r>
      <w:r>
        <w:rPr>
          <w:snapToGrid w:val="0"/>
        </w:rPr>
        <w:t>)</w:t>
      </w:r>
      <w:r>
        <w:t xml:space="preserve"> but requires a Cure Period of more than 1</w:t>
      </w:r>
      <w:r w:rsidR="009618BE">
        <w:t>8</w:t>
      </w:r>
      <w:r>
        <w:t xml:space="preserve">0 Days to cure the inadequate Tested Storage Capacity from the most recent Performance Test, then GPC may agree to extend the Cure Period for a reasonable additional period of time, but the extension will not exceed 180 Days. </w:t>
      </w:r>
      <w:r w:rsidR="00CF6928">
        <w:t xml:space="preserve">The total duration of the Cure Period, as extended, must not exceed 360 Days. </w:t>
      </w:r>
      <w:r>
        <w:t xml:space="preserve">As a condition to GPC granting the Cure Period extension, by no later than 15 Days before the expiration of the initial Cure Period, Seller must provide to GPC: </w:t>
      </w:r>
    </w:p>
    <w:p w:rsidRPr="00F40F9C" w:rsidR="00B415CC" w:rsidP="00B06705" w:rsidRDefault="00B06705" w14:paraId="55832972" w14:textId="26793973">
      <w:pPr>
        <w:pStyle w:val="zGBody5"/>
        <w:spacing w:before="120" w:after="120"/>
        <w:ind w:left="2160"/>
      </w:pPr>
      <w:r w:rsidRPr="00B06705">
        <w:rPr>
          <w:b/>
          <w:bCs/>
        </w:rPr>
        <w:t>(i).</w:t>
      </w:r>
      <w:r>
        <w:t xml:space="preserve"> </w:t>
      </w:r>
      <w:r w:rsidR="008B55A2">
        <w:t xml:space="preserve">A revised cure plan, acceptable to GPC, setting forth a reasonable extension of the Cure Period, not to exceed 180 Days; and </w:t>
      </w:r>
    </w:p>
    <w:p w:rsidRPr="00F40F9C" w:rsidR="00B415CC" w:rsidP="00B06705" w:rsidRDefault="00B06705" w14:paraId="23D9E02B" w14:textId="2B6C22E5">
      <w:pPr>
        <w:pStyle w:val="zGBody5"/>
        <w:ind w:left="2160"/>
      </w:pPr>
      <w:r w:rsidRPr="00B06705">
        <w:rPr>
          <w:b/>
          <w:bCs/>
        </w:rPr>
        <w:t>(ii).</w:t>
      </w:r>
      <w:r>
        <w:t xml:space="preserve"> </w:t>
      </w:r>
      <w:r w:rsidR="008B55A2">
        <w:t xml:space="preserve">A written certification, acceptable to GPC, confirming that for Seller to cure the inadequate Tested Storage Capacity Seller must be afforded the requested additional amount of time. </w:t>
      </w:r>
    </w:p>
    <w:p w:rsidRPr="00F40F9C" w:rsidR="00E32D0E" w:rsidP="000907B6" w:rsidRDefault="008B55A2" w14:paraId="2067EAEB" w14:textId="77777777">
      <w:pPr>
        <w:pStyle w:val="zGBody2"/>
        <w:numPr>
          <w:ilvl w:val="2"/>
          <w:numId w:val="27"/>
        </w:numPr>
        <w:rPr>
          <w:vanish/>
          <w:specVanish/>
        </w:rPr>
      </w:pPr>
      <w:bookmarkStart w:name="_Toc227451653" w:id="1425"/>
      <w:r>
        <w:rPr>
          <w:b w:val="0"/>
        </w:rPr>
        <w:lastRenderedPageBreak/>
        <w:t>Cured Inadequate Tested Storage Capacity.</w:t>
      </w:r>
      <w:bookmarkEnd w:id="1425"/>
    </w:p>
    <w:p w:rsidRPr="00F40F9C" w:rsidR="00B415CC" w:rsidP="001B427D" w:rsidRDefault="008B55A2" w14:paraId="78799EB8" w14:textId="4DABFB4F">
      <w:pPr>
        <w:pStyle w:val="zGBody3"/>
      </w:pPr>
      <w:r>
        <w:t xml:space="preserve"> The inadequate Tested Storage Capacity will be deemed cured under this Section 1.3 (</w:t>
      </w:r>
      <w:r>
        <w:rPr>
          <w:i/>
        </w:rPr>
        <w:t>Tested Storage Capacity Below</w:t>
      </w:r>
      <w:r>
        <w:t xml:space="preserve"> SDDC</w:t>
      </w:r>
      <w:r>
        <w:rPr>
          <w:i/>
        </w:rPr>
        <w:t xml:space="preserve">; </w:t>
      </w:r>
      <w:r w:rsidR="00CC2E27">
        <w:rPr>
          <w:i/>
        </w:rPr>
        <w:t>SDDC</w:t>
      </w:r>
      <w:r>
        <w:rPr>
          <w:i/>
        </w:rPr>
        <w:t xml:space="preserve"> Buydown</w:t>
      </w:r>
      <w:r>
        <w:t xml:space="preserve">) only if: (i) Seller provides GPC with a written certification, reasonably acceptable to GPC, confirming that the inadequate Tested Storage Capacity has been cured; and (ii) the Tested Storage Capacity, as demonstrated by the most recent Performance Test, is increased to a value equal to or greater than the Contracted Capacity. </w:t>
      </w:r>
    </w:p>
    <w:p w:rsidRPr="00F40F9C" w:rsidR="00E32D0E" w:rsidP="000907B6" w:rsidRDefault="008B55A2" w14:paraId="383BCB4A" w14:textId="77777777">
      <w:pPr>
        <w:pStyle w:val="zGBody2"/>
        <w:numPr>
          <w:ilvl w:val="2"/>
          <w:numId w:val="27"/>
        </w:numPr>
        <w:rPr>
          <w:vanish/>
          <w:specVanish/>
        </w:rPr>
      </w:pPr>
      <w:bookmarkStart w:name="_Toc227451654" w:id="1426"/>
      <w:r>
        <w:rPr>
          <w:b w:val="0"/>
        </w:rPr>
        <w:t>SDDC during a Cure Period.</w:t>
      </w:r>
      <w:bookmarkEnd w:id="1426"/>
    </w:p>
    <w:p w:rsidRPr="00F40F9C" w:rsidR="00B415CC" w:rsidP="001B427D" w:rsidRDefault="008B55A2" w14:paraId="6CCAF586" w14:textId="68F2A89A">
      <w:pPr>
        <w:pStyle w:val="zGBody3"/>
      </w:pPr>
      <w:r>
        <w:t xml:space="preserve"> During any Cure Period or Cure Period extension, the SDDC will be deemed to be the Tested Storage Capacity determined in accordance with the most recent Performance Test, but the SDDD will not be reduced. The ROC and SDOE will adjust proportionately to the reduction of SDDC.</w:t>
      </w:r>
    </w:p>
    <w:p w:rsidRPr="00F40F9C" w:rsidR="00B13C1A" w:rsidP="000907B6" w:rsidRDefault="008B55A2" w14:paraId="45419D67" w14:textId="77777777">
      <w:pPr>
        <w:pStyle w:val="zGBody2"/>
        <w:numPr>
          <w:ilvl w:val="2"/>
          <w:numId w:val="27"/>
        </w:numPr>
        <w:rPr>
          <w:vanish/>
          <w:specVanish/>
        </w:rPr>
      </w:pPr>
      <w:bookmarkStart w:name="_Toc227451655" w:id="1427"/>
      <w:r>
        <w:rPr>
          <w:b w:val="0"/>
        </w:rPr>
        <w:t>Failure to Cure Inadequate Tested Storage Capacity Above 70% Contracted Capacity; Buydown Liquidated Damages.</w:t>
      </w:r>
      <w:bookmarkEnd w:id="1427"/>
    </w:p>
    <w:p w:rsidRPr="00F40F9C" w:rsidR="00B415CC" w:rsidP="001B427D" w:rsidRDefault="008B55A2" w14:paraId="4139F91C" w14:textId="014063DF">
      <w:pPr>
        <w:pStyle w:val="zGBody3"/>
      </w:pPr>
      <w:r>
        <w:t xml:space="preserve"> If Seller fails to: (i) establish the cure plan within the required 10-Day period set forth in Section 1.3.1 (</w:t>
      </w:r>
      <w:r>
        <w:rPr>
          <w:i/>
        </w:rPr>
        <w:t>Cure Plan and Cure Period</w:t>
      </w:r>
      <w:r>
        <w:t>) or, if applicable, establish the revised cure plan within the required 15-Day period set forth in Section 1.3.1.A (</w:t>
      </w:r>
      <w:r>
        <w:rPr>
          <w:i/>
        </w:rPr>
        <w:t>Cure Period Extension</w:t>
      </w:r>
      <w:r>
        <w:t xml:space="preserve">) for a Cure Period extension; or (ii) diligently implement the cure plan (including implementation of actions as GPC may reasonably request); or (iii) cure the inadequate Tested Storage Capacity within the applicable Cure Period, the SDDC will be deemed to be the Tested Storage Capacity demonstrated in the most recent Performance Test. </w:t>
      </w:r>
    </w:p>
    <w:p w:rsidR="00D220E5" w:rsidP="00B13C1A" w:rsidRDefault="00B13C1A" w14:paraId="68168282" w14:textId="7BB024FD">
      <w:pPr>
        <w:pStyle w:val="zGBody4"/>
        <w:ind w:left="1440"/>
        <w:jc w:val="both"/>
      </w:pPr>
      <w:r>
        <w:rPr>
          <w:b/>
          <w:bCs/>
        </w:rPr>
        <w:t xml:space="preserve">A.     </w:t>
      </w:r>
      <w:r w:rsidR="008B55A2">
        <w:rPr>
          <w:b/>
          <w:bCs/>
        </w:rPr>
        <w:t xml:space="preserve">Buydown Liquidated Damages.  </w:t>
      </w:r>
      <w:r w:rsidR="008B55A2">
        <w:t>Seller will have a one-time option to adjust SDDC by paying GPC, as liquidated damages, the buydown payment shown in Table B-1 (</w:t>
      </w:r>
      <w:r w:rsidR="008B55A2">
        <w:rPr>
          <w:i/>
        </w:rPr>
        <w:t>Buydown Payment for Capacity Reduction Below SDDC</w:t>
      </w:r>
      <w:r w:rsidR="008B55A2">
        <w:t>) corresponding to the Annual Period following the Annual Period in which the most recent Performance Test was conducted, based on the difference (in kW) between the Contracted Capacity and the Tested Storage Capacity from the most recent Performance Test. Upon Seller making the buydown payment required under this Section 1.3.4.A (</w:t>
      </w:r>
      <w:r w:rsidR="008B55A2">
        <w:rPr>
          <w:i/>
        </w:rPr>
        <w:t>Buydown Liquidated Damages</w:t>
      </w:r>
      <w:r w:rsidR="008B55A2">
        <w:t>), the SDDC will be deemed to be the Tested Storage Capacity demonstrated in the most recent Performance Test. However, any reduction of the SDDC will not limit or modify GPC’s rights and remedies under PPA Section 16.1.9 (</w:t>
      </w:r>
      <w:r w:rsidR="008B55A2">
        <w:rPr>
          <w:i/>
        </w:rPr>
        <w:t>Tested Storage Capacity Below 70% Contracted Capacity; Cure; Remedies</w:t>
      </w:r>
      <w:r w:rsidR="008B55A2">
        <w:t>). Subject to PPA Section 16.1.9 the payment of buydown liquidated damages under this Section 1.3.4.A will be GPC’s exclusive remedy for the reduction of the SDDC to the Tested Storage Capacity from the most recent Performance Test. Seller will only be allowed to reduce SDDC once during the Term. Seller’s buydown of SDDC will not lower Contracted Capacity.</w:t>
      </w:r>
    </w:p>
    <w:p w:rsidRPr="001225D2" w:rsidR="00B415CC" w:rsidP="003C7149" w:rsidRDefault="008B55A2" w14:paraId="42999F2D" w14:textId="605E27BE">
      <w:pPr>
        <w:pStyle w:val="zGBody4"/>
        <w:jc w:val="both"/>
      </w:pPr>
      <w:r w:rsidRPr="00B13C1A">
        <w:rPr>
          <w:b/>
          <w:highlight w:val="cyan"/>
        </w:rPr>
        <w:t>[</w:t>
      </w:r>
      <w:r w:rsidRPr="00B13C1A">
        <w:rPr>
          <w:b/>
          <w:i/>
          <w:highlight w:val="cyan"/>
          <w:u w:val="single"/>
        </w:rPr>
        <w:t>Note to Bidders</w:t>
      </w:r>
      <w:r w:rsidRPr="00B13C1A">
        <w:rPr>
          <w:b/>
          <w:i/>
          <w:highlight w:val="cyan"/>
        </w:rPr>
        <w:t xml:space="preserve">: Table B-1 will be populated using the applicable amounts stated in Attachment 1 (Performance Security and Termination Liquidated Damages Summary) of RFP Exhibit </w:t>
      </w:r>
      <w:r w:rsidRPr="00B13C1A" w:rsidR="002519C1">
        <w:rPr>
          <w:b/>
          <w:i/>
          <w:highlight w:val="cyan"/>
        </w:rPr>
        <w:t>E</w:t>
      </w:r>
      <w:r w:rsidRPr="00B13C1A">
        <w:rPr>
          <w:b/>
          <w:i/>
          <w:highlight w:val="cyan"/>
        </w:rPr>
        <w:t xml:space="preserve"> (Summary of Fees, Costs, Security, and Deadlines).</w:t>
      </w:r>
    </w:p>
    <w:tbl>
      <w:tblPr>
        <w:tblStyle w:val="TableGrid"/>
        <w:tblW w:w="0" w:type="auto"/>
        <w:tblInd w:w="1345" w:type="dxa"/>
        <w:tblLook w:val="04A0" w:firstRow="1" w:lastRow="0" w:firstColumn="1" w:lastColumn="0" w:noHBand="0" w:noVBand="1"/>
      </w:tblPr>
      <w:tblGrid>
        <w:gridCol w:w="1800"/>
        <w:gridCol w:w="4770"/>
      </w:tblGrid>
      <w:tr w:rsidR="00AE51F9" w14:paraId="2ED75CB7" w14:textId="77777777">
        <w:tc>
          <w:tcPr>
            <w:tcW w:w="6570" w:type="dxa"/>
            <w:gridSpan w:val="2"/>
            <w:shd w:val="clear" w:color="auto" w:fill="BFBFBF" w:themeFill="background1" w:themeFillShade="BF"/>
          </w:tcPr>
          <w:p w:rsidRPr="00D96264" w:rsidR="003B704D" w:rsidP="00D96264" w:rsidRDefault="008B55A2" w14:paraId="1A7C550C" w14:textId="77777777">
            <w:pPr>
              <w:pStyle w:val="Subtitle-Bold"/>
              <w:adjustRightInd w:val="0"/>
              <w:spacing w:after="120"/>
              <w:textAlignment w:val="baseline"/>
              <w:rPr>
                <w:rFonts w:eastAsia="Times New Roman" w:cs="Arial"/>
                <w:bCs w:val="0"/>
              </w:rPr>
            </w:pPr>
            <w:r>
              <w:rPr>
                <w:rFonts w:eastAsia="Times New Roman" w:cs="Arial"/>
                <w:bCs w:val="0"/>
              </w:rPr>
              <w:t>Table B-1</w:t>
            </w:r>
          </w:p>
        </w:tc>
      </w:tr>
      <w:tr w:rsidR="00AE51F9" w14:paraId="270614A1" w14:textId="77777777">
        <w:tc>
          <w:tcPr>
            <w:tcW w:w="6570" w:type="dxa"/>
            <w:gridSpan w:val="2"/>
            <w:shd w:val="clear" w:color="auto" w:fill="D9D9D9" w:themeFill="background1" w:themeFillShade="D9"/>
            <w:vAlign w:val="center"/>
          </w:tcPr>
          <w:p w:rsidRPr="00D96264" w:rsidR="00D96264" w:rsidP="00D96264" w:rsidRDefault="008B55A2" w14:paraId="170CAA88" w14:textId="77777777">
            <w:pPr>
              <w:pStyle w:val="Subtitle-Bold"/>
              <w:adjustRightInd w:val="0"/>
              <w:spacing w:after="120"/>
              <w:textAlignment w:val="baseline"/>
              <w:rPr>
                <w:rFonts w:eastAsia="Times New Roman" w:cs="Arial"/>
              </w:rPr>
            </w:pPr>
            <w:r>
              <w:rPr>
                <w:rFonts w:eastAsia="Times New Roman" w:cs="Arial"/>
              </w:rPr>
              <w:t xml:space="preserve">Buydown Payment for Capacity Reduction </w:t>
            </w:r>
          </w:p>
          <w:p w:rsidRPr="004B6C20" w:rsidR="003B704D" w:rsidP="00D96264" w:rsidRDefault="008B55A2" w14:paraId="5BF6D2E9" w14:textId="77777777">
            <w:pPr>
              <w:adjustRightInd w:val="0"/>
              <w:spacing w:after="120"/>
              <w:jc w:val="center"/>
              <w:textAlignment w:val="baseline"/>
              <w:rPr>
                <w:rFonts w:eastAsia="Times New Roman" w:cs="Arial"/>
                <w:b/>
                <w:bCs/>
              </w:rPr>
            </w:pPr>
            <w:r>
              <w:rPr>
                <w:rFonts w:eastAsia="Times New Roman" w:cs="Arial"/>
                <w:b/>
                <w:bCs/>
              </w:rPr>
              <w:t xml:space="preserve">below Contracted Capacity </w:t>
            </w:r>
          </w:p>
        </w:tc>
      </w:tr>
      <w:tr w:rsidR="00AE51F9" w14:paraId="234214A7" w14:textId="77777777">
        <w:tc>
          <w:tcPr>
            <w:tcW w:w="1800" w:type="dxa"/>
            <w:shd w:val="clear" w:color="auto" w:fill="F2F2F2" w:themeFill="background1" w:themeFillShade="F2"/>
          </w:tcPr>
          <w:p w:rsidRPr="004B6C20" w:rsidR="003B704D" w:rsidP="00D96264" w:rsidRDefault="008B55A2" w14:paraId="2F52321E" w14:textId="77777777">
            <w:pPr>
              <w:adjustRightInd w:val="0"/>
              <w:spacing w:after="120"/>
              <w:jc w:val="center"/>
              <w:textAlignment w:val="baseline"/>
              <w:rPr>
                <w:rFonts w:eastAsia="Times New Roman" w:cs="Arial"/>
                <w:b/>
                <w:bCs/>
              </w:rPr>
            </w:pPr>
            <w:r>
              <w:rPr>
                <w:rFonts w:eastAsia="Times New Roman" w:cs="Arial"/>
                <w:b/>
                <w:bCs/>
              </w:rPr>
              <w:t xml:space="preserve">Annual Period </w:t>
            </w:r>
          </w:p>
        </w:tc>
        <w:tc>
          <w:tcPr>
            <w:tcW w:w="4770" w:type="dxa"/>
            <w:shd w:val="clear" w:color="auto" w:fill="F2F2F2" w:themeFill="background1" w:themeFillShade="F2"/>
          </w:tcPr>
          <w:p w:rsidRPr="004B6C20" w:rsidR="003B704D" w:rsidP="00D96264" w:rsidRDefault="008B55A2" w14:paraId="7F596344" w14:textId="77777777">
            <w:pPr>
              <w:adjustRightInd w:val="0"/>
              <w:spacing w:after="120"/>
              <w:jc w:val="center"/>
              <w:textAlignment w:val="baseline"/>
              <w:rPr>
                <w:rFonts w:eastAsia="Times New Roman" w:cs="Arial"/>
                <w:b/>
                <w:bCs/>
              </w:rPr>
            </w:pPr>
            <w:r>
              <w:rPr>
                <w:rFonts w:eastAsia="Times New Roman" w:cs="Arial"/>
                <w:b/>
                <w:bCs/>
              </w:rPr>
              <w:t>Buydown Payment ($/kW)</w:t>
            </w:r>
          </w:p>
        </w:tc>
      </w:tr>
      <w:tr w:rsidR="00AE51F9" w14:paraId="06CD92CE" w14:textId="77777777">
        <w:tc>
          <w:tcPr>
            <w:tcW w:w="1800" w:type="dxa"/>
          </w:tcPr>
          <w:p w:rsidR="003B704D" w:rsidP="00D96264" w:rsidRDefault="008B55A2" w14:paraId="391F0257" w14:textId="77777777">
            <w:pPr>
              <w:adjustRightInd w:val="0"/>
              <w:spacing w:after="120"/>
              <w:jc w:val="center"/>
              <w:textAlignment w:val="baseline"/>
              <w:rPr>
                <w:rFonts w:eastAsia="Times New Roman" w:cs="Arial"/>
              </w:rPr>
            </w:pPr>
            <w:r>
              <w:rPr>
                <w:rFonts w:eastAsia="Times New Roman" w:cs="Arial"/>
              </w:rPr>
              <w:t>1-5</w:t>
            </w:r>
          </w:p>
        </w:tc>
        <w:tc>
          <w:tcPr>
            <w:tcW w:w="4770" w:type="dxa"/>
          </w:tcPr>
          <w:p w:rsidR="003B704D" w:rsidP="00D96264" w:rsidRDefault="008B55A2" w14:paraId="75A99BDE" w14:textId="77777777">
            <w:pPr>
              <w:adjustRightInd w:val="0"/>
              <w:spacing w:after="120"/>
              <w:jc w:val="center"/>
              <w:textAlignment w:val="baseline"/>
              <w:rPr>
                <w:rFonts w:eastAsia="Times New Roman" w:cs="Arial"/>
              </w:rPr>
            </w:pPr>
            <w:r>
              <w:rPr>
                <w:rFonts w:eastAsia="Times New Roman" w:cs="Arial"/>
                <w:highlight w:val="yellow"/>
              </w:rPr>
              <w:t>#Amount</w:t>
            </w:r>
          </w:p>
        </w:tc>
      </w:tr>
      <w:tr w:rsidR="00AE51F9" w14:paraId="687B75E8" w14:textId="77777777">
        <w:tc>
          <w:tcPr>
            <w:tcW w:w="1800" w:type="dxa"/>
          </w:tcPr>
          <w:p w:rsidR="003B704D" w:rsidP="00D96264" w:rsidRDefault="008B55A2" w14:paraId="1785A5C1" w14:textId="77777777">
            <w:pPr>
              <w:adjustRightInd w:val="0"/>
              <w:spacing w:after="120"/>
              <w:jc w:val="center"/>
              <w:textAlignment w:val="baseline"/>
              <w:rPr>
                <w:rFonts w:eastAsia="Times New Roman" w:cs="Arial"/>
              </w:rPr>
            </w:pPr>
            <w:r>
              <w:rPr>
                <w:rFonts w:eastAsia="Times New Roman" w:cs="Arial"/>
                <w:highlight w:val="yellow"/>
              </w:rPr>
              <w:t>#6-10</w:t>
            </w:r>
          </w:p>
        </w:tc>
        <w:tc>
          <w:tcPr>
            <w:tcW w:w="4770" w:type="dxa"/>
          </w:tcPr>
          <w:p w:rsidR="003B704D" w:rsidP="00D96264" w:rsidRDefault="008B55A2" w14:paraId="7D34AA70" w14:textId="77777777">
            <w:pPr>
              <w:adjustRightInd w:val="0"/>
              <w:spacing w:after="120"/>
              <w:jc w:val="center"/>
              <w:textAlignment w:val="baseline"/>
              <w:rPr>
                <w:rFonts w:eastAsia="Times New Roman" w:cs="Arial"/>
              </w:rPr>
            </w:pPr>
            <w:r>
              <w:rPr>
                <w:rFonts w:eastAsia="Times New Roman" w:cs="Arial"/>
                <w:highlight w:val="yellow"/>
              </w:rPr>
              <w:t>#Amount</w:t>
            </w:r>
          </w:p>
        </w:tc>
      </w:tr>
      <w:tr w:rsidR="00AE51F9" w14:paraId="61D3C32B" w14:textId="77777777">
        <w:tc>
          <w:tcPr>
            <w:tcW w:w="1800" w:type="dxa"/>
          </w:tcPr>
          <w:p w:rsidR="003B704D" w:rsidP="00D96264" w:rsidRDefault="008B55A2" w14:paraId="636742C9" w14:textId="77777777">
            <w:pPr>
              <w:adjustRightInd w:val="0"/>
              <w:spacing w:after="120"/>
              <w:jc w:val="center"/>
              <w:textAlignment w:val="baseline"/>
              <w:rPr>
                <w:rFonts w:eastAsia="Times New Roman" w:cs="Arial"/>
              </w:rPr>
            </w:pPr>
            <w:r>
              <w:rPr>
                <w:rFonts w:eastAsia="Times New Roman" w:cs="Arial"/>
                <w:highlight w:val="yellow"/>
              </w:rPr>
              <w:t>#11-15</w:t>
            </w:r>
          </w:p>
        </w:tc>
        <w:tc>
          <w:tcPr>
            <w:tcW w:w="4770" w:type="dxa"/>
          </w:tcPr>
          <w:p w:rsidR="003B704D" w:rsidP="00D96264" w:rsidRDefault="008B55A2" w14:paraId="0B79FC61" w14:textId="77777777">
            <w:pPr>
              <w:adjustRightInd w:val="0"/>
              <w:spacing w:after="120"/>
              <w:jc w:val="center"/>
              <w:textAlignment w:val="baseline"/>
              <w:rPr>
                <w:rFonts w:eastAsia="Times New Roman" w:cs="Arial"/>
              </w:rPr>
            </w:pPr>
            <w:r>
              <w:rPr>
                <w:rFonts w:eastAsia="Times New Roman" w:cs="Arial"/>
                <w:highlight w:val="yellow"/>
              </w:rPr>
              <w:t>#Amount</w:t>
            </w:r>
          </w:p>
        </w:tc>
      </w:tr>
      <w:tr w:rsidR="00AE51F9" w14:paraId="42E4F02B" w14:textId="77777777">
        <w:tc>
          <w:tcPr>
            <w:tcW w:w="1800" w:type="dxa"/>
          </w:tcPr>
          <w:p w:rsidR="003B704D" w:rsidP="00D96264" w:rsidRDefault="008B55A2" w14:paraId="13F32FBA" w14:textId="77777777">
            <w:pPr>
              <w:adjustRightInd w:val="0"/>
              <w:spacing w:after="120"/>
              <w:jc w:val="center"/>
              <w:textAlignment w:val="baseline"/>
              <w:rPr>
                <w:rFonts w:eastAsia="Times New Roman" w:cs="Arial"/>
              </w:rPr>
            </w:pPr>
            <w:r>
              <w:rPr>
                <w:rFonts w:eastAsia="Times New Roman" w:cs="Arial"/>
                <w:highlight w:val="yellow"/>
              </w:rPr>
              <w:lastRenderedPageBreak/>
              <w:t>#16-20</w:t>
            </w:r>
          </w:p>
        </w:tc>
        <w:tc>
          <w:tcPr>
            <w:tcW w:w="4770" w:type="dxa"/>
          </w:tcPr>
          <w:p w:rsidR="003B704D" w:rsidP="00D96264" w:rsidRDefault="008B55A2" w14:paraId="737AA3A5" w14:textId="77777777">
            <w:pPr>
              <w:adjustRightInd w:val="0"/>
              <w:spacing w:after="120"/>
              <w:jc w:val="center"/>
              <w:textAlignment w:val="baseline"/>
              <w:rPr>
                <w:rFonts w:eastAsia="Times New Roman" w:cs="Arial"/>
              </w:rPr>
            </w:pPr>
            <w:r>
              <w:rPr>
                <w:rFonts w:eastAsia="Times New Roman" w:cs="Arial"/>
                <w:highlight w:val="yellow"/>
              </w:rPr>
              <w:t>#Amount</w:t>
            </w:r>
          </w:p>
        </w:tc>
      </w:tr>
      <w:tr w:rsidR="00AE51F9" w14:paraId="30369A78" w14:textId="77777777">
        <w:tc>
          <w:tcPr>
            <w:tcW w:w="1800" w:type="dxa"/>
          </w:tcPr>
          <w:p w:rsidRPr="004B6C20" w:rsidR="00692014" w:rsidP="00D96264" w:rsidRDefault="008B55A2" w14:paraId="63DE8BF1" w14:textId="77777777">
            <w:pPr>
              <w:adjustRightInd w:val="0"/>
              <w:spacing w:after="120"/>
              <w:jc w:val="center"/>
              <w:textAlignment w:val="baseline"/>
              <w:rPr>
                <w:rFonts w:eastAsia="Times New Roman" w:cs="Arial"/>
                <w:highlight w:val="yellow"/>
              </w:rPr>
            </w:pPr>
            <w:r>
              <w:rPr>
                <w:rFonts w:eastAsia="Times New Roman" w:cs="Arial"/>
                <w:highlight w:val="yellow"/>
              </w:rPr>
              <w:t>#21 – 25</w:t>
            </w:r>
          </w:p>
        </w:tc>
        <w:tc>
          <w:tcPr>
            <w:tcW w:w="4770" w:type="dxa"/>
          </w:tcPr>
          <w:p w:rsidRPr="004B6C20" w:rsidR="00692014" w:rsidP="00D96264" w:rsidRDefault="008B55A2" w14:paraId="6BAB9316" w14:textId="77777777">
            <w:pPr>
              <w:adjustRightInd w:val="0"/>
              <w:spacing w:after="120"/>
              <w:jc w:val="center"/>
              <w:textAlignment w:val="baseline"/>
              <w:rPr>
                <w:rFonts w:eastAsia="Times New Roman" w:cs="Arial"/>
                <w:highlight w:val="yellow"/>
              </w:rPr>
            </w:pPr>
            <w:r>
              <w:rPr>
                <w:rFonts w:eastAsia="Times New Roman" w:cs="Arial"/>
                <w:highlight w:val="yellow"/>
              </w:rPr>
              <w:t>#Amount</w:t>
            </w:r>
          </w:p>
        </w:tc>
      </w:tr>
    </w:tbl>
    <w:p w:rsidR="006658B9" w:rsidP="00692014" w:rsidRDefault="008B55A2" w14:paraId="264C68F4" w14:textId="12BC256F">
      <w:pPr>
        <w:pStyle w:val="zGTableTxt10"/>
        <w:widowControl/>
        <w:autoSpaceDE/>
        <w:autoSpaceDN/>
        <w:adjustRightInd/>
        <w:spacing w:after="200" w:line="276" w:lineRule="auto"/>
        <w:ind w:left="1440"/>
        <w:jc w:val="both"/>
        <w:sectPr w:rsidR="006658B9" w:rsidSect="00226062">
          <w:headerReference w:type="even" r:id="rId44"/>
          <w:headerReference w:type="default" r:id="rId45"/>
          <w:footerReference w:type="even" r:id="rId46"/>
          <w:footerReference w:type="default" r:id="rId47"/>
          <w:headerReference w:type="first" r:id="rId48"/>
          <w:footerReference w:type="first" r:id="rId49"/>
          <w:pgSz w:w="12240" w:h="15840" w:code="1"/>
          <w:pgMar w:top="1440" w:right="1440" w:bottom="1440" w:left="1440" w:header="720" w:footer="720" w:gutter="0"/>
          <w:paperSrc w:first="15" w:other="15"/>
          <w:cols w:space="1440"/>
        </w:sectPr>
      </w:pPr>
      <w:r>
        <w:rPr>
          <w:rFonts w:eastAsiaTheme="minorHAnsi"/>
          <w:spacing w:val="0"/>
          <w:kern w:val="0"/>
        </w:rPr>
        <w:br w:type="textWrapping" w:clear="all"/>
      </w:r>
      <w:r>
        <w:t>If SDDC is reduced as set forth in this Section 1.3 (</w:t>
      </w:r>
      <w:r>
        <w:rPr>
          <w:i/>
        </w:rPr>
        <w:t>Tested Storage Capacity Below SDDC; SDDC Buydown</w:t>
      </w:r>
      <w:r>
        <w:t>), and, after the SDDC reduction, Seller restores the BESS capacity to a value equal to or greater than the Contracted Capacity, then: (i) GPC will not be required to refund to Seller any buydown liquidated damages Seller paid under this Section 1.3.4.A; and (ii) Seller may offer the restored capacity, up to the Contacted Capacity, to GPC at the Annual Capacity Price and in accordance with the payment terms set forth in Exhibit C (</w:t>
      </w:r>
      <w:r>
        <w:rPr>
          <w:i/>
        </w:rPr>
        <w:t>Monthly Capacity Payments; Monthly Capacity Reductions; AGC Performance Metrics and Requirements</w:t>
      </w:r>
      <w:r>
        <w:t xml:space="preserve">). If GPC accepts Seller’s offer, the SDDC will be increased by an amount equal to the portion of the restored capacity accepted by GPC, not to exceed the Contracted Capacity. Any adjustment to SDDC will be documented in the Operating Procedures. </w:t>
      </w:r>
    </w:p>
    <w:p w:rsidR="00CA4544" w:rsidP="006658B9" w:rsidRDefault="008B55A2" w14:paraId="5C632A89" w14:textId="77777777">
      <w:pPr>
        <w:jc w:val="both"/>
        <w:rPr>
          <w:rFonts w:eastAsia="Times New Roman" w:cs="Arial"/>
          <w:b/>
        </w:rPr>
        <w:sectPr w:rsidR="00CA4544" w:rsidSect="00226062">
          <w:headerReference w:type="even" r:id="rId50"/>
          <w:headerReference w:type="default" r:id="rId51"/>
          <w:footerReference w:type="even" r:id="rId52"/>
          <w:footerReference w:type="default" r:id="rId53"/>
          <w:headerReference w:type="first" r:id="rId54"/>
          <w:footerReference w:type="first" r:id="rId55"/>
          <w:type w:val="continuous"/>
          <w:pgSz w:w="12240" w:h="15840" w:code="1"/>
          <w:pgMar w:top="1440" w:right="1440" w:bottom="1440" w:left="1440" w:header="720" w:footer="720" w:gutter="0"/>
          <w:paperSrc w:first="15" w:other="15"/>
          <w:cols w:space="1440"/>
        </w:sectPr>
      </w:pPr>
      <w:bookmarkStart w:name="_DV_M1229" w:id="1428"/>
      <w:bookmarkStart w:name="_DV_M1230" w:id="1429"/>
      <w:bookmarkStart w:name="_Toc160749231" w:id="1430"/>
      <w:bookmarkEnd w:id="1428"/>
      <w:bookmarkEnd w:id="1429"/>
      <w:r>
        <w:rPr>
          <w:rFonts w:ascii="Arial" w:hAnsi="Arial" w:cs="Arial"/>
          <w:sz w:val="20"/>
          <w:szCs w:val="20"/>
        </w:rPr>
        <w:t xml:space="preserve"> </w:t>
      </w:r>
      <w:r>
        <w:rPr>
          <w:rFonts w:eastAsia="Times New Roman" w:cs="Arial"/>
          <w:b/>
        </w:rPr>
        <w:br w:type="page"/>
      </w:r>
    </w:p>
    <w:p w:rsidR="00050A04" w:rsidP="002D54C4" w:rsidRDefault="00050A04" w14:paraId="6363B810" w14:textId="77777777">
      <w:pPr>
        <w:pStyle w:val="zGTitleExhibit"/>
        <w:rPr>
          <w:rFonts w:cs="Arial"/>
        </w:rPr>
      </w:pPr>
    </w:p>
    <w:p w:rsidRPr="00F10071" w:rsidR="002D54C4" w:rsidP="002D54C4" w:rsidRDefault="008B55A2" w14:paraId="0399260B" w14:textId="7AA1722C">
      <w:pPr>
        <w:pStyle w:val="zGTitleExhibit"/>
        <w:rPr>
          <w:rFonts w:cs="Arial"/>
        </w:rPr>
      </w:pPr>
      <w:bookmarkStart w:name="_Toc174624984" w:id="1431"/>
      <w:bookmarkStart w:name="_Toc194937598" w:id="1432"/>
      <w:bookmarkStart w:name="_Toc206673896" w:id="1433"/>
      <w:bookmarkStart w:name="_Toc227451656" w:id="1434"/>
      <w:r>
        <w:rPr>
          <w:rFonts w:cs="Arial"/>
        </w:rPr>
        <w:t xml:space="preserve">Exhibit C – </w:t>
      </w:r>
      <w:r>
        <w:t xml:space="preserve">Monthly Capacity Payments; Monthly Capacity Reductions; AGC Performance METRICS AND </w:t>
      </w:r>
      <w:bookmarkEnd w:id="1431"/>
      <w:r>
        <w:t>Requirements</w:t>
      </w:r>
      <w:bookmarkEnd w:id="1430"/>
      <w:bookmarkEnd w:id="1432"/>
      <w:bookmarkEnd w:id="1433"/>
      <w:bookmarkEnd w:id="1434"/>
      <w:r>
        <w:t xml:space="preserve"> </w:t>
      </w:r>
    </w:p>
    <w:p w:rsidRPr="002D2A8F" w:rsidR="006F7483" w:rsidP="000907B6" w:rsidRDefault="008B55A2" w14:paraId="25551A83" w14:textId="77777777">
      <w:pPr>
        <w:pStyle w:val="zGBody1"/>
        <w:numPr>
          <w:ilvl w:val="0"/>
          <w:numId w:val="38"/>
        </w:numPr>
      </w:pPr>
      <w:bookmarkStart w:name="_Toc158593318" w:id="1435"/>
      <w:bookmarkStart w:name="_Toc158597597" w:id="1436"/>
      <w:bookmarkStart w:name="_Toc206673897" w:id="1437"/>
      <w:bookmarkStart w:name="_Toc227451657" w:id="1438"/>
      <w:r>
        <w:t>Pricing</w:t>
      </w:r>
      <w:bookmarkEnd w:id="1435"/>
      <w:bookmarkEnd w:id="1436"/>
      <w:bookmarkEnd w:id="1437"/>
      <w:bookmarkEnd w:id="1438"/>
    </w:p>
    <w:p w:rsidRPr="002F5A9D" w:rsidR="006F7483" w:rsidP="000907B6" w:rsidRDefault="008B55A2" w14:paraId="4CE6D500" w14:textId="77777777">
      <w:pPr>
        <w:pStyle w:val="zGBody2"/>
        <w:numPr>
          <w:ilvl w:val="1"/>
          <w:numId w:val="26"/>
        </w:numPr>
        <w:rPr>
          <w:vanish/>
          <w:specVanish/>
        </w:rPr>
      </w:pPr>
      <w:bookmarkStart w:name="_Toc158593319" w:id="1439"/>
      <w:bookmarkStart w:name="_Toc158597598" w:id="1440"/>
      <w:bookmarkStart w:name="_Toc206673898" w:id="1441"/>
      <w:bookmarkStart w:name="_Toc227451658" w:id="1442"/>
      <w:r>
        <w:t>Capacity Pricing.</w:t>
      </w:r>
      <w:bookmarkEnd w:id="1439"/>
      <w:bookmarkEnd w:id="1440"/>
      <w:bookmarkEnd w:id="1441"/>
      <w:bookmarkEnd w:id="1442"/>
    </w:p>
    <w:p w:rsidRPr="00713C91" w:rsidR="006F7483" w:rsidP="003A0A71" w:rsidRDefault="008B55A2" w14:paraId="4E8650CB" w14:textId="77777777">
      <w:pPr>
        <w:pStyle w:val="zGNormal6"/>
      </w:pPr>
      <w:r>
        <w:rPr>
          <w:bCs/>
        </w:rPr>
        <w:t xml:space="preserve"> </w:t>
      </w:r>
      <w:r>
        <w:t>Commencing on the Delivery Commencement Date, the “</w:t>
      </w:r>
      <w:r>
        <w:rPr>
          <w:b/>
          <w:bCs/>
        </w:rPr>
        <w:t>Annual Capacity Price</w:t>
      </w:r>
      <w:r>
        <w:t>” for the first Annual Period will be $</w:t>
      </w:r>
      <w:r>
        <w:rPr>
          <w:highlight w:val="yellow"/>
        </w:rPr>
        <w:t>#Price</w:t>
      </w:r>
      <w:r>
        <w:t>/kW-year and will increase per Table C-1 (</w:t>
      </w:r>
      <w:r>
        <w:rPr>
          <w:i/>
          <w:iCs/>
        </w:rPr>
        <w:t>Annual Capacity Price</w:t>
      </w:r>
      <w:r>
        <w:t>) below on December 1 of each Annual Period thereafter, as follows:</w:t>
      </w:r>
    </w:p>
    <w:p w:rsidRPr="002D2A8F" w:rsidR="006F7483" w:rsidP="002F5A9D" w:rsidRDefault="006F7483" w14:paraId="11D655E3" w14:textId="77777777">
      <w:pPr>
        <w:pStyle w:val="zG03"/>
        <w:numPr>
          <w:ilvl w:val="0"/>
          <w:numId w:val="0"/>
        </w:numPr>
        <w:ind w:left="259"/>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369"/>
        <w:gridCol w:w="2850"/>
      </w:tblGrid>
      <w:tr w:rsidR="00AE51F9" w14:paraId="420D5857" w14:textId="77777777">
        <w:trPr>
          <w:jc w:val="center"/>
        </w:trPr>
        <w:tc>
          <w:tcPr>
            <w:tcW w:w="6219"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950426" w:rsidR="006F7483" w:rsidRDefault="008B55A2" w14:paraId="66A9ACA5"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Table C-1</w:t>
            </w:r>
          </w:p>
          <w:p w:rsidRPr="00950426" w:rsidR="006F7483" w:rsidRDefault="008B55A2" w14:paraId="16512536"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 xml:space="preserve">Annual Capacity Price </w:t>
            </w:r>
          </w:p>
        </w:tc>
      </w:tr>
      <w:tr w:rsidR="00AE51F9" w14:paraId="7A8C4482" w14:textId="77777777">
        <w:trPr>
          <w:jc w:val="center"/>
        </w:trPr>
        <w:tc>
          <w:tcPr>
            <w:tcW w:w="336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950426" w:rsidR="006F7483" w:rsidRDefault="008B55A2" w14:paraId="1502E5A3" w14:textId="77777777">
            <w:pPr>
              <w:adjustRightInd w:val="0"/>
              <w:spacing w:after="0"/>
              <w:ind w:left="450" w:hanging="450"/>
              <w:jc w:val="center"/>
              <w:textAlignment w:val="baseline"/>
              <w:rPr>
                <w:rFonts w:ascii="Arial" w:hAnsi="Arial" w:eastAsia="Times New Roman" w:cs="Arial"/>
                <w:b/>
                <w:sz w:val="20"/>
                <w:szCs w:val="20"/>
              </w:rPr>
            </w:pPr>
            <w:r>
              <w:rPr>
                <w:rFonts w:ascii="Arial" w:hAnsi="Arial" w:eastAsia="Times New Roman" w:cs="Arial"/>
                <w:b/>
                <w:sz w:val="20"/>
                <w:szCs w:val="20"/>
              </w:rPr>
              <w:t>Annual Period</w:t>
            </w:r>
          </w:p>
        </w:tc>
        <w:tc>
          <w:tcPr>
            <w:tcW w:w="2850"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950426" w:rsidR="006F7483" w:rsidRDefault="008B55A2" w14:paraId="2B306480"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($/kW-year)</w:t>
            </w:r>
          </w:p>
        </w:tc>
      </w:tr>
      <w:tr w:rsidR="00AE51F9" w14:paraId="79F860E4"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722D3066"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4AA6BEF4" w14:textId="77777777">
            <w:pPr>
              <w:adjustRightInd w:val="0"/>
              <w:spacing w:after="0"/>
              <w:ind w:left="450" w:hanging="450"/>
              <w:jc w:val="center"/>
              <w:textAlignment w:val="baseline"/>
              <w:rPr>
                <w:rFonts w:ascii="Arial" w:hAnsi="Arial" w:eastAsia="Times New Roman" w:cs="Arial"/>
                <w:sz w:val="20"/>
                <w:szCs w:val="20"/>
              </w:rPr>
            </w:pPr>
          </w:p>
        </w:tc>
      </w:tr>
      <w:tr w:rsidR="00AE51F9" w14:paraId="1B4D1B92"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48AA0B41" w14:textId="77777777">
            <w:pPr>
              <w:adjustRightInd w:val="0"/>
              <w:spacing w:after="0"/>
              <w:ind w:left="450" w:hanging="22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3E7EA357" w14:textId="77777777">
            <w:pPr>
              <w:adjustRightInd w:val="0"/>
              <w:spacing w:after="0"/>
              <w:ind w:left="450" w:hanging="450"/>
              <w:jc w:val="center"/>
              <w:textAlignment w:val="baseline"/>
              <w:rPr>
                <w:rFonts w:ascii="Arial" w:hAnsi="Arial" w:eastAsia="Times New Roman" w:cs="Arial"/>
                <w:sz w:val="20"/>
                <w:szCs w:val="20"/>
              </w:rPr>
            </w:pPr>
          </w:p>
        </w:tc>
      </w:tr>
      <w:tr w:rsidR="00AE51F9" w14:paraId="70C682DE"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78277725"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1D12AEBE" w14:textId="77777777">
            <w:pPr>
              <w:adjustRightInd w:val="0"/>
              <w:spacing w:after="0"/>
              <w:ind w:left="450" w:hanging="450"/>
              <w:jc w:val="center"/>
              <w:textAlignment w:val="baseline"/>
              <w:rPr>
                <w:rFonts w:ascii="Arial" w:hAnsi="Arial" w:eastAsia="Times New Roman" w:cs="Arial"/>
                <w:sz w:val="20"/>
                <w:szCs w:val="20"/>
              </w:rPr>
            </w:pPr>
          </w:p>
        </w:tc>
      </w:tr>
      <w:tr w:rsidR="00AE51F9" w14:paraId="474E3F70"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0A97624F"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6CA3144A" w14:textId="77777777">
            <w:pPr>
              <w:adjustRightInd w:val="0"/>
              <w:spacing w:after="0"/>
              <w:ind w:left="450" w:hanging="450"/>
              <w:jc w:val="center"/>
              <w:textAlignment w:val="baseline"/>
              <w:rPr>
                <w:rFonts w:ascii="Arial" w:hAnsi="Arial" w:eastAsia="Times New Roman" w:cs="Arial"/>
                <w:sz w:val="20"/>
                <w:szCs w:val="20"/>
              </w:rPr>
            </w:pPr>
          </w:p>
        </w:tc>
      </w:tr>
      <w:tr w:rsidR="00AE51F9" w14:paraId="288D6BFE"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1FE47C8A"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1B8A6D3D" w14:textId="77777777">
            <w:pPr>
              <w:adjustRightInd w:val="0"/>
              <w:spacing w:after="0"/>
              <w:ind w:left="450" w:hanging="450"/>
              <w:jc w:val="center"/>
              <w:textAlignment w:val="baseline"/>
              <w:rPr>
                <w:rFonts w:ascii="Arial" w:hAnsi="Arial" w:eastAsia="Times New Roman" w:cs="Arial"/>
                <w:sz w:val="20"/>
                <w:szCs w:val="20"/>
              </w:rPr>
            </w:pPr>
          </w:p>
        </w:tc>
      </w:tr>
      <w:tr w:rsidR="00AE51F9" w14:paraId="4ECD5A36"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5474B6E7"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1C99AEA3" w14:textId="77777777">
            <w:pPr>
              <w:adjustRightInd w:val="0"/>
              <w:spacing w:after="0"/>
              <w:ind w:left="450" w:hanging="450"/>
              <w:jc w:val="center"/>
              <w:textAlignment w:val="baseline"/>
              <w:rPr>
                <w:rFonts w:ascii="Arial" w:hAnsi="Arial" w:eastAsia="Times New Roman" w:cs="Arial"/>
                <w:sz w:val="20"/>
                <w:szCs w:val="20"/>
              </w:rPr>
            </w:pPr>
          </w:p>
        </w:tc>
      </w:tr>
      <w:tr w:rsidR="00AE51F9" w14:paraId="26CFEE97"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370AAFE5"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300ABBB5" w14:textId="77777777">
            <w:pPr>
              <w:adjustRightInd w:val="0"/>
              <w:spacing w:after="0"/>
              <w:ind w:left="450" w:hanging="450"/>
              <w:jc w:val="center"/>
              <w:textAlignment w:val="baseline"/>
              <w:rPr>
                <w:rFonts w:ascii="Arial" w:hAnsi="Arial" w:eastAsia="Times New Roman" w:cs="Arial"/>
                <w:sz w:val="20"/>
                <w:szCs w:val="20"/>
              </w:rPr>
            </w:pPr>
          </w:p>
        </w:tc>
      </w:tr>
      <w:tr w:rsidR="00AE51F9" w14:paraId="631496CA"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1200D68C"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45337B78" w14:textId="77777777">
            <w:pPr>
              <w:adjustRightInd w:val="0"/>
              <w:spacing w:after="0"/>
              <w:ind w:left="450" w:hanging="450"/>
              <w:jc w:val="center"/>
              <w:textAlignment w:val="baseline"/>
              <w:rPr>
                <w:rFonts w:ascii="Arial" w:hAnsi="Arial" w:eastAsia="Times New Roman" w:cs="Arial"/>
                <w:sz w:val="20"/>
                <w:szCs w:val="20"/>
              </w:rPr>
            </w:pPr>
          </w:p>
        </w:tc>
      </w:tr>
      <w:tr w:rsidR="00AE51F9" w14:paraId="50904B72"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27E9A850"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49EAD23D" w14:textId="77777777">
            <w:pPr>
              <w:adjustRightInd w:val="0"/>
              <w:spacing w:after="0"/>
              <w:ind w:left="450" w:hanging="450"/>
              <w:jc w:val="center"/>
              <w:textAlignment w:val="baseline"/>
              <w:rPr>
                <w:rFonts w:ascii="Arial" w:hAnsi="Arial" w:eastAsia="Times New Roman" w:cs="Arial"/>
                <w:sz w:val="20"/>
                <w:szCs w:val="20"/>
              </w:rPr>
            </w:pPr>
          </w:p>
        </w:tc>
      </w:tr>
      <w:tr w:rsidR="00AE51F9" w14:paraId="10F50CEE"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4AAB33B9"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24EC1BD9" w14:textId="77777777">
            <w:pPr>
              <w:adjustRightInd w:val="0"/>
              <w:spacing w:after="0"/>
              <w:ind w:left="450" w:hanging="450"/>
              <w:jc w:val="center"/>
              <w:textAlignment w:val="baseline"/>
              <w:rPr>
                <w:rFonts w:ascii="Arial" w:hAnsi="Arial" w:eastAsia="Times New Roman" w:cs="Arial"/>
                <w:sz w:val="20"/>
                <w:szCs w:val="20"/>
              </w:rPr>
            </w:pPr>
          </w:p>
        </w:tc>
      </w:tr>
      <w:tr w:rsidR="00AE51F9" w14:paraId="4A24975A"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23FDC9AC"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5A2EA2B3" w14:textId="77777777">
            <w:pPr>
              <w:adjustRightInd w:val="0"/>
              <w:spacing w:after="0"/>
              <w:ind w:left="450" w:hanging="450"/>
              <w:jc w:val="center"/>
              <w:textAlignment w:val="baseline"/>
              <w:rPr>
                <w:rFonts w:ascii="Arial" w:hAnsi="Arial" w:eastAsia="Times New Roman" w:cs="Arial"/>
                <w:sz w:val="20"/>
                <w:szCs w:val="20"/>
              </w:rPr>
            </w:pPr>
          </w:p>
        </w:tc>
      </w:tr>
      <w:tr w:rsidR="00AE51F9" w14:paraId="38D03A9F"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78CF27DE"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3E395720" w14:textId="77777777">
            <w:pPr>
              <w:adjustRightInd w:val="0"/>
              <w:spacing w:after="0"/>
              <w:ind w:left="450" w:hanging="450"/>
              <w:jc w:val="center"/>
              <w:textAlignment w:val="baseline"/>
              <w:rPr>
                <w:rFonts w:ascii="Arial" w:hAnsi="Arial" w:eastAsia="Times New Roman" w:cs="Arial"/>
                <w:sz w:val="20"/>
                <w:szCs w:val="20"/>
              </w:rPr>
            </w:pPr>
          </w:p>
        </w:tc>
      </w:tr>
      <w:tr w:rsidR="00AE51F9" w14:paraId="5970061B"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2765B0FE"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0343C1D7" w14:textId="77777777">
            <w:pPr>
              <w:adjustRightInd w:val="0"/>
              <w:spacing w:after="0"/>
              <w:ind w:left="450" w:hanging="450"/>
              <w:jc w:val="center"/>
              <w:textAlignment w:val="baseline"/>
              <w:rPr>
                <w:rFonts w:ascii="Arial" w:hAnsi="Arial" w:eastAsia="Times New Roman" w:cs="Arial"/>
                <w:sz w:val="20"/>
                <w:szCs w:val="20"/>
              </w:rPr>
            </w:pPr>
          </w:p>
        </w:tc>
      </w:tr>
      <w:tr w:rsidR="00AE51F9" w14:paraId="417CF01E"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39A73212"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5E38BB79" w14:textId="77777777">
            <w:pPr>
              <w:adjustRightInd w:val="0"/>
              <w:spacing w:after="0"/>
              <w:ind w:left="450" w:hanging="450"/>
              <w:jc w:val="center"/>
              <w:textAlignment w:val="baseline"/>
              <w:rPr>
                <w:rFonts w:ascii="Arial" w:hAnsi="Arial" w:eastAsia="Times New Roman" w:cs="Arial"/>
                <w:sz w:val="20"/>
                <w:szCs w:val="20"/>
              </w:rPr>
            </w:pPr>
          </w:p>
        </w:tc>
      </w:tr>
      <w:tr w:rsidR="00AE51F9" w14:paraId="355B6FFB"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71147C99"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39FCE149" w14:textId="77777777">
            <w:pPr>
              <w:adjustRightInd w:val="0"/>
              <w:spacing w:after="0"/>
              <w:ind w:left="450" w:hanging="450"/>
              <w:jc w:val="center"/>
              <w:textAlignment w:val="baseline"/>
              <w:rPr>
                <w:rFonts w:ascii="Arial" w:hAnsi="Arial" w:eastAsia="Times New Roman" w:cs="Arial"/>
                <w:sz w:val="20"/>
                <w:szCs w:val="20"/>
              </w:rPr>
            </w:pPr>
          </w:p>
        </w:tc>
      </w:tr>
      <w:tr w:rsidR="00AE51F9" w14:paraId="3E890122"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950426" w:rsidR="006F7483" w:rsidRDefault="006F7483" w14:paraId="0FE3CE72"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950426" w:rsidR="006F7483" w:rsidRDefault="006F7483" w14:paraId="3173B239" w14:textId="77777777">
            <w:pPr>
              <w:adjustRightInd w:val="0"/>
              <w:spacing w:after="0"/>
              <w:ind w:left="450" w:hanging="450"/>
              <w:jc w:val="center"/>
              <w:textAlignment w:val="baseline"/>
              <w:rPr>
                <w:rFonts w:ascii="Arial" w:hAnsi="Arial" w:eastAsia="Times New Roman" w:cs="Arial"/>
                <w:sz w:val="20"/>
                <w:szCs w:val="20"/>
              </w:rPr>
            </w:pPr>
          </w:p>
        </w:tc>
      </w:tr>
    </w:tbl>
    <w:p w:rsidRPr="00950426" w:rsidR="006F7483" w:rsidP="006F7483" w:rsidRDefault="006F7483" w14:paraId="28FD59AF" w14:textId="77777777">
      <w:pPr>
        <w:pStyle w:val="zGNormal"/>
        <w:ind w:left="1170"/>
      </w:pPr>
    </w:p>
    <w:p w:rsidRPr="00950426" w:rsidR="006F7483" w:rsidP="006F7483" w:rsidRDefault="008B55A2" w14:paraId="1A664A5F" w14:textId="77777777">
      <w:pPr>
        <w:pStyle w:val="zGNormal"/>
        <w:ind w:left="1170"/>
      </w:pPr>
      <w:r>
        <w:t>The Annual Capacity Price will include all costs, including operation and maintenance charges for the Facility.</w:t>
      </w:r>
    </w:p>
    <w:p w:rsidRPr="00950426" w:rsidR="006F7483" w:rsidP="000907B6" w:rsidRDefault="008B55A2" w14:paraId="613FD00A" w14:textId="77777777">
      <w:pPr>
        <w:pStyle w:val="zGBody2"/>
        <w:numPr>
          <w:ilvl w:val="1"/>
          <w:numId w:val="26"/>
        </w:numPr>
        <w:rPr>
          <w:vanish/>
          <w:specVanish/>
        </w:rPr>
      </w:pPr>
      <w:bookmarkStart w:name="_Toc158593320" w:id="1443"/>
      <w:bookmarkStart w:name="_Toc158597599" w:id="1444"/>
      <w:bookmarkStart w:name="_Toc206673899" w:id="1445"/>
      <w:bookmarkStart w:name="_Toc227451659" w:id="1446"/>
      <w:r>
        <w:t>Monthly Capacity Payment.</w:t>
      </w:r>
      <w:bookmarkEnd w:id="1443"/>
      <w:bookmarkEnd w:id="1444"/>
      <w:bookmarkEnd w:id="1445"/>
      <w:bookmarkEnd w:id="1446"/>
    </w:p>
    <w:p w:rsidRPr="00950426" w:rsidR="006F7483" w:rsidP="006F7483" w:rsidRDefault="008B55A2" w14:paraId="681CEBF1" w14:textId="77777777">
      <w:pPr>
        <w:pStyle w:val="zGNormal6"/>
        <w:rPr>
          <w:b/>
          <w:bCs/>
        </w:rPr>
      </w:pPr>
      <w:r>
        <w:rPr>
          <w:b/>
          <w:bCs/>
        </w:rPr>
        <w:t xml:space="preserve"> </w:t>
      </w:r>
    </w:p>
    <w:p w:rsidRPr="00950426" w:rsidR="006F7483" w:rsidP="000907B6" w:rsidRDefault="008B55A2" w14:paraId="3894745D" w14:textId="77777777">
      <w:pPr>
        <w:pStyle w:val="zGBody3"/>
        <w:numPr>
          <w:ilvl w:val="2"/>
          <w:numId w:val="26"/>
        </w:numPr>
      </w:pPr>
      <w:r>
        <w:rPr>
          <w:b/>
          <w:bCs/>
        </w:rPr>
        <w:t>Monthly Capacity Payment.</w:t>
      </w:r>
      <w:r>
        <w:t xml:space="preserve"> </w:t>
      </w:r>
      <w:r>
        <w:rPr>
          <w:bCs/>
        </w:rPr>
        <w:t>For each Month of each Annual Period, GPC will pay to the Seller the “</w:t>
      </w:r>
      <w:r>
        <w:rPr>
          <w:b/>
        </w:rPr>
        <w:t>Monthly Capacity Payment (MCP)</w:t>
      </w:r>
      <w:r>
        <w:rPr>
          <w:bCs/>
        </w:rPr>
        <w:t>” calculated as follows:</w:t>
      </w:r>
    </w:p>
    <w:p w:rsidRPr="00950426" w:rsidR="006F7483" w:rsidP="00CB5F8C" w:rsidRDefault="008B55A2" w14:paraId="3240D845" w14:textId="77777777">
      <w:pPr>
        <w:pStyle w:val="zGNormal"/>
        <w:ind w:left="1260"/>
      </w:pPr>
      <w:r>
        <w:t>MCP = MCF – MCR</w:t>
      </w:r>
    </w:p>
    <w:p w:rsidRPr="00950426" w:rsidR="006F7483" w:rsidP="00CB5F8C" w:rsidRDefault="006F7483" w14:paraId="7CB5A9A7" w14:textId="77777777">
      <w:pPr>
        <w:pStyle w:val="zGNormal"/>
        <w:ind w:left="1260"/>
      </w:pPr>
    </w:p>
    <w:p w:rsidRPr="00950426" w:rsidR="006F7483" w:rsidP="00CB5F8C" w:rsidRDefault="008B55A2" w14:paraId="603A5CA8" w14:textId="77777777">
      <w:pPr>
        <w:pStyle w:val="zGNormal"/>
        <w:ind w:left="1260"/>
      </w:pPr>
      <w:r>
        <w:t>Where:</w:t>
      </w:r>
    </w:p>
    <w:p w:rsidRPr="00950426" w:rsidR="00B35D2A" w:rsidP="00CB5F8C" w:rsidRDefault="00B35D2A" w14:paraId="3A0195F0" w14:textId="77777777">
      <w:pPr>
        <w:pStyle w:val="zGNormal"/>
        <w:ind w:left="1260"/>
      </w:pPr>
    </w:p>
    <w:p w:rsidRPr="00950426" w:rsidR="006F7483" w:rsidP="00CB5F8C" w:rsidRDefault="008B55A2" w14:paraId="69E1EA28" w14:textId="77777777">
      <w:pPr>
        <w:pStyle w:val="zGNormal"/>
        <w:ind w:left="1260"/>
      </w:pPr>
      <w:r>
        <w:rPr>
          <w:u w:val="single"/>
        </w:rPr>
        <w:t>MCF</w:t>
      </w:r>
      <w:r>
        <w:t xml:space="preserve"> = Monthly Capacity Fee, determined as follows: </w:t>
      </w:r>
    </w:p>
    <w:p w:rsidRPr="00950426" w:rsidR="00B35D2A" w:rsidP="00CB5F8C" w:rsidRDefault="008B55A2" w14:paraId="1AE0F5CC" w14:textId="77777777">
      <w:pPr>
        <w:pStyle w:val="zGNormal"/>
        <w:ind w:left="1260"/>
      </w:pPr>
      <w:r>
        <w:tab/>
      </w:r>
    </w:p>
    <w:p w:rsidRPr="00950426" w:rsidR="006F7483" w:rsidP="00CB5F8C" w:rsidRDefault="008B55A2" w14:paraId="434250DA" w14:textId="77777777">
      <w:pPr>
        <w:pStyle w:val="zGNormal"/>
        <w:ind w:left="1260"/>
      </w:pPr>
      <w:r>
        <w:t>MCF = SDDC * (ACP * 1000) * MVF</w:t>
      </w:r>
    </w:p>
    <w:p w:rsidRPr="00950426" w:rsidR="00B35D2A" w:rsidP="00CB5F8C" w:rsidRDefault="00B35D2A" w14:paraId="62248872" w14:textId="77777777">
      <w:pPr>
        <w:pStyle w:val="zGNormal"/>
        <w:ind w:left="1260"/>
      </w:pPr>
    </w:p>
    <w:p w:rsidRPr="00950426" w:rsidR="006F7483" w:rsidP="00EF0333" w:rsidRDefault="008B55A2" w14:paraId="2E9361AB" w14:textId="77777777">
      <w:pPr>
        <w:pStyle w:val="zGNormal"/>
        <w:ind w:left="1800"/>
      </w:pPr>
      <w:r>
        <w:t>Where:</w:t>
      </w:r>
    </w:p>
    <w:p w:rsidRPr="00950426" w:rsidR="00B35D2A" w:rsidP="00CB5F8C" w:rsidRDefault="00B35D2A" w14:paraId="6716B84F" w14:textId="77777777">
      <w:pPr>
        <w:pStyle w:val="zGNormal"/>
        <w:ind w:left="1260"/>
        <w:rPr>
          <w:u w:val="single"/>
        </w:rPr>
      </w:pPr>
    </w:p>
    <w:p w:rsidRPr="00F40F9C" w:rsidR="006F7483" w:rsidP="005D44D3" w:rsidRDefault="008B55A2" w14:paraId="6DA98AB5" w14:textId="77777777">
      <w:pPr>
        <w:pStyle w:val="zGNormal"/>
        <w:ind w:left="1800"/>
      </w:pPr>
      <w:r>
        <w:rPr>
          <w:u w:val="single"/>
        </w:rPr>
        <w:lastRenderedPageBreak/>
        <w:t>SDDC</w:t>
      </w:r>
      <w:r>
        <w:t xml:space="preserve"> = Storage Device Design Capacity, as may be adjusted pursuant to Exhibit B Section 1.3. (</w:t>
      </w:r>
      <w:r>
        <w:rPr>
          <w:i/>
        </w:rPr>
        <w:t>Tested Storage Capacity Below SDDC; SDDC Buydown</w:t>
      </w:r>
      <w:r>
        <w:t xml:space="preserve">). </w:t>
      </w:r>
    </w:p>
    <w:p w:rsidRPr="00F40F9C" w:rsidR="006F7483" w:rsidP="005D44D3" w:rsidRDefault="006F7483" w14:paraId="1C3B440F" w14:textId="77777777">
      <w:pPr>
        <w:pStyle w:val="zGNormal"/>
        <w:ind w:left="1800"/>
        <w:rPr>
          <w:u w:val="single"/>
        </w:rPr>
      </w:pPr>
    </w:p>
    <w:p w:rsidRPr="00F40F9C" w:rsidR="006F7483" w:rsidP="005D44D3" w:rsidRDefault="008B55A2" w14:paraId="28AEA222" w14:textId="08CEB677">
      <w:pPr>
        <w:pStyle w:val="zGNormal"/>
        <w:ind w:left="1800"/>
      </w:pPr>
      <w:r>
        <w:rPr>
          <w:u w:val="single"/>
        </w:rPr>
        <w:t>ACP</w:t>
      </w:r>
      <w:r>
        <w:t xml:space="preserve"> =The applicable Annual Capacity Price (in $/kW-year) set forth in Table C-1 (</w:t>
      </w:r>
      <w:r>
        <w:rPr>
          <w:i/>
          <w:iCs/>
        </w:rPr>
        <w:t>Annual Capacity Price</w:t>
      </w:r>
      <w:r>
        <w:t>).</w:t>
      </w:r>
    </w:p>
    <w:p w:rsidRPr="00F40F9C" w:rsidR="006F7483" w:rsidP="005D44D3" w:rsidRDefault="006F7483" w14:paraId="4E8EAC0C" w14:textId="77777777">
      <w:pPr>
        <w:pStyle w:val="zGNormal"/>
        <w:ind w:left="1800"/>
      </w:pPr>
    </w:p>
    <w:p w:rsidRPr="00F40F9C" w:rsidR="006F7483" w:rsidP="005D44D3" w:rsidRDefault="008B55A2" w14:paraId="526B1CF4" w14:textId="77777777">
      <w:pPr>
        <w:pStyle w:val="zGNormal"/>
        <w:ind w:left="1800"/>
      </w:pPr>
      <w:r>
        <w:rPr>
          <w:u w:val="single"/>
        </w:rPr>
        <w:t>MVF</w:t>
      </w:r>
      <w:r>
        <w:t xml:space="preserve"> =The applicable Monthly Value Factor from Table C-2 (</w:t>
      </w:r>
      <w:r>
        <w:rPr>
          <w:i/>
        </w:rPr>
        <w:t>Monthly Value Factor (MVF)</w:t>
      </w:r>
      <w:r>
        <w:t>).</w:t>
      </w:r>
    </w:p>
    <w:p w:rsidRPr="00F40F9C" w:rsidR="006F7483" w:rsidP="00CB5F8C" w:rsidRDefault="008B55A2" w14:paraId="72429940" w14:textId="77777777">
      <w:pPr>
        <w:pStyle w:val="zGNormal"/>
        <w:ind w:left="1260"/>
      </w:pPr>
      <w:r>
        <w:tab/>
      </w:r>
    </w:p>
    <w:p w:rsidRPr="00F40F9C" w:rsidR="006F7483" w:rsidP="00CB5F8C" w:rsidRDefault="008B55A2" w14:paraId="7FFE1991" w14:textId="77777777">
      <w:pPr>
        <w:pStyle w:val="zGNormal"/>
        <w:ind w:left="1260"/>
      </w:pPr>
      <w:r>
        <w:rPr>
          <w:u w:val="single"/>
        </w:rPr>
        <w:t>MCR</w:t>
      </w:r>
      <w:r>
        <w:t xml:space="preserve"> = The Monthly Capacity Reduction for the Month determined in accordance with Section 2.1 (</w:t>
      </w:r>
      <w:r>
        <w:rPr>
          <w:i/>
        </w:rPr>
        <w:t>Monthly Capacity Reduction</w:t>
      </w:r>
      <w:r>
        <w:t>).</w:t>
      </w:r>
    </w:p>
    <w:p w:rsidRPr="00F40F9C" w:rsidR="006F7483" w:rsidP="006F7483" w:rsidRDefault="006F7483" w14:paraId="5227D07A" w14:textId="77777777">
      <w:pPr>
        <w:pStyle w:val="zGNormal"/>
        <w:ind w:left="720" w:hanging="720"/>
        <w:rPr>
          <w:b/>
        </w:rPr>
      </w:pPr>
    </w:p>
    <w:p w:rsidRPr="00F40F9C" w:rsidR="006F7483" w:rsidP="000907B6" w:rsidRDefault="008B55A2" w14:paraId="5C75BB73" w14:textId="77777777">
      <w:pPr>
        <w:pStyle w:val="zGBody3"/>
        <w:numPr>
          <w:ilvl w:val="2"/>
          <w:numId w:val="26"/>
        </w:numPr>
      </w:pPr>
      <w:r>
        <w:rPr>
          <w:b/>
          <w:bCs/>
        </w:rPr>
        <w:t>Pro Rata MCP Calculation.</w:t>
      </w:r>
      <w:r>
        <w:t xml:space="preserve"> </w:t>
      </w:r>
      <w:r>
        <w:rPr>
          <w:bCs/>
        </w:rPr>
        <w:t>If the Delivery Commencement Date occurs on a Day other than the first Day of a Month, or if the last Day of the Term occurs on a Day other than the last Day of a Month, GPC will calculate the MCP on a pro rata basis.</w:t>
      </w:r>
    </w:p>
    <w:p w:rsidRPr="00F40F9C" w:rsidR="006F7483" w:rsidP="000907B6" w:rsidRDefault="008B55A2" w14:paraId="2BA51088" w14:textId="77777777">
      <w:pPr>
        <w:pStyle w:val="zGBody3"/>
        <w:numPr>
          <w:ilvl w:val="2"/>
          <w:numId w:val="26"/>
        </w:numPr>
        <w:rPr>
          <w:b/>
          <w:bCs/>
          <w:vanish/>
          <w:specVanish/>
        </w:rPr>
      </w:pPr>
      <w:r>
        <w:rPr>
          <w:b/>
          <w:bCs/>
        </w:rPr>
        <w:t xml:space="preserve">MVF; GPC Right to Modify. </w:t>
      </w:r>
    </w:p>
    <w:p w:rsidRPr="00F40F9C" w:rsidR="006F7483" w:rsidP="000907B6" w:rsidRDefault="008B55A2" w14:paraId="7677FE81" w14:textId="4AD4B85C">
      <w:pPr>
        <w:pStyle w:val="zGBody3"/>
        <w:numPr>
          <w:ilvl w:val="2"/>
          <w:numId w:val="26"/>
        </w:numPr>
      </w:pPr>
      <w:r>
        <w:t>The Monthly Value Factor for each Month is stated in Table C-2 (</w:t>
      </w:r>
      <w:r w:rsidRPr="004B0BBF">
        <w:rPr>
          <w:i/>
        </w:rPr>
        <w:t>Monthly Value Factor (</w:t>
      </w:r>
      <w:r>
        <w:rPr>
          <w:i/>
        </w:rPr>
        <w:t>MVF</w:t>
      </w:r>
      <w:r w:rsidR="003571B4">
        <w:rPr>
          <w:i/>
        </w:rPr>
        <w:t>)</w:t>
      </w:r>
      <w:r>
        <w:rPr>
          <w:i/>
          <w:iCs/>
        </w:rPr>
        <w:t>)</w:t>
      </w:r>
      <w:r>
        <w:t>. Despite the Monthly Value Factors in Table C-2(</w:t>
      </w:r>
      <w:r>
        <w:rPr>
          <w:i/>
        </w:rPr>
        <w:t>Monthly Value Factor (MVF</w:t>
      </w:r>
      <w:r w:rsidR="00D40FC0">
        <w:rPr>
          <w:i/>
        </w:rPr>
        <w:t>)</w:t>
      </w:r>
      <w:r w:rsidRPr="004B0BBF">
        <w:rPr>
          <w:i/>
        </w:rPr>
        <w:t>)</w:t>
      </w:r>
      <w:r>
        <w:t xml:space="preserve">, GPC has the right, in GPC’s sole discretion, to modify  Table C-2, in whole or in part, once every three Annual Periods by providing notice to Seller, so long as: (i) GPC provides Seller </w:t>
      </w:r>
      <w:r w:rsidR="00B11D6F">
        <w:t xml:space="preserve">the </w:t>
      </w:r>
      <w:r>
        <w:t>notice at least 180 Days before the start of the Annual Period; (ii) each Monthly Value Factor is at least equal to 0.</w:t>
      </w:r>
      <w:r w:rsidR="00937055">
        <w:t xml:space="preserve">05 and </w:t>
      </w:r>
      <w:r w:rsidR="00756F00">
        <w:t>is not greater than 0.25</w:t>
      </w:r>
      <w:r>
        <w:t xml:space="preserve">; (iii) </w:t>
      </w:r>
      <w:r w:rsidR="00853BE3">
        <w:t xml:space="preserve">only a single month has a Monthly Value Factor of 0.25; (iv) </w:t>
      </w:r>
      <w:r w:rsidR="008B6750">
        <w:t>the sum of MVFs for any two immediately adjacent calendar months is not</w:t>
      </w:r>
      <w:r w:rsidR="00DF19C1">
        <w:t xml:space="preserve"> greater than 0.40; and (v) </w:t>
      </w:r>
      <w:r>
        <w:t>the sum of all Monthly Value Factors for each Annual Period equals 1.0.</w:t>
      </w:r>
    </w:p>
    <w:p w:rsidRPr="00950426" w:rsidR="006F7483" w:rsidP="002F5A9D" w:rsidRDefault="006F7483" w14:paraId="746B978B" w14:textId="77777777">
      <w:pPr>
        <w:pStyle w:val="zG03"/>
        <w:numPr>
          <w:ilvl w:val="0"/>
          <w:numId w:val="0"/>
        </w:numPr>
        <w:ind w:left="259"/>
      </w:pPr>
    </w:p>
    <w:tbl>
      <w:tblPr>
        <w:tblW w:w="0" w:type="auto"/>
        <w:tblInd w:w="199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1440"/>
        <w:gridCol w:w="3960"/>
      </w:tblGrid>
      <w:tr w:rsidR="00AE51F9" w14:paraId="2D6FB146" w14:textId="77777777">
        <w:tc>
          <w:tcPr>
            <w:tcW w:w="54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950426" w:rsidR="006F7483" w:rsidRDefault="008B55A2" w14:paraId="5EA192ED" w14:textId="77777777">
            <w:pPr>
              <w:adjustRightInd w:val="0"/>
              <w:spacing w:after="0"/>
              <w:ind w:left="450" w:hanging="450"/>
              <w:jc w:val="center"/>
              <w:textAlignment w:val="baseline"/>
              <w:rPr>
                <w:rFonts w:ascii="Arial" w:hAnsi="Arial" w:eastAsia="Times New Roman" w:cs="Arial"/>
                <w:b/>
                <w:sz w:val="20"/>
                <w:szCs w:val="20"/>
              </w:rPr>
            </w:pPr>
            <w:r>
              <w:rPr>
                <w:rFonts w:ascii="Arial" w:hAnsi="Arial" w:eastAsia="Times New Roman" w:cs="Arial"/>
                <w:b/>
                <w:sz w:val="20"/>
                <w:szCs w:val="20"/>
              </w:rPr>
              <w:t>Table C-2</w:t>
            </w:r>
          </w:p>
          <w:p w:rsidRPr="00950426" w:rsidR="006F7483" w:rsidRDefault="008B55A2" w14:paraId="778E696F" w14:textId="77777777">
            <w:pPr>
              <w:adjustRightInd w:val="0"/>
              <w:spacing w:after="0"/>
              <w:ind w:left="450" w:hanging="450"/>
              <w:jc w:val="center"/>
              <w:textAlignment w:val="baseline"/>
              <w:rPr>
                <w:rFonts w:ascii="Arial" w:hAnsi="Arial" w:eastAsia="Times New Roman" w:cs="Arial"/>
                <w:b/>
                <w:sz w:val="20"/>
                <w:szCs w:val="20"/>
              </w:rPr>
            </w:pPr>
            <w:r>
              <w:rPr>
                <w:rFonts w:ascii="Arial" w:hAnsi="Arial" w:eastAsia="Times New Roman" w:cs="Arial"/>
                <w:b/>
                <w:sz w:val="20"/>
                <w:szCs w:val="20"/>
              </w:rPr>
              <w:t>Monthly Value Factor (MVF)</w:t>
            </w:r>
          </w:p>
        </w:tc>
      </w:tr>
      <w:tr w:rsidR="00AE51F9" w14:paraId="5E8660CC" w14:textId="77777777">
        <w:tc>
          <w:tcPr>
            <w:tcW w:w="1440" w:type="dxa"/>
            <w:tcBorders>
              <w:top w:val="single" w:color="auto" w:sz="6" w:space="0"/>
              <w:left w:val="single" w:color="auto" w:sz="6" w:space="0"/>
              <w:bottom w:val="single" w:color="auto" w:sz="6" w:space="0"/>
              <w:right w:val="single" w:color="auto" w:sz="6" w:space="0"/>
            </w:tcBorders>
            <w:shd w:val="clear" w:color="auto" w:fill="F2F2F2" w:themeFill="background1" w:themeFillShade="F2"/>
            <w:hideMark/>
          </w:tcPr>
          <w:p w:rsidRPr="00950426" w:rsidR="006F7483" w:rsidRDefault="008B55A2" w14:paraId="30F09E47"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Month</w:t>
            </w:r>
          </w:p>
        </w:tc>
        <w:tc>
          <w:tcPr>
            <w:tcW w:w="3960" w:type="dxa"/>
            <w:tcBorders>
              <w:top w:val="single" w:color="auto" w:sz="6" w:space="0"/>
              <w:left w:val="single" w:color="auto" w:sz="6" w:space="0"/>
              <w:bottom w:val="single" w:color="auto" w:sz="6" w:space="0"/>
              <w:right w:val="single" w:color="auto" w:sz="6" w:space="0"/>
            </w:tcBorders>
            <w:shd w:val="clear" w:color="auto" w:fill="F2F2F2" w:themeFill="background1" w:themeFillShade="F2"/>
            <w:hideMark/>
          </w:tcPr>
          <w:p w:rsidRPr="00950426" w:rsidR="006F7483" w:rsidRDefault="008B55A2" w14:paraId="19F4C716"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MVF</w:t>
            </w:r>
          </w:p>
        </w:tc>
      </w:tr>
      <w:tr w:rsidR="00AE51F9" w14:paraId="70B7CC5E" w14:textId="77777777">
        <w:tc>
          <w:tcPr>
            <w:tcW w:w="144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Pr>
          <w:p w:rsidRPr="00950426" w:rsidR="006F7483" w:rsidRDefault="008B55A2" w14:paraId="643C48B9" w14:textId="77777777">
            <w:pPr>
              <w:pStyle w:val="Subtitle-Bold"/>
              <w:adjustRightInd w:val="0"/>
              <w:spacing w:before="0" w:after="0" w:line="276" w:lineRule="auto"/>
              <w:textAlignment w:val="baseline"/>
              <w:rPr>
                <w:rFonts w:eastAsia="Times New Roman" w:cs="Arial"/>
                <w:bCs w:val="0"/>
              </w:rPr>
            </w:pPr>
            <w:r>
              <w:rPr>
                <w:rFonts w:eastAsia="Times New Roman" w:cs="Arial"/>
                <w:bCs w:val="0"/>
              </w:rPr>
              <w:t>December</w:t>
            </w:r>
          </w:p>
        </w:tc>
        <w:tc>
          <w:tcPr>
            <w:tcW w:w="396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Pr>
          <w:p w:rsidRPr="00950426" w:rsidR="006F7483" w:rsidRDefault="008B55A2" w14:paraId="77BEE082"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sz w:val="20"/>
                <w:szCs w:val="20"/>
              </w:rPr>
              <w:t>0.10</w:t>
            </w:r>
          </w:p>
        </w:tc>
      </w:tr>
      <w:tr w:rsidR="00AE51F9" w14:paraId="76812FA4"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562816C7"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January</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5AFEA808" w14:textId="5DB16FB8">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0.25</w:t>
            </w:r>
          </w:p>
        </w:tc>
      </w:tr>
      <w:tr w:rsidR="00AE51F9" w14:paraId="2C5C33FF"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550DA6A1"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February</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07BE58AA" w14:textId="7B17DEED">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0.10</w:t>
            </w:r>
          </w:p>
        </w:tc>
      </w:tr>
      <w:tr w:rsidR="00AE51F9" w14:paraId="3B3E8DB8"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684386FD"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March</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019E9173" w14:textId="5DD01851">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00AE51F9" w14:paraId="3FEF15BF"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69CF9460"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April</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5B7C0595" w14:textId="1341BCC3">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00AE51F9" w14:paraId="7E113415"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52221A73"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May</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015D945C" w14:textId="5BF33671">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00AE51F9" w14:paraId="5A8D2973"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7507FF57"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June</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4EDB9FC5" w14:textId="1C7C7055">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00AE51F9" w14:paraId="4F8D9AC4"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747BF54B"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July</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527E3A40" w14:textId="6CEE3A34">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0.10</w:t>
            </w:r>
          </w:p>
        </w:tc>
      </w:tr>
      <w:tr w:rsidR="00AE51F9" w14:paraId="2482C320"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0677322A"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August</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25CC2A62" w14:textId="0A3BC81E">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0.10</w:t>
            </w:r>
          </w:p>
        </w:tc>
      </w:tr>
      <w:tr w:rsidR="00AE51F9" w14:paraId="47B7B64D"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47846E14"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September</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3E7FCBBC" w14:textId="3278D7AE">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00AE51F9" w14:paraId="619A6536"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6DD97AFE"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October</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4B504601" w14:textId="60F6EB33">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00AE51F9" w14:paraId="1D606A5C" w14:textId="77777777">
        <w:tc>
          <w:tcPr>
            <w:tcW w:w="144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7B29A214" w14:textId="77777777">
            <w:pPr>
              <w:adjustRightInd w:val="0"/>
              <w:spacing w:after="0"/>
              <w:jc w:val="center"/>
              <w:textAlignment w:val="baseline"/>
              <w:rPr>
                <w:rFonts w:ascii="Arial" w:hAnsi="Arial" w:eastAsia="Times New Roman" w:cs="Arial"/>
                <w:b/>
                <w:sz w:val="20"/>
                <w:szCs w:val="20"/>
              </w:rPr>
            </w:pPr>
            <w:r>
              <w:rPr>
                <w:rFonts w:ascii="Arial" w:hAnsi="Arial" w:eastAsia="Times New Roman" w:cs="Arial"/>
                <w:b/>
                <w:sz w:val="20"/>
                <w:szCs w:val="20"/>
              </w:rPr>
              <w:t>November</w:t>
            </w:r>
          </w:p>
        </w:tc>
        <w:tc>
          <w:tcPr>
            <w:tcW w:w="3960" w:type="dxa"/>
            <w:tcBorders>
              <w:top w:val="single" w:color="auto" w:sz="6" w:space="0"/>
              <w:left w:val="single" w:color="auto" w:sz="6" w:space="0"/>
              <w:bottom w:val="single" w:color="auto" w:sz="6" w:space="0"/>
              <w:right w:val="single" w:color="auto" w:sz="6" w:space="0"/>
            </w:tcBorders>
            <w:hideMark/>
          </w:tcPr>
          <w:p w:rsidRPr="00950426" w:rsidR="006F7483" w:rsidRDefault="008B55A2" w14:paraId="073BD4D4" w14:textId="7BA9FE2E">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bl>
    <w:p w:rsidRPr="00950426" w:rsidR="006F7483" w:rsidP="000907B6" w:rsidRDefault="008B55A2" w14:paraId="48E50C45" w14:textId="088C22B2">
      <w:pPr>
        <w:pStyle w:val="zGBody2"/>
        <w:numPr>
          <w:ilvl w:val="1"/>
          <w:numId w:val="26"/>
        </w:numPr>
        <w:rPr>
          <w:vanish/>
          <w:specVanish/>
        </w:rPr>
      </w:pPr>
      <w:bookmarkStart w:name="_Toc158593321" w:id="1447"/>
      <w:bookmarkStart w:name="_Toc158597600" w:id="1448"/>
      <w:bookmarkStart w:name="_Toc206673900" w:id="1449"/>
      <w:bookmarkStart w:name="_Toc227451660" w:id="1450"/>
      <w:r>
        <w:t xml:space="preserve">No GPC Payment Obligation Before </w:t>
      </w:r>
      <w:bookmarkEnd w:id="1447"/>
      <w:bookmarkEnd w:id="1448"/>
      <w:r w:rsidR="00FE22F7">
        <w:t>the Delivery Commencement Date</w:t>
      </w:r>
      <w:r>
        <w:t>.</w:t>
      </w:r>
      <w:bookmarkEnd w:id="1449"/>
      <w:bookmarkEnd w:id="1450"/>
    </w:p>
    <w:p w:rsidRPr="00950426" w:rsidR="006F7483" w:rsidP="006F7483" w:rsidRDefault="008B55A2" w14:paraId="16147E4C" w14:textId="019FB312">
      <w:pPr>
        <w:pStyle w:val="zGNormal6"/>
      </w:pPr>
      <w:r>
        <w:t xml:space="preserve"> GPC will not owe Seller any payment or other compensation for the capacity of the Facility for any Month before </w:t>
      </w:r>
      <w:r>
        <w:lastRenderedPageBreak/>
        <w:t xml:space="preserve">the Delivery Commencement Date even if Seller achieves Commercial Operation of the Facility </w:t>
      </w:r>
      <w:r w:rsidR="005E4863">
        <w:t xml:space="preserve">more than nine Months </w:t>
      </w:r>
      <w:r>
        <w:t>before the RCOD.</w:t>
      </w:r>
    </w:p>
    <w:p w:rsidRPr="00950426" w:rsidR="006F7483" w:rsidP="000907B6" w:rsidRDefault="008B55A2" w14:paraId="2B3DEB2C" w14:textId="4389382D">
      <w:pPr>
        <w:pStyle w:val="zGBody1"/>
        <w:numPr>
          <w:ilvl w:val="0"/>
          <w:numId w:val="38"/>
        </w:numPr>
      </w:pPr>
      <w:bookmarkStart w:name="_Toc206673901" w:id="1451"/>
      <w:bookmarkStart w:name="_Toc227451661" w:id="1452"/>
      <w:r>
        <w:t>monthly capacity reductions; PERFORMANCE METRICS.</w:t>
      </w:r>
      <w:bookmarkEnd w:id="1451"/>
      <w:bookmarkEnd w:id="1452"/>
    </w:p>
    <w:p w:rsidRPr="00950426" w:rsidR="00485496" w:rsidP="000907B6" w:rsidRDefault="008B55A2" w14:paraId="0173CE5B" w14:textId="77777777">
      <w:pPr>
        <w:pStyle w:val="zGBody2"/>
        <w:numPr>
          <w:ilvl w:val="1"/>
          <w:numId w:val="26"/>
        </w:numPr>
        <w:rPr>
          <w:vanish/>
          <w:specVanish/>
        </w:rPr>
      </w:pPr>
      <w:bookmarkStart w:name="_Toc206673902" w:id="1453"/>
      <w:bookmarkStart w:name="_Toc227451662" w:id="1454"/>
      <w:r>
        <w:t>Monthly Capacity Reduction.</w:t>
      </w:r>
      <w:bookmarkEnd w:id="1453"/>
      <w:bookmarkEnd w:id="1454"/>
    </w:p>
    <w:p w:rsidRPr="00950426" w:rsidR="006F7483" w:rsidP="00485496" w:rsidRDefault="008B55A2" w14:paraId="52C02497" w14:textId="77777777">
      <w:pPr>
        <w:pStyle w:val="zGNormal"/>
      </w:pPr>
      <w:r>
        <w:t xml:space="preserve"> At the end of each Month, GPC will determine the Monthly Capacity Reduction as follows:</w:t>
      </w:r>
    </w:p>
    <w:p w:rsidRPr="00950426" w:rsidR="00B35D2A" w:rsidP="00B35D2A" w:rsidRDefault="00B35D2A" w14:paraId="3048A327" w14:textId="77777777">
      <w:pPr>
        <w:pStyle w:val="zGNormal"/>
        <w:ind w:firstLine="720"/>
        <w:rPr>
          <w:u w:val="single"/>
        </w:rPr>
      </w:pPr>
    </w:p>
    <w:p w:rsidRPr="00950426" w:rsidR="006F7483" w:rsidP="00CB5F8C" w:rsidRDefault="008B55A2" w14:paraId="6DA7DC7E" w14:textId="06A5A9A6">
      <w:pPr>
        <w:pStyle w:val="zGNormal"/>
        <w:ind w:left="1260"/>
      </w:pPr>
      <w:r>
        <w:rPr>
          <w:u w:val="single"/>
        </w:rPr>
        <w:t>MCR</w:t>
      </w:r>
      <w:r>
        <w:t xml:space="preserve"> = the sum of: (i) SPR; and (ii)</w:t>
      </w:r>
      <w:r w:rsidR="00782057">
        <w:t xml:space="preserve"> Monthly</w:t>
      </w:r>
      <w:r>
        <w:t xml:space="preserve"> RTE True-Up </w:t>
      </w:r>
    </w:p>
    <w:p w:rsidRPr="00950426" w:rsidR="00B35D2A" w:rsidP="00CB5F8C" w:rsidRDefault="00B35D2A" w14:paraId="5BC2B8FF" w14:textId="77777777">
      <w:pPr>
        <w:pStyle w:val="zGNormal"/>
        <w:ind w:left="1260"/>
      </w:pPr>
    </w:p>
    <w:p w:rsidRPr="00950426" w:rsidR="006F7483" w:rsidP="00CB5F8C" w:rsidRDefault="008B55A2" w14:paraId="583FE5C7" w14:textId="77777777">
      <w:pPr>
        <w:pStyle w:val="zGNormal"/>
        <w:ind w:left="1260"/>
      </w:pPr>
      <w:r>
        <w:t xml:space="preserve">Where: </w:t>
      </w:r>
    </w:p>
    <w:p w:rsidRPr="00950426" w:rsidR="00B35D2A" w:rsidP="00CB5F8C" w:rsidRDefault="00B35D2A" w14:paraId="265EE6A6" w14:textId="77777777">
      <w:pPr>
        <w:pStyle w:val="zGNormal"/>
        <w:ind w:left="1260"/>
      </w:pPr>
    </w:p>
    <w:p w:rsidRPr="00F40F9C" w:rsidR="006F7483" w:rsidP="00CB5F8C" w:rsidRDefault="008B55A2" w14:paraId="21C3429A" w14:textId="5652566D">
      <w:pPr>
        <w:pStyle w:val="zGNormal"/>
        <w:ind w:left="1260"/>
      </w:pPr>
      <w:r>
        <w:t>SPR = the Storage Performance Reduction for such Month as determined in Section 2.2 (</w:t>
      </w:r>
      <w:r>
        <w:rPr>
          <w:i/>
          <w:iCs/>
        </w:rPr>
        <w:t>Storage</w:t>
      </w:r>
      <w:r w:rsidRPr="004B0BBF">
        <w:rPr>
          <w:i/>
        </w:rPr>
        <w:t xml:space="preserve"> Performance Reduction</w:t>
      </w:r>
      <w:r>
        <w:t xml:space="preserve">); and </w:t>
      </w:r>
    </w:p>
    <w:p w:rsidRPr="00F40F9C" w:rsidR="00B35D2A" w:rsidP="00CB5F8C" w:rsidRDefault="00B35D2A" w14:paraId="5ADECEAF" w14:textId="77777777">
      <w:pPr>
        <w:pStyle w:val="zGNormal"/>
        <w:ind w:left="1260"/>
      </w:pPr>
    </w:p>
    <w:p w:rsidRPr="00F40F9C" w:rsidR="00B35D2A" w:rsidP="005F6FB8" w:rsidRDefault="00E72CAB" w14:paraId="30ABE704" w14:textId="1A31F0E6">
      <w:pPr>
        <w:pStyle w:val="zGNormal"/>
        <w:ind w:left="1260"/>
        <w:rPr>
          <w:u w:val="single"/>
        </w:rPr>
      </w:pPr>
      <w:r>
        <w:rPr>
          <w:u w:val="single"/>
        </w:rPr>
        <w:t xml:space="preserve">Monthly </w:t>
      </w:r>
      <w:r w:rsidR="008B55A2">
        <w:rPr>
          <w:u w:val="single"/>
        </w:rPr>
        <w:t>RTE  True-Up</w:t>
      </w:r>
      <w:r w:rsidR="008B55A2">
        <w:t xml:space="preserve"> = </w:t>
      </w:r>
      <w:r w:rsidR="0082370C">
        <w:t>RTE Performance Reduction</w:t>
      </w:r>
      <w:r w:rsidR="008B55A2">
        <w:t xml:space="preserve"> for such Month as determined in Section 2.4.2 (</w:t>
      </w:r>
      <w:r w:rsidR="008B55A2">
        <w:rPr>
          <w:i/>
          <w:iCs/>
        </w:rPr>
        <w:t>Monthly</w:t>
      </w:r>
      <w:r w:rsidR="00A54200">
        <w:rPr>
          <w:i/>
          <w:iCs/>
        </w:rPr>
        <w:t xml:space="preserve"> RTE</w:t>
      </w:r>
      <w:r w:rsidR="008B55A2">
        <w:rPr>
          <w:i/>
          <w:iCs/>
        </w:rPr>
        <w:t xml:space="preserve"> True-Up</w:t>
      </w:r>
      <w:r w:rsidR="008B55A2">
        <w:t>).</w:t>
      </w:r>
    </w:p>
    <w:p w:rsidRPr="00F40F9C" w:rsidR="006658B9" w:rsidP="000907B6" w:rsidRDefault="008B55A2" w14:paraId="4DCA5D51" w14:textId="77777777">
      <w:pPr>
        <w:pStyle w:val="zGBody2"/>
        <w:numPr>
          <w:ilvl w:val="1"/>
          <w:numId w:val="26"/>
        </w:numPr>
        <w:rPr>
          <w:vanish/>
          <w:specVanish/>
        </w:rPr>
      </w:pPr>
      <w:bookmarkStart w:name="_Toc206673903" w:id="1455"/>
      <w:bookmarkStart w:name="_Toc227451663" w:id="1456"/>
      <w:r>
        <w:t>Storage Performance Reduction.</w:t>
      </w:r>
      <w:bookmarkEnd w:id="1455"/>
      <w:bookmarkEnd w:id="1456"/>
    </w:p>
    <w:p w:rsidRPr="00950426" w:rsidR="006F7483" w:rsidP="006658B9" w:rsidRDefault="008B55A2" w14:paraId="676AD699" w14:textId="77777777">
      <w:pPr>
        <w:pStyle w:val="zGNormal"/>
      </w:pPr>
      <w:r>
        <w:t xml:space="preserve"> For purposes of this Section 2.2, GPC will determine the Storage Performance Reduction (“</w:t>
      </w:r>
      <w:r>
        <w:rPr>
          <w:b/>
          <w:bCs/>
        </w:rPr>
        <w:t>SPR</w:t>
      </w:r>
      <w:r>
        <w:t>”) for each Month in accordance with Table C-3 (</w:t>
      </w:r>
      <w:r>
        <w:rPr>
          <w:i/>
          <w:iCs/>
        </w:rPr>
        <w:t>Storage Performance Reduction</w:t>
      </w:r>
      <w:r>
        <w:t>) below, based on the Storage Performance Metric Achieved for such Month.</w:t>
      </w:r>
    </w:p>
    <w:p w:rsidRPr="00950426" w:rsidR="006F7483" w:rsidP="006F7483" w:rsidRDefault="008B55A2" w14:paraId="08B79430" w14:textId="77777777">
      <w:pPr>
        <w:pStyle w:val="zGNormal6"/>
      </w:pPr>
      <w:r>
        <w:tab/>
      </w:r>
    </w:p>
    <w:tbl>
      <w:tblPr>
        <w:tblW w:w="8746" w:type="dxa"/>
        <w:jc w:val="righ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240"/>
        <w:gridCol w:w="5506"/>
      </w:tblGrid>
      <w:tr w:rsidR="00AE51F9" w:rsidTr="003153D9" w14:paraId="73BCEEA7" w14:textId="77777777">
        <w:trPr>
          <w:trHeight w:val="465"/>
          <w:tblHeader/>
          <w:jc w:val="right"/>
        </w:trPr>
        <w:tc>
          <w:tcPr>
            <w:tcW w:w="8746" w:type="dxa"/>
            <w:gridSpan w:val="2"/>
            <w:tcBorders>
              <w:top w:val="single" w:color="auto" w:sz="6" w:space="0"/>
              <w:left w:val="single" w:color="auto" w:sz="6" w:space="0"/>
              <w:bottom w:val="single" w:color="auto" w:sz="6" w:space="0"/>
              <w:right w:val="single" w:color="auto" w:sz="6" w:space="0"/>
            </w:tcBorders>
            <w:shd w:val="clear" w:color="auto" w:fill="BFBFBF" w:themeFill="background1" w:themeFillShade="BF"/>
            <w:vAlign w:val="center"/>
          </w:tcPr>
          <w:p w:rsidRPr="00950426" w:rsidR="006F7483" w:rsidRDefault="008B55A2" w14:paraId="05BC986F" w14:textId="77777777">
            <w:pPr>
              <w:widowControl w:val="0"/>
              <w:spacing w:before="60" w:after="60"/>
              <w:jc w:val="center"/>
              <w:textAlignment w:val="baseline"/>
              <w:rPr>
                <w:rFonts w:ascii="Arial" w:hAnsi="Arial" w:eastAsia="Times New Roman" w:cs="Arial"/>
                <w:b/>
                <w:sz w:val="20"/>
                <w:szCs w:val="20"/>
              </w:rPr>
            </w:pPr>
            <w:r>
              <w:rPr>
                <w:rFonts w:ascii="Arial" w:hAnsi="Arial" w:eastAsia="Times New Roman" w:cs="Arial"/>
                <w:b/>
                <w:sz w:val="20"/>
                <w:szCs w:val="20"/>
              </w:rPr>
              <w:t>Table C-3</w:t>
            </w:r>
          </w:p>
          <w:p w:rsidRPr="00950426" w:rsidR="006F7483" w:rsidP="001C656C" w:rsidRDefault="008B55A2" w14:paraId="2F308722" w14:textId="77777777">
            <w:pPr>
              <w:pStyle w:val="Subtitle-Bold"/>
              <w:keepNext w:val="0"/>
              <w:widowControl w:val="0"/>
              <w:spacing w:after="120"/>
              <w:textAlignment w:val="baseline"/>
            </w:pPr>
            <w:r>
              <w:rPr>
                <w:rFonts w:eastAsia="Times New Roman" w:cs="Arial"/>
                <w:bCs w:val="0"/>
              </w:rPr>
              <w:t>Storage Performance Reduction</w:t>
            </w:r>
          </w:p>
        </w:tc>
      </w:tr>
      <w:tr w:rsidR="00AE51F9" w:rsidTr="003153D9" w14:paraId="3A3AAE39" w14:textId="77777777">
        <w:trPr>
          <w:trHeight w:val="465"/>
          <w:tblHeader/>
          <w:jc w:val="right"/>
        </w:trPr>
        <w:tc>
          <w:tcPr>
            <w:tcW w:w="3240"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950426" w:rsidR="006F7483" w:rsidRDefault="008B55A2" w14:paraId="321C6B90" w14:textId="77777777">
            <w:pPr>
              <w:widowControl w:val="0"/>
              <w:spacing w:before="60" w:after="60"/>
              <w:jc w:val="center"/>
              <w:textAlignment w:val="baseline"/>
              <w:rPr>
                <w:rFonts w:ascii="Arial" w:hAnsi="Arial" w:eastAsia="Times New Roman" w:cs="Arial"/>
                <w:sz w:val="20"/>
                <w:szCs w:val="20"/>
              </w:rPr>
            </w:pPr>
            <w:r>
              <w:rPr>
                <w:rFonts w:ascii="Arial" w:hAnsi="Arial" w:cs="Arial"/>
                <w:b/>
                <w:sz w:val="20"/>
                <w:szCs w:val="20"/>
              </w:rPr>
              <w:t xml:space="preserve">Storage </w:t>
            </w:r>
            <w:r>
              <w:rPr>
                <w:rFonts w:ascii="Arial" w:hAnsi="Arial" w:eastAsia="Times New Roman" w:cs="Arial"/>
                <w:b/>
                <w:sz w:val="20"/>
                <w:szCs w:val="20"/>
              </w:rPr>
              <w:t>Performance Metric Achieved</w:t>
            </w:r>
          </w:p>
        </w:tc>
        <w:tc>
          <w:tcPr>
            <w:tcW w:w="5506"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950426" w:rsidR="006F7483" w:rsidRDefault="008B55A2" w14:paraId="07574690" w14:textId="77777777">
            <w:pPr>
              <w:widowControl w:val="0"/>
              <w:spacing w:before="60" w:after="60"/>
              <w:jc w:val="center"/>
              <w:textAlignment w:val="baseline"/>
              <w:rPr>
                <w:rFonts w:ascii="Arial" w:hAnsi="Arial" w:eastAsia="Times New Roman" w:cs="Arial"/>
                <w:sz w:val="20"/>
                <w:szCs w:val="20"/>
              </w:rPr>
            </w:pPr>
            <w:r>
              <w:rPr>
                <w:rFonts w:ascii="Arial" w:hAnsi="Arial" w:eastAsia="Times New Roman" w:cs="Arial"/>
                <w:b/>
                <w:sz w:val="20"/>
                <w:szCs w:val="20"/>
              </w:rPr>
              <w:t>Storage Performance Reduction</w:t>
            </w:r>
          </w:p>
        </w:tc>
      </w:tr>
      <w:tr w:rsidR="00AE51F9" w:rsidTr="003153D9" w14:paraId="57BAF411" w14:textId="77777777">
        <w:trPr>
          <w:trHeight w:val="615"/>
          <w:jc w:val="right"/>
        </w:trPr>
        <w:tc>
          <w:tcPr>
            <w:tcW w:w="3240" w:type="dxa"/>
            <w:tcBorders>
              <w:top w:val="nil"/>
              <w:left w:val="single" w:color="auto" w:sz="6" w:space="0"/>
              <w:bottom w:val="single" w:color="auto" w:sz="6" w:space="0"/>
              <w:right w:val="single" w:color="auto" w:sz="6" w:space="0"/>
            </w:tcBorders>
            <w:vAlign w:val="center"/>
            <w:hideMark/>
          </w:tcPr>
          <w:p w:rsidRPr="00950426" w:rsidR="006F7483" w:rsidRDefault="008B55A2" w14:paraId="783A851D" w14:textId="77777777">
            <w:pPr>
              <w:widowControl w:val="0"/>
              <w:spacing w:before="60" w:after="60"/>
              <w:jc w:val="center"/>
              <w:textAlignment w:val="baseline"/>
              <w:rPr>
                <w:rFonts w:ascii="Arial" w:hAnsi="Arial" w:eastAsia="Times New Roman" w:cs="Arial"/>
                <w:sz w:val="20"/>
                <w:szCs w:val="20"/>
              </w:rPr>
            </w:pPr>
            <w:r>
              <w:rPr>
                <w:rFonts w:ascii="Arial" w:hAnsi="Arial" w:cs="Arial"/>
                <w:sz w:val="20"/>
                <w:szCs w:val="20"/>
              </w:rPr>
              <w:t xml:space="preserve">Storage </w:t>
            </w:r>
            <w:r>
              <w:rPr>
                <w:rFonts w:ascii="Arial" w:hAnsi="Arial" w:eastAsia="Times New Roman" w:cs="Arial"/>
                <w:sz w:val="20"/>
                <w:szCs w:val="20"/>
              </w:rPr>
              <w:t>Performance Metric Achieved ≥ 0.96</w:t>
            </w:r>
          </w:p>
        </w:tc>
        <w:tc>
          <w:tcPr>
            <w:tcW w:w="5506" w:type="dxa"/>
            <w:tcBorders>
              <w:top w:val="nil"/>
              <w:left w:val="nil"/>
              <w:bottom w:val="single" w:color="auto" w:sz="6" w:space="0"/>
              <w:right w:val="single" w:color="auto" w:sz="6" w:space="0"/>
            </w:tcBorders>
            <w:vAlign w:val="center"/>
            <w:hideMark/>
          </w:tcPr>
          <w:p w:rsidRPr="00950426" w:rsidR="006F7483" w:rsidRDefault="008B55A2" w14:paraId="7811A384" w14:textId="77777777">
            <w:pPr>
              <w:widowControl w:val="0"/>
              <w:spacing w:before="60" w:after="60"/>
              <w:jc w:val="center"/>
              <w:textAlignment w:val="baseline"/>
              <w:rPr>
                <w:rFonts w:ascii="Arial" w:hAnsi="Arial" w:eastAsia="Times New Roman" w:cs="Arial"/>
                <w:sz w:val="20"/>
                <w:szCs w:val="20"/>
              </w:rPr>
            </w:pPr>
            <w:r>
              <w:rPr>
                <w:rFonts w:ascii="Arial" w:hAnsi="Arial" w:eastAsia="Times New Roman" w:cs="Arial"/>
                <w:sz w:val="20"/>
                <w:szCs w:val="20"/>
              </w:rPr>
              <w:t>No reduction</w:t>
            </w:r>
          </w:p>
        </w:tc>
      </w:tr>
      <w:tr w:rsidR="00AE51F9" w:rsidTr="003153D9" w14:paraId="584B8343" w14:textId="77777777">
        <w:trPr>
          <w:trHeight w:val="615"/>
          <w:jc w:val="right"/>
        </w:trPr>
        <w:tc>
          <w:tcPr>
            <w:tcW w:w="3240" w:type="dxa"/>
            <w:tcBorders>
              <w:top w:val="nil"/>
              <w:left w:val="single" w:color="auto" w:sz="6" w:space="0"/>
              <w:bottom w:val="single" w:color="auto" w:sz="6" w:space="0"/>
              <w:right w:val="single" w:color="auto" w:sz="6" w:space="0"/>
            </w:tcBorders>
            <w:vAlign w:val="center"/>
            <w:hideMark/>
          </w:tcPr>
          <w:p w:rsidRPr="00950426" w:rsidR="006F7483" w:rsidRDefault="008B55A2" w14:paraId="3A32066B" w14:textId="2FCA7515">
            <w:pPr>
              <w:widowControl w:val="0"/>
              <w:spacing w:before="60" w:after="60"/>
              <w:jc w:val="center"/>
              <w:textAlignment w:val="baseline"/>
              <w:rPr>
                <w:rFonts w:ascii="Arial" w:hAnsi="Arial" w:eastAsia="Times New Roman" w:cs="Arial"/>
                <w:sz w:val="20"/>
                <w:szCs w:val="20"/>
              </w:rPr>
            </w:pPr>
            <w:r>
              <w:rPr>
                <w:rFonts w:ascii="Arial" w:hAnsi="Arial" w:eastAsia="Times New Roman" w:cs="Arial"/>
                <w:sz w:val="20"/>
                <w:szCs w:val="20"/>
              </w:rPr>
              <w:t xml:space="preserve">0.96 &gt; </w:t>
            </w:r>
            <w:r>
              <w:rPr>
                <w:rFonts w:ascii="Arial" w:hAnsi="Arial" w:cs="Arial"/>
                <w:sz w:val="20"/>
                <w:szCs w:val="20"/>
              </w:rPr>
              <w:t xml:space="preserve">Storage </w:t>
            </w:r>
            <w:r>
              <w:rPr>
                <w:rFonts w:ascii="Arial" w:hAnsi="Arial" w:eastAsia="Times New Roman" w:cs="Arial"/>
                <w:sz w:val="20"/>
                <w:szCs w:val="20"/>
              </w:rPr>
              <w:t>Performance Metric Achieved ≥ 0.6</w:t>
            </w:r>
          </w:p>
        </w:tc>
        <w:tc>
          <w:tcPr>
            <w:tcW w:w="5506" w:type="dxa"/>
            <w:tcBorders>
              <w:top w:val="nil"/>
              <w:left w:val="nil"/>
              <w:bottom w:val="single" w:color="auto" w:sz="6" w:space="0"/>
              <w:right w:val="single" w:color="auto" w:sz="6" w:space="0"/>
            </w:tcBorders>
            <w:vAlign w:val="center"/>
            <w:hideMark/>
          </w:tcPr>
          <w:p w:rsidRPr="00950426" w:rsidR="006F7483" w:rsidRDefault="008B55A2" w14:paraId="2C2D1356" w14:textId="152E5AA9">
            <w:pPr>
              <w:widowControl w:val="0"/>
              <w:spacing w:before="60" w:after="60"/>
              <w:jc w:val="center"/>
              <w:textAlignment w:val="baseline"/>
              <w:rPr>
                <w:rFonts w:ascii="Arial" w:hAnsi="Arial" w:eastAsia="Times New Roman" w:cs="Arial"/>
                <w:sz w:val="20"/>
                <w:szCs w:val="20"/>
              </w:rPr>
            </w:pPr>
            <w:r>
              <w:rPr>
                <w:rFonts w:ascii="Arial" w:hAnsi="Arial" w:eastAsia="Times New Roman" w:cs="Arial"/>
                <w:sz w:val="20"/>
                <w:szCs w:val="20"/>
              </w:rPr>
              <w:t>(0.96 - Storage Performance Metric Achieved) * 1.5 * MCF($)</w:t>
            </w:r>
          </w:p>
        </w:tc>
      </w:tr>
      <w:tr w:rsidR="00AE51F9" w:rsidTr="003153D9" w14:paraId="3C959F33" w14:textId="77777777">
        <w:trPr>
          <w:trHeight w:val="615"/>
          <w:jc w:val="right"/>
        </w:trPr>
        <w:tc>
          <w:tcPr>
            <w:tcW w:w="3240" w:type="dxa"/>
            <w:tcBorders>
              <w:top w:val="nil"/>
              <w:left w:val="single" w:color="auto" w:sz="6" w:space="0"/>
              <w:bottom w:val="single" w:color="auto" w:sz="6" w:space="0"/>
              <w:right w:val="single" w:color="auto" w:sz="6" w:space="0"/>
            </w:tcBorders>
            <w:vAlign w:val="center"/>
            <w:hideMark/>
          </w:tcPr>
          <w:p w:rsidRPr="00950426" w:rsidR="006F7483" w:rsidRDefault="008B55A2" w14:paraId="63F783F2" w14:textId="2E58D379">
            <w:pPr>
              <w:widowControl w:val="0"/>
              <w:jc w:val="center"/>
              <w:textAlignment w:val="baseline"/>
              <w:rPr>
                <w:rFonts w:ascii="Arial" w:hAnsi="Arial" w:eastAsia="Times New Roman" w:cs="Arial"/>
                <w:sz w:val="20"/>
                <w:szCs w:val="20"/>
              </w:rPr>
            </w:pPr>
            <w:r>
              <w:rPr>
                <w:rFonts w:ascii="Arial" w:hAnsi="Arial" w:eastAsia="Times New Roman" w:cs="Arial"/>
                <w:sz w:val="20"/>
                <w:szCs w:val="20"/>
              </w:rPr>
              <w:t>0.6 &gt; Storage Performance Metric Achieved</w:t>
            </w:r>
          </w:p>
        </w:tc>
        <w:tc>
          <w:tcPr>
            <w:tcW w:w="5506" w:type="dxa"/>
            <w:tcBorders>
              <w:top w:val="nil"/>
              <w:left w:val="nil"/>
              <w:bottom w:val="single" w:color="auto" w:sz="6" w:space="0"/>
              <w:right w:val="single" w:color="auto" w:sz="6" w:space="0"/>
            </w:tcBorders>
            <w:vAlign w:val="center"/>
            <w:hideMark/>
          </w:tcPr>
          <w:p w:rsidRPr="00950426" w:rsidR="006F7483" w:rsidRDefault="008B55A2" w14:paraId="298DB641" w14:textId="77777777">
            <w:pPr>
              <w:widowControl w:val="0"/>
              <w:jc w:val="center"/>
              <w:textAlignment w:val="baseline"/>
              <w:rPr>
                <w:rFonts w:ascii="Arial" w:hAnsi="Arial" w:eastAsia="Times New Roman" w:cs="Arial"/>
                <w:sz w:val="20"/>
                <w:szCs w:val="20"/>
              </w:rPr>
            </w:pPr>
            <w:r>
              <w:rPr>
                <w:rFonts w:ascii="Arial" w:hAnsi="Arial" w:eastAsia="Times New Roman" w:cs="Arial"/>
                <w:sz w:val="20"/>
                <w:szCs w:val="20"/>
              </w:rPr>
              <w:t>1.0 * MCF($)</w:t>
            </w:r>
          </w:p>
        </w:tc>
      </w:tr>
    </w:tbl>
    <w:p w:rsidRPr="00950426" w:rsidR="006F7483" w:rsidP="006F7483" w:rsidRDefault="006F7483" w14:paraId="53093B39" w14:textId="77777777">
      <w:pPr>
        <w:widowControl w:val="0"/>
        <w:jc w:val="both"/>
        <w:rPr>
          <w:rFonts w:ascii="Arial" w:hAnsi="Arial" w:eastAsia="Times New Roman" w:cs="Arial"/>
          <w:sz w:val="20"/>
          <w:szCs w:val="20"/>
        </w:rPr>
      </w:pPr>
    </w:p>
    <w:p w:rsidRPr="00950426" w:rsidR="006658B9" w:rsidP="000907B6" w:rsidRDefault="008B55A2" w14:paraId="2431CF6D" w14:textId="77777777">
      <w:pPr>
        <w:pStyle w:val="zGBody2"/>
        <w:numPr>
          <w:ilvl w:val="1"/>
          <w:numId w:val="26"/>
        </w:numPr>
        <w:rPr>
          <w:vanish/>
          <w:specVanish/>
        </w:rPr>
      </w:pPr>
      <w:bookmarkStart w:name="_Toc206673904" w:id="1457"/>
      <w:bookmarkStart w:name="_Toc227451664" w:id="1458"/>
      <w:r>
        <w:t>Storage Performance Metric Achieved.</w:t>
      </w:r>
      <w:bookmarkEnd w:id="1457"/>
      <w:bookmarkEnd w:id="1458"/>
    </w:p>
    <w:p w:rsidRPr="00F40F9C" w:rsidR="006F7483" w:rsidP="006658B9" w:rsidRDefault="008B55A2" w14:paraId="25EF5AA5" w14:textId="77777777">
      <w:pPr>
        <w:pStyle w:val="zGNormal"/>
      </w:pPr>
      <w:r>
        <w:rPr>
          <w:rStyle w:val="zGNormalChar"/>
        </w:rPr>
        <w:t xml:space="preserve"> For purposes of determining the Storage Performance Reduction in Table C-3</w:t>
      </w:r>
      <w:r w:rsidRPr="004B0BBF">
        <w:t xml:space="preserve"> </w:t>
      </w:r>
      <w:r>
        <w:t>(</w:t>
      </w:r>
      <w:r>
        <w:rPr>
          <w:i/>
          <w:iCs/>
        </w:rPr>
        <w:t>Storage Performance Reduction</w:t>
      </w:r>
      <w:r>
        <w:t>)</w:t>
      </w:r>
      <w:r>
        <w:rPr>
          <w:rStyle w:val="zGNormalChar"/>
        </w:rPr>
        <w:t xml:space="preserve"> above, GPC will determine the “</w:t>
      </w:r>
      <w:r w:rsidRPr="004B0BBF">
        <w:rPr>
          <w:rStyle w:val="zGNormalChar"/>
          <w:b/>
        </w:rPr>
        <w:t>Storage Performance Metric Achieved</w:t>
      </w:r>
      <w:r>
        <w:rPr>
          <w:rStyle w:val="zGNormalChar"/>
        </w:rPr>
        <w:t>” for the Month by calculating the average of two components: (i) Energy Storage Performance Metric; and (ii) Charge/Discharge Rate Performance Metric. The two components will be calculated as follows:</w:t>
      </w:r>
      <w:r>
        <w:rPr>
          <w:b/>
        </w:rPr>
        <w:t xml:space="preserve"> </w:t>
      </w:r>
    </w:p>
    <w:p w:rsidRPr="00F40F9C" w:rsidR="006F7483" w:rsidP="006F7483" w:rsidRDefault="008B55A2" w14:paraId="6A7541CF" w14:textId="77777777">
      <w:pPr>
        <w:pStyle w:val="zGNormal"/>
      </w:pPr>
      <w:r>
        <w:tab/>
      </w:r>
      <w:r>
        <w:tab/>
        <w:t xml:space="preserve">         </w:t>
      </w:r>
      <w:r>
        <w:tab/>
      </w:r>
      <w:r>
        <w:tab/>
      </w:r>
    </w:p>
    <w:p w:rsidRPr="00F40F9C" w:rsidR="006F7483" w:rsidP="000907B6" w:rsidRDefault="008B55A2" w14:paraId="2F6A822F" w14:textId="2938346A">
      <w:pPr>
        <w:pStyle w:val="zGBody3"/>
        <w:numPr>
          <w:ilvl w:val="2"/>
          <w:numId w:val="26"/>
        </w:numPr>
      </w:pPr>
      <w:r>
        <w:rPr>
          <w:b/>
        </w:rPr>
        <w:lastRenderedPageBreak/>
        <w:t>Energy Storage Performance Metric.</w:t>
      </w:r>
      <w:r>
        <w:t xml:space="preserve"> The Energy Storage Performance Metric for each Month is the sum of the 5-Minute Average Storage Capability, in MWhs, divided by the sum of the </w:t>
      </w:r>
      <w:r w:rsidR="00D2167A">
        <w:t>Storage Device Operating Energy</w:t>
      </w:r>
      <w:r>
        <w:t xml:space="preserve"> </w:t>
      </w:r>
      <w:r w:rsidR="00D2167A">
        <w:t>(</w:t>
      </w:r>
      <w:r>
        <w:t>SDOE</w:t>
      </w:r>
      <w:r w:rsidR="00D2167A">
        <w:t>)</w:t>
      </w:r>
      <w:r>
        <w:t xml:space="preserve"> for each 5-minute period. This calculation will include all periods when the BESS is expected to be Available</w:t>
      </w:r>
      <w:r w:rsidR="00213ADB">
        <w:t>, but will exclude those periods stated in Section 2.3.3 (</w:t>
      </w:r>
      <w:r w:rsidRPr="00213ADB" w:rsidR="00213ADB">
        <w:rPr>
          <w:i/>
          <w:iCs/>
        </w:rPr>
        <w:t>Exclusions from Storage Performance Metric Achieved</w:t>
      </w:r>
      <w:r w:rsidR="00213ADB">
        <w:t>)</w:t>
      </w:r>
      <w:r>
        <w:t>. GPC will calculate the Energy Storage Performance Metric for each Month as follows:</w:t>
      </w:r>
    </w:p>
    <w:p w:rsidRPr="00F40F9C" w:rsidR="006F7483" w:rsidP="006F7483" w:rsidRDefault="008B55A2" w14:paraId="241112B4" w14:textId="65C07E41">
      <w:pPr>
        <w:pStyle w:val="zGNormal"/>
        <w:ind w:left="720" w:firstLine="720"/>
      </w:pPr>
      <w:r>
        <w:rPr>
          <w:noProof/>
        </w:rPr>
        <w:drawing>
          <wp:inline distT="0" distB="0" distL="0" distR="0" wp14:anchorId="67B36874" wp14:editId="68BB1C1B">
            <wp:extent cx="2294360" cy="148890"/>
            <wp:effectExtent l="0" t="0" r="0" b="0"/>
            <wp:docPr id="100017" name="Formula Image 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56"/>
                    <a:stretch>
                      <a:fillRect/>
                    </a:stretch>
                  </pic:blipFill>
                  <pic:spPr>
                    <a:xfrm>
                      <a:off x="0" y="0"/>
                      <a:ext cx="2294360" cy="148890"/>
                    </a:xfrm>
                    <a:prstGeom prst="rect">
                      <a:avLst/>
                    </a:prstGeom>
                  </pic:spPr>
                </pic:pic>
              </a:graphicData>
            </a:graphic>
          </wp:inline>
        </w:drawing>
      </w:r>
      <w:r>
        <w:t> </w:t>
      </w:r>
    </w:p>
    <w:p w:rsidR="00172E0F" w:rsidP="006F7483" w:rsidRDefault="00404BB2" w14:paraId="3AD2565D" w14:textId="19590A49">
      <w:pPr>
        <w:pStyle w:val="zGNormal"/>
        <w:ind w:left="720" w:firstLine="720"/>
      </w:pPr>
      <w:r>
        <w:rPr>
          <w:noProof/>
        </w:rPr>
        <w:drawing>
          <wp:inline distT="0" distB="0" distL="0" distR="0" wp14:anchorId="07EC57FB" wp14:editId="73F2C8D7">
            <wp:extent cx="2867025" cy="351652"/>
            <wp:effectExtent l="0" t="0" r="0" b="0"/>
            <wp:docPr id="1209603069" name="Formula Image 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579" name=""/>
                    <pic:cNvPicPr>
                      <a:picLocks noChangeAspect="1"/>
                    </pic:cNvPicPr>
                  </pic:nvPicPr>
                  <pic:blipFill>
                    <a:blip r:embed="rId57"/>
                    <a:stretch>
                      <a:fillRect/>
                    </a:stretch>
                  </pic:blipFill>
                  <pic:spPr>
                    <a:xfrm>
                      <a:off x="0" y="0"/>
                      <a:ext cx="2917457" cy="357838"/>
                    </a:xfrm>
                    <a:prstGeom prst="rect">
                      <a:avLst/>
                    </a:prstGeom>
                  </pic:spPr>
                </pic:pic>
              </a:graphicData>
            </a:graphic>
          </wp:inline>
        </w:drawing>
      </w:r>
    </w:p>
    <w:p w:rsidR="00172E0F" w:rsidP="006F7483" w:rsidRDefault="00172E0F" w14:paraId="6839CB05" w14:textId="77777777">
      <w:pPr>
        <w:pStyle w:val="zGNormal"/>
        <w:ind w:left="720" w:firstLine="720"/>
      </w:pPr>
    </w:p>
    <w:p w:rsidRPr="00F40F9C" w:rsidR="00172E0F" w:rsidP="006F7483" w:rsidRDefault="00172E0F" w14:paraId="5ED78CDF" w14:textId="77777777">
      <w:pPr>
        <w:pStyle w:val="zGNormal"/>
        <w:ind w:left="720" w:firstLine="720"/>
      </w:pPr>
    </w:p>
    <w:p w:rsidRPr="00950426" w:rsidR="006F7483" w:rsidP="00CB5F8C" w:rsidRDefault="008B55A2" w14:paraId="3E073DC3" w14:textId="77777777">
      <w:pPr>
        <w:pStyle w:val="zGNormal"/>
        <w:ind w:left="1260"/>
        <w:rPr>
          <w:rStyle w:val="eop"/>
          <w:rFonts w:eastAsiaTheme="majorEastAsia"/>
        </w:rPr>
      </w:pPr>
      <w:r>
        <w:rPr>
          <w:rStyle w:val="normaltextrun"/>
          <w:rFonts w:eastAsiaTheme="majorEastAsia"/>
        </w:rPr>
        <w:t>Where:</w:t>
      </w:r>
      <w:r>
        <w:rPr>
          <w:rStyle w:val="eop"/>
          <w:rFonts w:eastAsiaTheme="majorEastAsia"/>
        </w:rPr>
        <w:t> </w:t>
      </w:r>
    </w:p>
    <w:p w:rsidRPr="00950426" w:rsidR="006F7483" w:rsidP="00CB5F8C" w:rsidRDefault="008B55A2" w14:paraId="36D9286C" w14:textId="77777777">
      <w:pPr>
        <w:pStyle w:val="zGNormal"/>
        <w:ind w:left="1260" w:firstLine="720"/>
        <w:rPr>
          <w:rStyle w:val="normaltextrun"/>
          <w:rFonts w:eastAsiaTheme="majorEastAsia"/>
        </w:rPr>
      </w:pPr>
      <w:r>
        <w:rPr>
          <w:rStyle w:val="normaltextrun"/>
          <w:rFonts w:eastAsiaTheme="majorEastAsia"/>
        </w:rPr>
        <w:tab/>
      </w:r>
      <w:r>
        <w:rPr>
          <w:rStyle w:val="normaltextrun"/>
          <w:rFonts w:eastAsiaTheme="majorEastAsia"/>
        </w:rPr>
        <w:tab/>
      </w:r>
    </w:p>
    <w:p w:rsidRPr="00950426" w:rsidR="006F7483" w:rsidP="00CB5F8C" w:rsidRDefault="008B55A2" w14:paraId="43F0951F" w14:textId="6B12FAFB">
      <w:pPr>
        <w:pStyle w:val="zGNormal"/>
        <w:ind w:left="1260"/>
      </w:pPr>
      <w:r>
        <w:rPr>
          <w:rStyle w:val="normaltextrun"/>
          <w:rFonts w:eastAsiaTheme="majorEastAsia"/>
        </w:rPr>
        <w:t>n = total number of 5-minute periods in the Month, excluding any Scheduled Outage, Maintenance Outage, and FME;</w:t>
      </w:r>
      <w:r>
        <w:rPr>
          <w:rStyle w:val="eop"/>
          <w:rFonts w:eastAsiaTheme="majorEastAsia"/>
        </w:rPr>
        <w:t> </w:t>
      </w:r>
    </w:p>
    <w:p w:rsidRPr="00950426" w:rsidR="006F7483" w:rsidP="00CB5F8C" w:rsidRDefault="006F7483" w14:paraId="7F959096" w14:textId="77777777">
      <w:pPr>
        <w:pStyle w:val="zGNormal"/>
        <w:ind w:left="1260" w:firstLine="720"/>
        <w:rPr>
          <w:rStyle w:val="normaltextrun"/>
          <w:rFonts w:eastAsiaTheme="majorEastAsia"/>
        </w:rPr>
      </w:pPr>
    </w:p>
    <w:p w:rsidRPr="00950426" w:rsidR="006F7483" w:rsidP="00CB5F8C" w:rsidRDefault="008B55A2" w14:paraId="27D8D1E4" w14:textId="3E372268">
      <w:pPr>
        <w:pStyle w:val="zGNormal"/>
        <w:ind w:left="1260"/>
        <w:rPr>
          <w:rStyle w:val="eop"/>
          <w:rFonts w:eastAsiaTheme="majorEastAsia"/>
        </w:rPr>
      </w:pPr>
      <w:r>
        <w:rPr>
          <w:rStyle w:val="normaltextrun"/>
          <w:rFonts w:eastAsiaTheme="majorEastAsia"/>
        </w:rPr>
        <w:t xml:space="preserve">i = each 5-minute period in the Month, excluding any Scheduled Outage, Maintenance Outage, and FME; </w:t>
      </w:r>
    </w:p>
    <w:p w:rsidRPr="00950426" w:rsidR="006F7483" w:rsidP="00CB5F8C" w:rsidRDefault="006F7483" w14:paraId="43F8D3FF" w14:textId="77777777">
      <w:pPr>
        <w:pStyle w:val="zGNormal"/>
        <w:ind w:left="1260" w:firstLine="720"/>
        <w:rPr>
          <w:rStyle w:val="eop"/>
          <w:rFonts w:eastAsiaTheme="majorEastAsia"/>
        </w:rPr>
      </w:pPr>
    </w:p>
    <w:p w:rsidRPr="00950426" w:rsidR="006F7483" w:rsidP="00CB5F8C" w:rsidRDefault="008B55A2" w14:paraId="3BE9B202" w14:textId="18456B36">
      <w:pPr>
        <w:pStyle w:val="zGNormal"/>
        <w:ind w:left="1260"/>
      </w:pPr>
      <w:r>
        <w:rPr>
          <w:rStyle w:val="eop"/>
          <w:rFonts w:eastAsiaTheme="majorEastAsia"/>
          <w:u w:val="single"/>
        </w:rPr>
        <w:t>5-Minute Average Storage Capability (MWh)</w:t>
      </w:r>
      <w:r>
        <w:rPr>
          <w:rStyle w:val="eop"/>
          <w:rFonts w:eastAsiaTheme="majorEastAsia"/>
        </w:rPr>
        <w:t xml:space="preserve"> = </w:t>
      </w:r>
      <w:r>
        <w:t>The average BESS capability (which is capped at SDOE) Available during each 5-minute period and given any limitation conveyed by Seller or as determined by GPC from Seller’s non-compliance with GPC’s AGC Setpoint signals; and</w:t>
      </w:r>
    </w:p>
    <w:p w:rsidRPr="00950426" w:rsidR="006F7483" w:rsidP="00CB5F8C" w:rsidRDefault="006F7483" w14:paraId="0F5EBE70" w14:textId="77777777">
      <w:pPr>
        <w:pStyle w:val="zGNormal"/>
        <w:ind w:left="1260" w:firstLine="720"/>
        <w:rPr>
          <w:rStyle w:val="eop"/>
          <w:rFonts w:eastAsiaTheme="majorEastAsia"/>
        </w:rPr>
      </w:pPr>
    </w:p>
    <w:p w:rsidRPr="00950426" w:rsidR="006F7483" w:rsidP="00BF75E9" w:rsidRDefault="008B55A2" w14:paraId="40BC7BA5" w14:textId="3A2EC25F">
      <w:pPr>
        <w:pStyle w:val="zGNormal"/>
        <w:ind w:left="540" w:firstLine="720"/>
      </w:pPr>
      <w:r>
        <w:rPr>
          <w:rStyle w:val="eop"/>
          <w:rFonts w:eastAsiaTheme="majorEastAsia"/>
          <w:u w:val="single"/>
        </w:rPr>
        <w:t>SDOE</w:t>
      </w:r>
      <w:r>
        <w:rPr>
          <w:rStyle w:val="eop"/>
          <w:rFonts w:eastAsiaTheme="majorEastAsia"/>
        </w:rPr>
        <w:t xml:space="preserve"> = Storage Device Operating Energy, as defined in the </w:t>
      </w:r>
      <w:r>
        <w:t xml:space="preserve">Definitions. </w:t>
      </w:r>
    </w:p>
    <w:p w:rsidRPr="00950426" w:rsidR="006F7483" w:rsidP="00D843D5" w:rsidRDefault="006F7483" w14:paraId="19E0422F" w14:textId="77777777">
      <w:pPr>
        <w:pStyle w:val="zGNormal"/>
        <w:ind w:firstLine="720"/>
        <w:rPr>
          <w:rFonts w:eastAsia="Times New Roman"/>
        </w:rPr>
      </w:pPr>
    </w:p>
    <w:p w:rsidRPr="00950426" w:rsidR="006F7483" w:rsidP="00CE71A2" w:rsidRDefault="008B55A2" w14:paraId="4B57C55D" w14:textId="17E3F392">
      <w:pPr>
        <w:pStyle w:val="zGNormal"/>
        <w:ind w:left="1170"/>
        <w:rPr>
          <w:rFonts w:eastAsia="Times New Roman"/>
        </w:rPr>
      </w:pPr>
      <w:r>
        <w:t xml:space="preserve">The Energy Storage Performance Metric will not exceed 1.0. </w:t>
      </w:r>
      <w:bookmarkStart w:name="_Hlk160230737" w:id="1459"/>
      <w:r>
        <w:t>Seller must provide GPC real-time access to telemetry data, as described in Exhibit G (</w:t>
      </w:r>
      <w:r>
        <w:rPr>
          <w:i/>
        </w:rPr>
        <w:t>AGC and Facility Minimum Data Requirements</w:t>
      </w:r>
      <w:r>
        <w:t>), from Seller’s control system to</w:t>
      </w:r>
      <w:r>
        <w:rPr>
          <w:rFonts w:eastAsia="Times New Roman"/>
        </w:rPr>
        <w:t xml:space="preserve"> facilitate GPC’s calculation of these metrics.</w:t>
      </w:r>
      <w:bookmarkEnd w:id="1459"/>
      <w:r>
        <w:rPr>
          <w:rFonts w:eastAsia="Times New Roman"/>
        </w:rPr>
        <w:t xml:space="preserve"> The 5-Minute Average Storage Capability time tolerances will be detailed in the Operating Procedures. If applicable, the Operating Procedures will detail how the Energy Storage Performance Metric will be calculated for partial</w:t>
      </w:r>
      <w:r>
        <w:t xml:space="preserve"> BESS</w:t>
      </w:r>
      <w:r>
        <w:rPr>
          <w:rFonts w:eastAsia="Times New Roman"/>
        </w:rPr>
        <w:t xml:space="preserve"> Availability during Scheduled Outages</w:t>
      </w:r>
      <w:r w:rsidR="0024301D">
        <w:rPr>
          <w:rFonts w:eastAsia="Times New Roman"/>
        </w:rPr>
        <w:t>,</w:t>
      </w:r>
      <w:r>
        <w:rPr>
          <w:rFonts w:eastAsia="Times New Roman"/>
        </w:rPr>
        <w:t xml:space="preserve"> Maintenance Outages</w:t>
      </w:r>
      <w:r w:rsidR="00612C44">
        <w:rPr>
          <w:rFonts w:eastAsia="Times New Roman"/>
        </w:rPr>
        <w:t>, and any FME</w:t>
      </w:r>
      <w:r>
        <w:rPr>
          <w:rFonts w:eastAsia="Times New Roman"/>
        </w:rPr>
        <w:t xml:space="preserve">. </w:t>
      </w:r>
    </w:p>
    <w:p w:rsidRPr="00950426" w:rsidR="006B52A8" w:rsidP="006F7483" w:rsidRDefault="006B52A8" w14:paraId="013B54C9" w14:textId="77777777">
      <w:pPr>
        <w:pStyle w:val="zGNormal"/>
        <w:ind w:left="720"/>
        <w:rPr>
          <w:rFonts w:eastAsia="Times New Roman"/>
        </w:rPr>
      </w:pPr>
    </w:p>
    <w:p w:rsidR="006F7483" w:rsidP="000907B6" w:rsidRDefault="008B55A2" w14:paraId="5C3047E2" w14:textId="77777777">
      <w:pPr>
        <w:pStyle w:val="zGBody3"/>
        <w:numPr>
          <w:ilvl w:val="2"/>
          <w:numId w:val="26"/>
        </w:numPr>
        <w:rPr>
          <w:bCs/>
        </w:rPr>
      </w:pPr>
      <w:r>
        <w:rPr>
          <w:b/>
          <w:bCs/>
        </w:rPr>
        <w:t>Charge/Discharge Rate Performance Metric.</w:t>
      </w:r>
      <w:r>
        <w:t xml:space="preserve"> </w:t>
      </w:r>
      <w:r>
        <w:rPr>
          <w:bCs/>
        </w:rPr>
        <w:t>The Charge/Discharge Rate Performance Metric will be calculated for each Month as follows: (Note: all negative values will be converted to absolute values for calculation of this metric):</w:t>
      </w:r>
    </w:p>
    <w:p w:rsidR="007747DB" w:rsidP="007747DB" w:rsidRDefault="007747DB" w14:paraId="632D1E7C" w14:textId="77777777">
      <w:pPr>
        <w:widowControl w:val="0"/>
        <w:ind w:left="1170"/>
        <w:jc w:val="center"/>
        <w:rPr>
          <w:rFonts w:ascii="Arial" w:hAnsi="Arial" w:cs="Arial" w:eastAsiaTheme="minorEastAsia"/>
          <w:sz w:val="20"/>
          <w:szCs w:val="20"/>
        </w:rPr>
      </w:pPr>
      <m:oMathPara>
        <m:oMath>
          <m:r>
            <m:rPr>
              <m:nor/>
            </m:rPr>
            <w:rPr>
              <w:rFonts w:ascii="Arial" w:hAnsi="Arial" w:cs="Arial"/>
              <w:b/>
              <w:sz w:val="20"/>
              <w:szCs w:val="20"/>
            </w:rPr>
            <m:t>Charge/Discharge Rate Performance Metric</m:t>
          </m:r>
          <m:r>
            <m:rPr>
              <m:sty m:val="p"/>
            </m:rPr>
            <w:rPr>
              <w:rFonts w:ascii="Cambria Math" w:hAnsi="Cambria Math" w:cs="Arial"/>
              <w:sz w:val="20"/>
              <w:szCs w:val="20"/>
            </w:rPr>
            <m:t>=</m:t>
          </m:r>
        </m:oMath>
      </m:oMathPara>
    </w:p>
    <w:p w:rsidR="007747DB" w:rsidP="007747DB" w:rsidRDefault="00294E5E" w14:paraId="54F75D0D" w14:textId="09533682">
      <w:pPr>
        <w:widowControl w:val="0"/>
        <w:ind w:left="1170"/>
        <w:jc w:val="center"/>
        <w:rPr>
          <w:rFonts w:ascii="Arial" w:hAnsi="Arial" w:cs="Arial" w:eastAsiaTheme="minorEastAsia"/>
          <w:sz w:val="20"/>
          <w:szCs w:val="20"/>
        </w:rPr>
      </w:pPr>
      <m:oMath>
        <m:r>
          <m:rPr>
            <m:sty m:val="p"/>
          </m:rPr>
          <w:rPr>
            <w:rFonts w:ascii="Cambria Math" w:hAnsi="Cambria Math" w:cs="Arial"/>
            <w:sz w:val="20"/>
            <w:szCs w:val="20"/>
          </w:rPr>
          <m:t>[</m:t>
        </m:r>
        <m:f>
          <m:fPr>
            <m:ctrlPr>
              <w:rPr>
                <w:rFonts w:ascii="Cambria Math" w:hAnsi="Cambria Math" w:cs="Arial"/>
              </w:rPr>
            </m:ctrlPr>
          </m:fPr>
          <m:num>
            <m:sSub>
              <m:sSubPr>
                <m:ctrlPr>
                  <w:rPr>
                    <w:rFonts w:ascii="Cambria Math" w:hAnsi="Cambria Math" w:cs="Arial"/>
                  </w:rPr>
                </m:ctrlPr>
              </m:sSubPr>
              <m:e>
                <m:nary>
                  <m:naryPr>
                    <m:chr m:val="∑"/>
                    <m:limLoc m:val="undOvr"/>
                    <m:ctrlPr>
                      <w:rPr>
                        <w:rFonts w:ascii="Cambria Math" w:hAnsi="Cambria Math" w:cs="Arial"/>
                      </w:rPr>
                    </m:ctrlPr>
                  </m:naryPr>
                  <m:sub>
                    <m:r>
                      <w:rPr>
                        <w:rFonts w:ascii="Cambria Math" w:hAnsi="Cambria Math" w:cs="Arial"/>
                        <w:sz w:val="20"/>
                        <w:szCs w:val="20"/>
                      </w:rPr>
                      <m:t>i=1</m:t>
                    </m:r>
                  </m:sub>
                  <m:sup>
                    <m:r>
                      <w:rPr>
                        <w:rFonts w:ascii="Cambria Math" w:hAnsi="Cambria Math" w:cs="Arial"/>
                        <w:sz w:val="20"/>
                        <w:szCs w:val="20"/>
                      </w:rPr>
                      <m:t>n</m:t>
                    </m:r>
                  </m:sup>
                  <m:e>
                    <m:r>
                      <m:rPr>
                        <m:sty m:val="p"/>
                      </m:rPr>
                      <w:rPr>
                        <w:rFonts w:ascii="Cambria Math" w:hAnsi="Cambria Math" w:cs="Arial"/>
                        <w:sz w:val="20"/>
                        <w:szCs w:val="20"/>
                      </w:rPr>
                      <m:t>5-Minute Average Charge/Discharge Rate Limit</m:t>
                    </m:r>
                  </m:e>
                </m:nary>
              </m:e>
              <m:sub>
                <m:r>
                  <m:rPr>
                    <m:sty m:val="p"/>
                  </m:rPr>
                  <w:rPr>
                    <w:rFonts w:ascii="Cambria Math" w:hAnsi="Cambria Math" w:cs="Arial"/>
                    <w:sz w:val="20"/>
                    <w:szCs w:val="20"/>
                  </w:rPr>
                  <m:t>i</m:t>
                </m:r>
              </m:sub>
            </m:sSub>
            <m:r>
              <m:rPr>
                <m:sty m:val="p"/>
              </m:rPr>
              <w:rPr>
                <w:rStyle w:val="eop"/>
                <w:rFonts w:ascii="Cambria Math" w:hAnsi="Cambria Math" w:cs="Arial"/>
              </w:rPr>
              <m:t xml:space="preserve"> </m:t>
            </m:r>
          </m:num>
          <m:den>
            <m:sSub>
              <m:sSubPr>
                <m:ctrlPr>
                  <w:rPr>
                    <w:rFonts w:ascii="Cambria Math" w:hAnsi="Cambria Math" w:cs="Arial"/>
                  </w:rPr>
                </m:ctrlPr>
              </m:sSubPr>
              <m:e>
                <m:nary>
                  <m:naryPr>
                    <m:chr m:val="∑"/>
                    <m:limLoc m:val="undOvr"/>
                    <m:ctrlPr>
                      <w:rPr>
                        <w:rFonts w:ascii="Cambria Math" w:hAnsi="Cambria Math" w:cs="Arial"/>
                      </w:rPr>
                    </m:ctrlPr>
                  </m:naryPr>
                  <m:sub>
                    <m:r>
                      <w:rPr>
                        <w:rFonts w:ascii="Cambria Math" w:hAnsi="Cambria Math" w:cs="Arial"/>
                        <w:sz w:val="20"/>
                        <w:szCs w:val="20"/>
                      </w:rPr>
                      <m:t>i=1</m:t>
                    </m:r>
                  </m:sub>
                  <m:sup>
                    <m:r>
                      <w:rPr>
                        <w:rFonts w:ascii="Cambria Math" w:hAnsi="Cambria Math" w:cs="Arial"/>
                        <w:sz w:val="20"/>
                        <w:szCs w:val="20"/>
                      </w:rPr>
                      <m:t>n</m:t>
                    </m:r>
                  </m:sup>
                  <m:e>
                    <m:r>
                      <m:rPr>
                        <m:sty m:val="p"/>
                      </m:rPr>
                      <w:rPr>
                        <w:rFonts w:ascii="Cambria Math" w:hAnsi="Cambria Math" w:cs="Arial"/>
                        <w:sz w:val="20"/>
                        <w:szCs w:val="20"/>
                        <w:vertAlign w:val="subscript"/>
                      </w:rPr>
                      <m:t>Maximum Rate of Charge or Discharge</m:t>
                    </m:r>
                  </m:e>
                </m:nary>
              </m:e>
              <m:sub>
                <m:r>
                  <m:rPr>
                    <m:sty m:val="p"/>
                  </m:rPr>
                  <w:rPr>
                    <w:rFonts w:ascii="Cambria Math" w:hAnsi="Cambria Math" w:cs="Arial"/>
                    <w:sz w:val="20"/>
                    <w:szCs w:val="20"/>
                  </w:rPr>
                  <m:t>i</m:t>
                </m:r>
              </m:sub>
            </m:sSub>
            <m:r>
              <m:rPr>
                <m:sty m:val="p"/>
              </m:rPr>
              <w:rPr>
                <w:rStyle w:val="eop"/>
                <w:rFonts w:ascii="Cambria Math" w:hAnsi="Cambria Math" w:cs="Arial"/>
              </w:rPr>
              <m:t xml:space="preserve"> </m:t>
            </m:r>
            <m:r>
              <m:rPr>
                <m:sty m:val="p"/>
              </m:rPr>
              <w:rPr>
                <w:rFonts w:ascii="Cambria Math" w:hAnsi="Cambria Math" w:cs="Arial"/>
                <w:sz w:val="20"/>
                <w:szCs w:val="20"/>
                <w:vertAlign w:val="subscript"/>
              </w:rPr>
              <w:softHyphen/>
            </m:r>
          </m:den>
        </m:f>
        <m:r>
          <w:rPr>
            <w:rFonts w:ascii="Cambria Math" w:hAnsi="Cambria Math" w:cs="Arial"/>
            <w:sz w:val="20"/>
            <w:szCs w:val="20"/>
          </w:rPr>
          <m:t>]</m:t>
        </m:r>
      </m:oMath>
      <w:r w:rsidR="007747DB">
        <w:rPr>
          <w:rFonts w:ascii="Arial" w:hAnsi="Arial" w:cs="Arial" w:eastAsiaTheme="minorEastAsia"/>
          <w:sz w:val="20"/>
          <w:szCs w:val="20"/>
        </w:rPr>
        <w:t xml:space="preserve"> </w:t>
      </w:r>
    </w:p>
    <w:p w:rsidRPr="00950426" w:rsidR="006F7483" w:rsidP="00CB5F8C" w:rsidRDefault="008B55A2" w14:paraId="298941DA" w14:textId="75A9F65F">
      <w:pPr>
        <w:pStyle w:val="paragraph"/>
        <w:widowControl w:val="0"/>
        <w:spacing w:before="0" w:beforeAutospacing="0" w:after="0" w:afterAutospacing="0"/>
        <w:ind w:left="1260"/>
        <w:textAlignment w:val="baseline"/>
        <w:rPr>
          <w:rFonts w:ascii="Arial" w:hAnsi="Arial" w:cs="Arial"/>
          <w:sz w:val="20"/>
          <w:szCs w:val="20"/>
        </w:rPr>
      </w:pPr>
      <w:r>
        <w:rPr>
          <w:rStyle w:val="normaltextrun"/>
          <w:rFonts w:ascii="Arial" w:hAnsi="Arial" w:cs="Arial" w:eastAsiaTheme="majorEastAsia"/>
          <w:sz w:val="20"/>
          <w:szCs w:val="20"/>
        </w:rPr>
        <w:t>Where:</w:t>
      </w:r>
      <w:r>
        <w:rPr>
          <w:rStyle w:val="eop"/>
          <w:rFonts w:ascii="Arial" w:hAnsi="Arial" w:cs="Arial" w:eastAsiaTheme="majorEastAsia"/>
          <w:sz w:val="20"/>
          <w:szCs w:val="20"/>
        </w:rPr>
        <w:t> </w:t>
      </w:r>
    </w:p>
    <w:p w:rsidRPr="00950426" w:rsidR="006F7483" w:rsidP="00CB5F8C" w:rsidRDefault="006F7483" w14:paraId="11B00497" w14:textId="77777777">
      <w:pPr>
        <w:pStyle w:val="paragraph"/>
        <w:widowControl w:val="0"/>
        <w:tabs>
          <w:tab w:val="left" w:pos="1080"/>
        </w:tabs>
        <w:spacing w:before="0" w:beforeAutospacing="0" w:after="0" w:afterAutospacing="0"/>
        <w:ind w:left="1260"/>
        <w:textAlignment w:val="baseline"/>
        <w:rPr>
          <w:rStyle w:val="normaltextrun"/>
          <w:rFonts w:ascii="Arial" w:hAnsi="Arial" w:cs="Arial" w:eastAsiaTheme="majorEastAsia"/>
          <w:sz w:val="20"/>
          <w:szCs w:val="20"/>
        </w:rPr>
      </w:pPr>
    </w:p>
    <w:p w:rsidRPr="00950426" w:rsidR="006F7483" w:rsidP="004B0BBF" w:rsidRDefault="008B55A2" w14:paraId="28ACD7C5" w14:textId="6C3F86A5">
      <w:pPr>
        <w:pStyle w:val="paragraph"/>
        <w:widowControl w:val="0"/>
        <w:tabs>
          <w:tab w:val="left" w:pos="976"/>
        </w:tabs>
        <w:spacing w:before="0" w:beforeAutospacing="0" w:after="0" w:afterAutospacing="0"/>
        <w:ind w:left="1260"/>
        <w:jc w:val="both"/>
        <w:textAlignment w:val="baseline"/>
        <w:rPr>
          <w:rFonts w:ascii="Arial" w:hAnsi="Arial" w:cs="Arial" w:eastAsiaTheme="majorEastAsia"/>
          <w:sz w:val="20"/>
          <w:szCs w:val="20"/>
        </w:rPr>
      </w:pPr>
      <w:r>
        <w:rPr>
          <w:rStyle w:val="normaltextrun"/>
          <w:rFonts w:ascii="Arial" w:hAnsi="Arial" w:cs="Arial" w:eastAsiaTheme="majorEastAsia"/>
          <w:sz w:val="20"/>
          <w:szCs w:val="20"/>
        </w:rPr>
        <w:t xml:space="preserve">n = total number of 5-minute periods in the Month, excluding </w:t>
      </w:r>
      <w:r w:rsidR="00B0290C">
        <w:rPr>
          <w:rStyle w:val="normaltextrun"/>
          <w:rFonts w:ascii="Arial" w:hAnsi="Arial" w:cs="Arial" w:eastAsiaTheme="majorEastAsia"/>
          <w:sz w:val="20"/>
          <w:szCs w:val="20"/>
        </w:rPr>
        <w:t>those periods stated in Section 2.3.3 (</w:t>
      </w:r>
      <w:r w:rsidRPr="00B0290C" w:rsidR="00B0290C">
        <w:rPr>
          <w:rStyle w:val="normaltextrun"/>
          <w:rFonts w:ascii="Arial" w:hAnsi="Arial" w:cs="Arial" w:eastAsiaTheme="majorEastAsia"/>
          <w:i/>
          <w:iCs/>
          <w:sz w:val="20"/>
          <w:szCs w:val="20"/>
        </w:rPr>
        <w:t>Exclusions from Storage Performance Metric Achieved</w:t>
      </w:r>
      <w:r w:rsidR="00B0290C">
        <w:rPr>
          <w:rStyle w:val="normaltextrun"/>
          <w:rFonts w:ascii="Arial" w:hAnsi="Arial" w:cs="Arial" w:eastAsiaTheme="majorEastAsia"/>
          <w:sz w:val="20"/>
          <w:szCs w:val="20"/>
        </w:rPr>
        <w:t>)</w:t>
      </w:r>
      <w:r>
        <w:rPr>
          <w:rStyle w:val="normaltextrun"/>
          <w:rFonts w:ascii="Arial" w:hAnsi="Arial" w:cs="Arial" w:eastAsiaTheme="majorEastAsia"/>
          <w:sz w:val="20"/>
          <w:szCs w:val="20"/>
        </w:rPr>
        <w:t>;</w:t>
      </w:r>
      <w:r>
        <w:rPr>
          <w:rStyle w:val="eop"/>
          <w:rFonts w:ascii="Arial" w:hAnsi="Arial" w:cs="Arial" w:eastAsiaTheme="majorEastAsia"/>
          <w:sz w:val="20"/>
          <w:szCs w:val="20"/>
        </w:rPr>
        <w:t> </w:t>
      </w:r>
    </w:p>
    <w:p w:rsidRPr="00950426" w:rsidR="006F7483" w:rsidP="00CB5F8C" w:rsidRDefault="006F7483" w14:paraId="09DE5BEA" w14:textId="77777777">
      <w:pPr>
        <w:pStyle w:val="paragraph"/>
        <w:widowControl w:val="0"/>
        <w:tabs>
          <w:tab w:val="left" w:pos="720"/>
        </w:tabs>
        <w:spacing w:before="0" w:beforeAutospacing="0" w:after="0" w:afterAutospacing="0"/>
        <w:ind w:left="1260"/>
        <w:jc w:val="both"/>
        <w:textAlignment w:val="baseline"/>
        <w:rPr>
          <w:rStyle w:val="normaltextrun"/>
          <w:rFonts w:ascii="Arial" w:hAnsi="Arial" w:cs="Arial" w:eastAsiaTheme="majorEastAsia"/>
          <w:sz w:val="20"/>
          <w:szCs w:val="20"/>
        </w:rPr>
      </w:pPr>
    </w:p>
    <w:p w:rsidRPr="00950426" w:rsidR="006F7483" w:rsidP="004B0BBF" w:rsidRDefault="008B55A2" w14:paraId="3278CE17" w14:textId="5C1D545C">
      <w:pPr>
        <w:pStyle w:val="paragraph"/>
        <w:widowControl w:val="0"/>
        <w:tabs>
          <w:tab w:val="left" w:pos="912"/>
        </w:tabs>
        <w:spacing w:before="0" w:beforeAutospacing="0" w:after="0" w:afterAutospacing="0"/>
        <w:ind w:left="1260"/>
        <w:jc w:val="both"/>
        <w:textAlignment w:val="baseline"/>
        <w:rPr>
          <w:rStyle w:val="eop"/>
          <w:rFonts w:ascii="Arial" w:hAnsi="Arial" w:cs="Arial" w:eastAsiaTheme="majorEastAsia"/>
          <w:sz w:val="20"/>
          <w:szCs w:val="20"/>
        </w:rPr>
      </w:pPr>
      <w:r>
        <w:rPr>
          <w:rStyle w:val="normaltextrun"/>
          <w:rFonts w:ascii="Arial" w:hAnsi="Arial" w:cs="Arial" w:eastAsiaTheme="majorEastAsia"/>
          <w:sz w:val="20"/>
          <w:szCs w:val="20"/>
        </w:rPr>
        <w:t>i = each 5-minute period in the Month, excluding</w:t>
      </w:r>
      <w:r w:rsidR="00E72611">
        <w:rPr>
          <w:rStyle w:val="normaltextrun"/>
          <w:rFonts w:ascii="Arial" w:hAnsi="Arial" w:cs="Arial" w:eastAsiaTheme="majorEastAsia"/>
          <w:sz w:val="20"/>
          <w:szCs w:val="20"/>
        </w:rPr>
        <w:t xml:space="preserve"> those</w:t>
      </w:r>
      <w:r w:rsidRPr="00E72611" w:rsidR="00E72611">
        <w:rPr>
          <w:rStyle w:val="normaltextrun"/>
          <w:rFonts w:ascii="Arial" w:hAnsi="Arial" w:cs="Arial" w:eastAsiaTheme="majorEastAsia"/>
          <w:sz w:val="20"/>
          <w:szCs w:val="20"/>
        </w:rPr>
        <w:t xml:space="preserve"> </w:t>
      </w:r>
      <w:r w:rsidR="00E72611">
        <w:rPr>
          <w:rStyle w:val="normaltextrun"/>
          <w:rFonts w:ascii="Arial" w:hAnsi="Arial" w:cs="Arial" w:eastAsiaTheme="majorEastAsia"/>
          <w:sz w:val="20"/>
          <w:szCs w:val="20"/>
        </w:rPr>
        <w:t>periods stated in Section 2.3.3 (</w:t>
      </w:r>
      <w:r w:rsidRPr="00B0290C" w:rsidR="00E72611">
        <w:rPr>
          <w:rStyle w:val="normaltextrun"/>
          <w:rFonts w:ascii="Arial" w:hAnsi="Arial" w:cs="Arial" w:eastAsiaTheme="majorEastAsia"/>
          <w:i/>
          <w:iCs/>
          <w:sz w:val="20"/>
          <w:szCs w:val="20"/>
        </w:rPr>
        <w:t>Exclusions from Storage Performance Metric Achieved</w:t>
      </w:r>
      <w:r w:rsidR="00E72611">
        <w:rPr>
          <w:rStyle w:val="normaltextrun"/>
          <w:rFonts w:ascii="Arial" w:hAnsi="Arial" w:cs="Arial" w:eastAsiaTheme="majorEastAsia"/>
          <w:sz w:val="20"/>
          <w:szCs w:val="20"/>
        </w:rPr>
        <w:t>)</w:t>
      </w:r>
      <w:r>
        <w:rPr>
          <w:rStyle w:val="normaltextrun"/>
          <w:rFonts w:ascii="Arial" w:hAnsi="Arial" w:cs="Arial" w:eastAsiaTheme="majorEastAsia"/>
          <w:sz w:val="20"/>
          <w:szCs w:val="20"/>
        </w:rPr>
        <w:t xml:space="preserve">; </w:t>
      </w:r>
    </w:p>
    <w:p w:rsidRPr="00950426" w:rsidR="006F7483" w:rsidP="00CB5F8C" w:rsidRDefault="006F7483" w14:paraId="5F871707" w14:textId="77777777">
      <w:pPr>
        <w:pStyle w:val="paragraph"/>
        <w:widowControl w:val="0"/>
        <w:tabs>
          <w:tab w:val="left" w:pos="720"/>
        </w:tabs>
        <w:spacing w:before="0" w:beforeAutospacing="0" w:after="0" w:afterAutospacing="0"/>
        <w:ind w:left="1260"/>
        <w:jc w:val="both"/>
        <w:textAlignment w:val="baseline"/>
        <w:rPr>
          <w:rStyle w:val="eop"/>
          <w:rFonts w:ascii="Arial" w:hAnsi="Arial" w:cs="Arial" w:eastAsiaTheme="majorEastAsia"/>
          <w:sz w:val="20"/>
          <w:szCs w:val="20"/>
        </w:rPr>
      </w:pPr>
    </w:p>
    <w:p w:rsidRPr="00950426" w:rsidR="006F7483" w:rsidP="004B0BBF" w:rsidRDefault="008B55A2" w14:paraId="5C8B5D1B" w14:textId="0DD5A9AE">
      <w:pPr>
        <w:pStyle w:val="paragraph"/>
        <w:widowControl w:val="0"/>
        <w:tabs>
          <w:tab w:val="left" w:pos="1040"/>
        </w:tabs>
        <w:spacing w:before="0" w:beforeAutospacing="0" w:after="0" w:afterAutospacing="0"/>
        <w:ind w:left="1260"/>
        <w:jc w:val="both"/>
        <w:textAlignment w:val="baseline"/>
        <w:rPr>
          <w:rStyle w:val="normaltextrun"/>
          <w:rFonts w:ascii="Arial" w:hAnsi="Arial" w:cs="Arial" w:eastAsiaTheme="majorEastAsia"/>
          <w:sz w:val="20"/>
          <w:szCs w:val="20"/>
        </w:rPr>
      </w:pPr>
      <w:r>
        <w:rPr>
          <w:rStyle w:val="eop"/>
          <w:rFonts w:ascii="Arial" w:hAnsi="Arial" w:cs="Arial" w:eastAsiaTheme="majorEastAsia"/>
          <w:sz w:val="20"/>
          <w:szCs w:val="20"/>
          <w:u w:val="single"/>
        </w:rPr>
        <w:lastRenderedPageBreak/>
        <w:t>5-Minute Average Charge/Discharge Rate Limit (MW)</w:t>
      </w:r>
      <w:r>
        <w:rPr>
          <w:rStyle w:val="eop"/>
          <w:rFonts w:ascii="Arial" w:hAnsi="Arial" w:cs="Arial" w:eastAsiaTheme="majorEastAsia"/>
          <w:sz w:val="20"/>
          <w:szCs w:val="20"/>
        </w:rPr>
        <w:t xml:space="preserve"> = the </w:t>
      </w:r>
      <w:r>
        <w:rPr>
          <w:rFonts w:ascii="Arial" w:hAnsi="Arial" w:cs="Arial"/>
          <w:sz w:val="20"/>
          <w:szCs w:val="20"/>
        </w:rPr>
        <w:t>lower of: (i) the average rate at which the BESS can be charged (MW) each 5-minute period (capped at the Maximum Rate of</w:t>
      </w:r>
      <w:r w:rsidRPr="004B0BBF">
        <w:rPr>
          <w:rFonts w:ascii="Arial" w:hAnsi="Arial"/>
          <w:sz w:val="20"/>
        </w:rPr>
        <w:t xml:space="preserve"> Charge</w:t>
      </w:r>
      <w:r>
        <w:rPr>
          <w:rFonts w:ascii="Arial" w:hAnsi="Arial" w:cs="Arial"/>
          <w:sz w:val="20"/>
          <w:szCs w:val="20"/>
        </w:rPr>
        <w:t xml:space="preserve">); or (ii) the average rate at which the BESS can be discharged (MW) each 5-minute period (capped at the SDDC). </w:t>
      </w:r>
      <w:bookmarkStart w:name="_cp_change_1432" w:id="1460"/>
      <w:r w:rsidRPr="003C330F" w:rsidR="003C330F">
        <w:rPr>
          <w:rFonts w:ascii="Arial" w:hAnsi="Arial" w:cs="Arial" w:eastAsiaTheme="majorEastAsia"/>
          <w:bCs/>
          <w:sz w:val="20"/>
          <w:szCs w:val="20"/>
        </w:rPr>
        <w:t>In five minute periods in which the BESS is fully charged and therefore cannot be charged further, the charge capability will be excluded from the 5-minute Average Charge/</w:t>
      </w:r>
      <w:r w:rsidRPr="004B0BBF" w:rsidR="003C330F">
        <w:rPr>
          <w:rFonts w:ascii="Arial" w:hAnsi="Arial" w:eastAsiaTheme="majorEastAsia"/>
          <w:sz w:val="20"/>
        </w:rPr>
        <w:t xml:space="preserve">Discharge Rate </w:t>
      </w:r>
      <w:r w:rsidRPr="003C330F" w:rsidR="003C330F">
        <w:rPr>
          <w:rFonts w:ascii="Arial" w:hAnsi="Arial" w:cs="Arial" w:eastAsiaTheme="majorEastAsia"/>
          <w:bCs/>
          <w:sz w:val="20"/>
          <w:szCs w:val="20"/>
        </w:rPr>
        <w:t xml:space="preserve">metric calculation. In five minute periods in which the BESS is fully discharged and therefore cannot be discharged further, discharge rate will be excluded from the 5-Minute Average Charge/Discharge Rate metric. </w:t>
      </w:r>
      <w:bookmarkEnd w:id="1460"/>
      <w:r>
        <w:rPr>
          <w:rFonts w:ascii="Arial" w:hAnsi="Arial" w:cs="Arial"/>
          <w:sz w:val="20"/>
          <w:szCs w:val="20"/>
        </w:rPr>
        <w:t>For both numbers, any rate reduction or limit will either be reported by Seller or determined by GPC from Seller’s non-compliance with AGC Setpoint signal d</w:t>
      </w:r>
      <w:r>
        <w:rPr>
          <w:rStyle w:val="normaltextrun"/>
          <w:rFonts w:ascii="Arial" w:hAnsi="Arial" w:cs="Arial" w:eastAsiaTheme="majorEastAsia"/>
          <w:sz w:val="20"/>
          <w:szCs w:val="20"/>
        </w:rPr>
        <w:t>etermination criteria (as detailed in the Operating Procedures).; and</w:t>
      </w:r>
    </w:p>
    <w:p w:rsidRPr="00950426" w:rsidR="006F7483" w:rsidP="00CB5F8C" w:rsidRDefault="006F7483" w14:paraId="697FAE6C" w14:textId="77777777">
      <w:pPr>
        <w:pStyle w:val="paragraph"/>
        <w:widowControl w:val="0"/>
        <w:tabs>
          <w:tab w:val="left" w:pos="720"/>
        </w:tabs>
        <w:spacing w:before="0" w:beforeAutospacing="0" w:after="0" w:afterAutospacing="0"/>
        <w:ind w:left="1260"/>
        <w:jc w:val="both"/>
        <w:textAlignment w:val="baseline"/>
        <w:rPr>
          <w:rFonts w:ascii="Arial" w:hAnsi="Arial" w:cs="Arial"/>
          <w:sz w:val="20"/>
          <w:szCs w:val="20"/>
        </w:rPr>
      </w:pPr>
    </w:p>
    <w:p w:rsidRPr="00950426" w:rsidR="006F7483" w:rsidP="004B0BBF" w:rsidRDefault="008B55A2" w14:paraId="6253485D" w14:textId="58A62C0C">
      <w:pPr>
        <w:widowControl w:val="0"/>
        <w:tabs>
          <w:tab w:val="left" w:pos="1040"/>
        </w:tabs>
        <w:spacing w:after="160" w:line="259" w:lineRule="auto"/>
        <w:ind w:left="1260"/>
        <w:jc w:val="both"/>
        <w:rPr>
          <w:rFonts w:ascii="Arial" w:hAnsi="Arial" w:cs="Arial"/>
          <w:sz w:val="20"/>
          <w:szCs w:val="20"/>
        </w:rPr>
      </w:pPr>
      <w:r>
        <w:rPr>
          <w:rStyle w:val="eop"/>
          <w:rFonts w:ascii="Arial" w:hAnsi="Arial" w:cs="Arial"/>
          <w:sz w:val="20"/>
          <w:szCs w:val="20"/>
          <w:u w:val="single"/>
        </w:rPr>
        <w:t>Maximum Rate of Charge or Discharge (MW)</w:t>
      </w:r>
      <w:r>
        <w:rPr>
          <w:rStyle w:val="eop"/>
          <w:rFonts w:ascii="Arial" w:hAnsi="Arial" w:cs="Arial"/>
          <w:sz w:val="20"/>
          <w:szCs w:val="20"/>
        </w:rPr>
        <w:t xml:space="preserve"> = The </w:t>
      </w:r>
      <w:r>
        <w:rPr>
          <w:rFonts w:ascii="Arial" w:hAnsi="Arial" w:cs="Arial"/>
          <w:sz w:val="20"/>
          <w:szCs w:val="20"/>
        </w:rPr>
        <w:t xml:space="preserve">guaranteed </w:t>
      </w:r>
      <w:r w:rsidR="002D06F4">
        <w:rPr>
          <w:rFonts w:ascii="Arial" w:hAnsi="Arial" w:cs="Arial"/>
          <w:sz w:val="20"/>
          <w:szCs w:val="20"/>
        </w:rPr>
        <w:t xml:space="preserve">continuous </w:t>
      </w:r>
      <w:r>
        <w:rPr>
          <w:rFonts w:ascii="Arial" w:hAnsi="Arial" w:cs="Arial"/>
          <w:sz w:val="20"/>
          <w:szCs w:val="20"/>
        </w:rPr>
        <w:t>rate at which the BESS can be charged or discharged</w:t>
      </w:r>
      <w:r w:rsidRPr="004B0BBF">
        <w:rPr>
          <w:rStyle w:val="normaltextrun"/>
        </w:rPr>
        <w:t xml:space="preserve">, </w:t>
      </w:r>
      <w:r>
        <w:rPr>
          <w:rStyle w:val="normaltextrun"/>
          <w:rFonts w:ascii="Arial" w:hAnsi="Arial" w:cs="Arial" w:eastAsiaTheme="majorEastAsia"/>
          <w:sz w:val="20"/>
          <w:szCs w:val="20"/>
        </w:rPr>
        <w:t>as specified in Table A-3 (</w:t>
      </w:r>
      <w:r>
        <w:rPr>
          <w:rStyle w:val="normaltextrun"/>
          <w:rFonts w:ascii="Arial" w:hAnsi="Arial" w:cs="Arial" w:eastAsiaTheme="majorEastAsia"/>
          <w:i/>
          <w:iCs/>
          <w:sz w:val="20"/>
          <w:szCs w:val="20"/>
        </w:rPr>
        <w:t>Additional Facility and Operating Information</w:t>
      </w:r>
      <w:r>
        <w:rPr>
          <w:rStyle w:val="normaltextrun"/>
          <w:rFonts w:ascii="Arial" w:hAnsi="Arial" w:cs="Arial" w:eastAsiaTheme="majorEastAsia"/>
          <w:sz w:val="20"/>
          <w:szCs w:val="20"/>
        </w:rPr>
        <w:t>) of Exhibit A (</w:t>
      </w:r>
      <w:r>
        <w:rPr>
          <w:rStyle w:val="normaltextrun"/>
          <w:rFonts w:ascii="Arial" w:hAnsi="Arial" w:cs="Arial" w:eastAsiaTheme="majorEastAsia"/>
          <w:i/>
          <w:iCs/>
          <w:sz w:val="20"/>
          <w:szCs w:val="20"/>
        </w:rPr>
        <w:t>Facility Description and Additional Details</w:t>
      </w:r>
      <w:r>
        <w:rPr>
          <w:rStyle w:val="normaltextrun"/>
          <w:rFonts w:ascii="Arial" w:hAnsi="Arial" w:cs="Arial" w:eastAsiaTheme="majorEastAsia"/>
          <w:sz w:val="20"/>
          <w:szCs w:val="20"/>
        </w:rPr>
        <w:t>)</w:t>
      </w:r>
      <w:r>
        <w:rPr>
          <w:rFonts w:ascii="Arial" w:hAnsi="Arial" w:cs="Arial"/>
          <w:sz w:val="20"/>
          <w:szCs w:val="20"/>
        </w:rPr>
        <w:t xml:space="preserve">. For this calculation, GPC will use either the Maximum Rate of Charge or the SDDC, whichever corresponds to the charge or discharge rate selected in the numerator above. </w:t>
      </w:r>
    </w:p>
    <w:p w:rsidR="006F7483" w:rsidP="0040652A" w:rsidRDefault="008B55A2" w14:paraId="300BFD8A" w14:textId="3AB43C8B">
      <w:pPr>
        <w:pStyle w:val="ListParagraph"/>
        <w:widowControl w:val="0"/>
        <w:spacing w:after="120"/>
        <w:ind w:left="1260"/>
        <w:jc w:val="both"/>
        <w:textAlignment w:val="baseline"/>
        <w:rPr>
          <w:rFonts w:ascii="Arial" w:hAnsi="Arial" w:eastAsia="Times New Roman" w:cs="Arial"/>
          <w:sz w:val="20"/>
          <w:szCs w:val="20"/>
        </w:rPr>
      </w:pPr>
      <w:r>
        <w:rPr>
          <w:rFonts w:ascii="Arial" w:hAnsi="Arial" w:eastAsia="Times New Roman" w:cs="Arial"/>
          <w:sz w:val="20"/>
          <w:szCs w:val="20"/>
        </w:rPr>
        <w:t>The Charge/Discharge Rate Performance Metric for a Month will not exceed 1.0. Seller must provide GPC real-time access to telemetry data, as described in Exhibit G (</w:t>
      </w:r>
      <w:r>
        <w:rPr>
          <w:rFonts w:ascii="Arial" w:hAnsi="Arial" w:eastAsia="Times New Roman" w:cs="Arial"/>
          <w:i/>
          <w:sz w:val="20"/>
          <w:szCs w:val="20"/>
        </w:rPr>
        <w:t>AGC and Facility Minimum Data Requirements</w:t>
      </w:r>
      <w:r>
        <w:rPr>
          <w:rFonts w:ascii="Arial" w:hAnsi="Arial" w:eastAsia="Times New Roman" w:cs="Arial"/>
          <w:sz w:val="20"/>
          <w:szCs w:val="20"/>
        </w:rPr>
        <w:t>), from Seller’s control system to facilitate GPC’s determination of these metrics. The Operating Procedures, as described in Section 10.1.2 (</w:t>
      </w:r>
      <w:r>
        <w:rPr>
          <w:rFonts w:ascii="Arial" w:hAnsi="Arial" w:eastAsia="Times New Roman" w:cs="Arial"/>
          <w:i/>
          <w:iCs/>
          <w:sz w:val="20"/>
          <w:szCs w:val="20"/>
        </w:rPr>
        <w:t>Written Operating Procedures</w:t>
      </w:r>
      <w:r>
        <w:rPr>
          <w:rFonts w:ascii="Arial" w:hAnsi="Arial" w:eastAsia="Times New Roman" w:cs="Arial"/>
          <w:sz w:val="20"/>
          <w:szCs w:val="20"/>
        </w:rPr>
        <w:t xml:space="preserve">) will include specific details for these calculations. </w:t>
      </w:r>
    </w:p>
    <w:p w:rsidR="00E95661" w:rsidP="000907B6" w:rsidRDefault="00E95661" w14:paraId="67567867" w14:textId="51ABCDA2">
      <w:pPr>
        <w:pStyle w:val="zGBody2"/>
        <w:numPr>
          <w:ilvl w:val="2"/>
          <w:numId w:val="26"/>
        </w:numPr>
        <w:spacing w:before="120"/>
      </w:pPr>
      <w:bookmarkStart w:name="_Toc217304666" w:id="1461"/>
      <w:bookmarkStart w:name="_Toc227451665" w:id="1462"/>
      <w:r>
        <w:rPr>
          <w:u w:val="single"/>
        </w:rPr>
        <w:t xml:space="preserve">Exclusions from Storage Performance Metric Achieved Calculations. </w:t>
      </w:r>
      <w:r>
        <w:rPr>
          <w:rFonts w:ascii="Arial" w:hAnsi="Arial"/>
          <w:b w:val="0"/>
          <w:bCs/>
        </w:rPr>
        <w:t xml:space="preserve">For purposes of calculating the Storage Performance Metric Achieved, GPC will exclude from its calculations any period: (i) the BESS is Unavailable to the extent due to a Scheduled Outage, Maintenance Outage, FME, or GPC’s material breach of this PPA; and (ii) </w:t>
      </w:r>
      <w:r w:rsidRPr="00ED7184">
        <w:rPr>
          <w:rFonts w:ascii="Arial" w:hAnsi="Arial"/>
          <w:b w:val="0"/>
          <w:bCs/>
        </w:rPr>
        <w:t xml:space="preserve">during which </w:t>
      </w:r>
      <w:r w:rsidR="00141355">
        <w:rPr>
          <w:rFonts w:ascii="Arial" w:hAnsi="Arial"/>
          <w:b w:val="0"/>
          <w:bCs/>
        </w:rPr>
        <w:t xml:space="preserve">(a) </w:t>
      </w:r>
      <w:r w:rsidRPr="00ED7184">
        <w:rPr>
          <w:rFonts w:ascii="Arial" w:hAnsi="Arial"/>
          <w:b w:val="0"/>
          <w:bCs/>
        </w:rPr>
        <w:t xml:space="preserve">GPC did not issue a statistically significant number of AGC signals </w:t>
      </w:r>
      <w:r>
        <w:rPr>
          <w:rFonts w:ascii="Arial" w:hAnsi="Arial"/>
          <w:b w:val="0"/>
          <w:bCs/>
        </w:rPr>
        <w:t xml:space="preserve">or dispatch instructions </w:t>
      </w:r>
      <w:r w:rsidRPr="00ED7184">
        <w:rPr>
          <w:rFonts w:ascii="Arial" w:hAnsi="Arial"/>
          <w:b w:val="0"/>
          <w:bCs/>
        </w:rPr>
        <w:t>(i.e., sufficient AGC signals</w:t>
      </w:r>
      <w:r>
        <w:rPr>
          <w:rFonts w:ascii="Arial" w:hAnsi="Arial"/>
          <w:b w:val="0"/>
          <w:bCs/>
        </w:rPr>
        <w:t xml:space="preserve"> or dispatch instructions</w:t>
      </w:r>
      <w:r w:rsidRPr="00ED7184">
        <w:rPr>
          <w:rFonts w:ascii="Arial" w:hAnsi="Arial"/>
          <w:b w:val="0"/>
          <w:bCs/>
        </w:rPr>
        <w:t xml:space="preserve"> for GPC to fairly and reliably evaluate BESS performance)</w:t>
      </w:r>
      <w:r w:rsidR="0098458F">
        <w:rPr>
          <w:rFonts w:ascii="Arial" w:hAnsi="Arial"/>
          <w:b w:val="0"/>
          <w:bCs/>
        </w:rPr>
        <w:t>, as determined in accordance with the Operating Procedures, but (b) only</w:t>
      </w:r>
      <w:r w:rsidRPr="00ED7184">
        <w:rPr>
          <w:rFonts w:ascii="Arial" w:hAnsi="Arial"/>
          <w:b w:val="0"/>
          <w:bCs/>
        </w:rPr>
        <w:t xml:space="preserve"> to the extent the lack of </w:t>
      </w:r>
      <w:r>
        <w:rPr>
          <w:rFonts w:ascii="Arial" w:hAnsi="Arial"/>
          <w:b w:val="0"/>
          <w:bCs/>
        </w:rPr>
        <w:t>dispatch</w:t>
      </w:r>
      <w:r w:rsidRPr="00ED7184">
        <w:rPr>
          <w:rFonts w:ascii="Arial" w:hAnsi="Arial"/>
          <w:b w:val="0"/>
          <w:bCs/>
        </w:rPr>
        <w:t xml:space="preserve"> prevents GPC from performing a meaningful assessment of BESS performance, </w:t>
      </w:r>
      <w:r>
        <w:rPr>
          <w:rFonts w:ascii="Arial" w:hAnsi="Arial"/>
          <w:b w:val="0"/>
          <w:bCs/>
        </w:rPr>
        <w:t xml:space="preserve">in each case </w:t>
      </w:r>
      <w:r w:rsidRPr="00ED7184">
        <w:rPr>
          <w:rFonts w:ascii="Arial" w:hAnsi="Arial"/>
          <w:b w:val="0"/>
          <w:bCs/>
        </w:rPr>
        <w:t xml:space="preserve">as determined in GPC’s sole, but reasonable, </w:t>
      </w:r>
      <w:bookmarkEnd w:id="1461"/>
      <w:r>
        <w:rPr>
          <w:rFonts w:ascii="Arial" w:hAnsi="Arial"/>
          <w:b w:val="0"/>
          <w:bCs/>
        </w:rPr>
        <w:t>discretion.</w:t>
      </w:r>
      <w:bookmarkEnd w:id="1462"/>
    </w:p>
    <w:p w:rsidR="005C3F98" w:rsidP="00E95661" w:rsidRDefault="005C3F98" w14:paraId="2E1B2E8F" w14:textId="77777777">
      <w:pPr>
        <w:pStyle w:val="zGBody3"/>
        <w:spacing w:after="120"/>
        <w:ind w:left="1152"/>
        <w:rPr>
          <w:rFonts w:eastAsia="Times New Roman"/>
        </w:rPr>
      </w:pPr>
    </w:p>
    <w:p w:rsidR="00E24A9E" w:rsidP="000907B6" w:rsidRDefault="008B55A2" w14:paraId="570A643C" w14:textId="48A5968F">
      <w:pPr>
        <w:pStyle w:val="zGBody2"/>
        <w:numPr>
          <w:ilvl w:val="1"/>
          <w:numId w:val="26"/>
        </w:numPr>
        <w:spacing w:before="120"/>
      </w:pPr>
      <w:bookmarkStart w:name="_Toc206673905" w:id="1463"/>
      <w:bookmarkStart w:name="_Toc227451666" w:id="1464"/>
      <w:r>
        <w:t>Annual RTE Test; Monthly RTE True-Up</w:t>
      </w:r>
      <w:bookmarkEnd w:id="1463"/>
      <w:bookmarkEnd w:id="1464"/>
      <w:r w:rsidR="00B13434">
        <w:t>; RTE Calculation Guidance</w:t>
      </w:r>
    </w:p>
    <w:p w:rsidRPr="00290174" w:rsidR="00F72C7C" w:rsidP="000907B6" w:rsidRDefault="008B55A2" w14:paraId="44B4281D" w14:textId="3BC20AED">
      <w:pPr>
        <w:pStyle w:val="zGBody3"/>
        <w:numPr>
          <w:ilvl w:val="2"/>
          <w:numId w:val="26"/>
        </w:numPr>
      </w:pPr>
      <w:r>
        <w:rPr>
          <w:b/>
          <w:bCs/>
        </w:rPr>
        <w:t>Annual RTE Performance Test</w:t>
      </w:r>
      <w:r>
        <w:t>. After Commercial Operation and no more than once every Annual Period, Seller must conduct, in coordination with GPC, a Performance Test to demonstrate RTE of the BESS (“</w:t>
      </w:r>
      <w:r>
        <w:rPr>
          <w:b/>
          <w:bCs/>
        </w:rPr>
        <w:t>Annual RTE Test</w:t>
      </w:r>
      <w:r>
        <w:t xml:space="preserve">”). The Annual RTE Test must: (i) be conducted in accordance with BESS manufacturer specifications and </w:t>
      </w:r>
      <w:r w:rsidR="00DE016D">
        <w:t>P</w:t>
      </w:r>
      <w:r>
        <w:t xml:space="preserve">rudent </w:t>
      </w:r>
      <w:r w:rsidR="00DE016D">
        <w:t>I</w:t>
      </w:r>
      <w:r>
        <w:t xml:space="preserve">ndustry </w:t>
      </w:r>
      <w:r w:rsidR="00DE016D">
        <w:t>P</w:t>
      </w:r>
      <w:r>
        <w:t>ractices; and (ii) accurately measure the actual RTE of the BESS from 0% State of Charge to SDOE and back to 0% State of Charge while operating at the guaranteed parameters stated as Performance Guarantees in Table A-3 (</w:t>
      </w:r>
      <w:r>
        <w:rPr>
          <w:i/>
          <w:iCs/>
        </w:rPr>
        <w:t>Additional Facility and Operating Information</w:t>
      </w:r>
      <w:r>
        <w:t>) of Exhibit A (</w:t>
      </w:r>
      <w:r>
        <w:rPr>
          <w:i/>
          <w:iCs/>
        </w:rPr>
        <w:t>Facility Description and Additional Details</w:t>
      </w:r>
      <w:r>
        <w:t>).</w:t>
      </w:r>
    </w:p>
    <w:p w:rsidR="00290174" w:rsidP="00CA1FF0" w:rsidRDefault="008B55A2" w14:paraId="4E73C3F7" w14:textId="73EFFCDC">
      <w:pPr>
        <w:pStyle w:val="zGBody2"/>
        <w:ind w:left="1152"/>
        <w:rPr>
          <w:rFonts w:ascii="Arial" w:hAnsi="Arial"/>
          <w:b w:val="0"/>
          <w:bCs/>
        </w:rPr>
      </w:pPr>
      <w:bookmarkStart w:name="_Toc206673906" w:id="1465"/>
      <w:bookmarkStart w:name="_Toc227451667" w:id="1466"/>
      <w:r>
        <w:rPr>
          <w:rFonts w:ascii="Arial" w:hAnsi="Arial"/>
          <w:b w:val="0"/>
          <w:bCs/>
        </w:rPr>
        <w:t>Where applicable, the Annual RTE Test may allow for adjustments due to ambient temperature in accordance with BESS manufacturer specifications.</w:t>
      </w:r>
      <w:r w:rsidRPr="004B0BBF">
        <w:rPr>
          <w:rFonts w:ascii="Arial" w:hAnsi="Arial"/>
          <w:b w:val="0"/>
        </w:rPr>
        <w:t xml:space="preserve"> GPC will </w:t>
      </w:r>
      <w:r>
        <w:rPr>
          <w:rFonts w:ascii="Arial" w:hAnsi="Arial"/>
          <w:b w:val="0"/>
          <w:bCs/>
        </w:rPr>
        <w:t xml:space="preserve">have final discretion over the timing of the test charge and discharge, testing procedures, execution of the Performance Test, and any adjustment applied to </w:t>
      </w:r>
      <w:r w:rsidRPr="004B0BBF">
        <w:rPr>
          <w:rFonts w:ascii="Arial" w:hAnsi="Arial"/>
          <w:b w:val="0"/>
        </w:rPr>
        <w:t xml:space="preserve">determine the </w:t>
      </w:r>
      <w:r>
        <w:rPr>
          <w:rFonts w:ascii="Arial" w:hAnsi="Arial"/>
          <w:b w:val="0"/>
          <w:bCs/>
        </w:rPr>
        <w:t>final test result. Upon confirmation by GPC, the Annual RTE Test result will be deemed the “</w:t>
      </w:r>
      <w:r>
        <w:rPr>
          <w:rFonts w:ascii="Arial" w:hAnsi="Arial"/>
        </w:rPr>
        <w:t>Annual RTE</w:t>
      </w:r>
      <w:r>
        <w:rPr>
          <w:rFonts w:ascii="Arial" w:hAnsi="Arial"/>
          <w:b w:val="0"/>
          <w:bCs/>
        </w:rPr>
        <w:t xml:space="preserve">” for the subsequent Annual </w:t>
      </w:r>
      <w:r>
        <w:rPr>
          <w:rFonts w:ascii="Arial" w:hAnsi="Arial"/>
          <w:b w:val="0"/>
          <w:bCs/>
        </w:rPr>
        <w:lastRenderedPageBreak/>
        <w:t>Period. For purposes of the first Annual Period, the Annual RTE will be the RTE established during pre-COD Performance Testing.</w:t>
      </w:r>
      <w:bookmarkEnd w:id="1465"/>
      <w:bookmarkEnd w:id="1466"/>
    </w:p>
    <w:p w:rsidR="001D6974" w:rsidP="00CA1FF0" w:rsidRDefault="008B55A2" w14:paraId="4A31B5FE" w14:textId="77777777">
      <w:pPr>
        <w:pStyle w:val="zGBody2"/>
        <w:ind w:left="1152"/>
        <w:rPr>
          <w:rFonts w:ascii="Arial" w:hAnsi="Arial"/>
          <w:b w:val="0"/>
          <w:bCs/>
        </w:rPr>
      </w:pPr>
      <w:bookmarkStart w:name="_Toc206673907" w:id="1467"/>
      <w:bookmarkStart w:name="_Toc227451668" w:id="1468"/>
      <w:r>
        <w:rPr>
          <w:rFonts w:ascii="Arial" w:hAnsi="Arial"/>
          <w:b w:val="0"/>
          <w:bCs/>
        </w:rPr>
        <w:t>The Parties will coordinate Annual RTE Test timing to cause the least reasonable disruption to GPC’s operation of the BESS.</w:t>
      </w:r>
      <w:bookmarkEnd w:id="1467"/>
      <w:bookmarkEnd w:id="1468"/>
      <w:r>
        <w:rPr>
          <w:rFonts w:ascii="Arial" w:hAnsi="Arial"/>
          <w:b w:val="0"/>
          <w:bCs/>
        </w:rPr>
        <w:t xml:space="preserve"> </w:t>
      </w:r>
    </w:p>
    <w:p w:rsidRPr="00090478" w:rsidR="00090478" w:rsidP="00CA1FF0" w:rsidRDefault="008B55A2" w14:paraId="701FB440" w14:textId="22970F6C">
      <w:pPr>
        <w:pStyle w:val="zGBody2"/>
        <w:ind w:left="1152"/>
        <w:rPr>
          <w:rFonts w:ascii="Arial" w:hAnsi="Arial"/>
          <w:b w:val="0"/>
          <w:bCs/>
        </w:rPr>
      </w:pPr>
      <w:bookmarkStart w:name="_Toc206673908" w:id="1469"/>
      <w:bookmarkStart w:name="_Toc227451669" w:id="1470"/>
      <w:r>
        <w:rPr>
          <w:rFonts w:ascii="Arial" w:hAnsi="Arial"/>
          <w:b w:val="0"/>
          <w:bCs/>
        </w:rPr>
        <w:t xml:space="preserve">If the Annual RTE is less than the Guaranteed RTE – 0.01, Seller may choose to perform up to </w:t>
      </w:r>
      <w:r w:rsidR="005E7D6E">
        <w:rPr>
          <w:rFonts w:ascii="Arial" w:hAnsi="Arial"/>
          <w:b w:val="0"/>
          <w:bCs/>
        </w:rPr>
        <w:t xml:space="preserve">one </w:t>
      </w:r>
      <w:r>
        <w:rPr>
          <w:rFonts w:ascii="Arial" w:hAnsi="Arial"/>
          <w:b w:val="0"/>
          <w:bCs/>
        </w:rPr>
        <w:t xml:space="preserve">additional supplemental Annual RTE Test </w:t>
      </w:r>
      <w:r w:rsidR="005E7D6E">
        <w:rPr>
          <w:rFonts w:ascii="Arial" w:hAnsi="Arial"/>
          <w:b w:val="0"/>
          <w:bCs/>
        </w:rPr>
        <w:t xml:space="preserve">per Month </w:t>
      </w:r>
      <w:r>
        <w:rPr>
          <w:rFonts w:ascii="Arial" w:hAnsi="Arial"/>
          <w:b w:val="0"/>
          <w:bCs/>
        </w:rPr>
        <w:t>during the next 12-</w:t>
      </w:r>
      <w:r w:rsidR="005E7D6E">
        <w:rPr>
          <w:rFonts w:ascii="Arial" w:hAnsi="Arial"/>
          <w:b w:val="0"/>
          <w:bCs/>
        </w:rPr>
        <w:t>M</w:t>
      </w:r>
      <w:r>
        <w:rPr>
          <w:rFonts w:ascii="Arial" w:hAnsi="Arial"/>
          <w:b w:val="0"/>
          <w:bCs/>
        </w:rPr>
        <w:t xml:space="preserve">onth period to try to achieve a better test result. If a supplemental Annual RTE Test achieves a better result than the most recent Annual RTE Test, GPC </w:t>
      </w:r>
      <w:r w:rsidR="004212D5">
        <w:rPr>
          <w:rFonts w:ascii="Arial" w:hAnsi="Arial"/>
          <w:b w:val="0"/>
          <w:bCs/>
        </w:rPr>
        <w:t>will</w:t>
      </w:r>
      <w:r>
        <w:rPr>
          <w:rFonts w:ascii="Arial" w:hAnsi="Arial"/>
          <w:b w:val="0"/>
          <w:bCs/>
        </w:rPr>
        <w:t xml:space="preserve"> accept it and make the most-recent Annual RTE equal to the supplemental Annual RTE Test result, as prorated daily from the test completion date during a </w:t>
      </w:r>
      <w:r w:rsidR="00367A6D">
        <w:rPr>
          <w:rFonts w:ascii="Arial" w:hAnsi="Arial"/>
          <w:b w:val="0"/>
          <w:bCs/>
        </w:rPr>
        <w:t>M</w:t>
      </w:r>
      <w:r>
        <w:rPr>
          <w:rFonts w:ascii="Arial" w:hAnsi="Arial"/>
          <w:b w:val="0"/>
          <w:bCs/>
        </w:rPr>
        <w:t>onth as applicable.</w:t>
      </w:r>
      <w:bookmarkEnd w:id="1469"/>
      <w:bookmarkEnd w:id="1470"/>
      <w:r>
        <w:rPr>
          <w:rFonts w:ascii="Arial" w:hAnsi="Arial"/>
          <w:b w:val="0"/>
          <w:bCs/>
        </w:rPr>
        <w:t xml:space="preserve"> </w:t>
      </w:r>
    </w:p>
    <w:p w:rsidRPr="00090478" w:rsidR="00090478" w:rsidP="00CA1FF0" w:rsidRDefault="008B55A2" w14:paraId="0B52F96F" w14:textId="0608FF48">
      <w:pPr>
        <w:pStyle w:val="zGBody2"/>
        <w:ind w:left="1152"/>
        <w:rPr>
          <w:rFonts w:ascii="Arial" w:hAnsi="Arial"/>
          <w:b w:val="0"/>
          <w:bCs/>
        </w:rPr>
      </w:pPr>
      <w:bookmarkStart w:name="_Toc206673909" w:id="1471"/>
      <w:bookmarkStart w:name="_Toc227451670" w:id="1472"/>
      <w:r>
        <w:rPr>
          <w:rFonts w:ascii="Arial" w:hAnsi="Arial"/>
          <w:b w:val="0"/>
          <w:bCs/>
        </w:rPr>
        <w:t xml:space="preserve">Further, GPC may also request a supplemental Annual RTE Test at any time during an Annual Period and Seller must conduct this test within 30 </w:t>
      </w:r>
      <w:r w:rsidR="00B9635D">
        <w:rPr>
          <w:rFonts w:ascii="Arial" w:hAnsi="Arial"/>
          <w:b w:val="0"/>
          <w:bCs/>
        </w:rPr>
        <w:t>D</w:t>
      </w:r>
      <w:r>
        <w:rPr>
          <w:rFonts w:ascii="Arial" w:hAnsi="Arial"/>
          <w:b w:val="0"/>
          <w:bCs/>
        </w:rPr>
        <w:t xml:space="preserve">ays after GPC’s request. GPC will use this Annual </w:t>
      </w:r>
      <w:r w:rsidR="00D951C5">
        <w:rPr>
          <w:rFonts w:ascii="Arial" w:hAnsi="Arial"/>
          <w:b w:val="0"/>
          <w:bCs/>
        </w:rPr>
        <w:t xml:space="preserve">RTE </w:t>
      </w:r>
      <w:r>
        <w:rPr>
          <w:rFonts w:ascii="Arial" w:hAnsi="Arial"/>
          <w:b w:val="0"/>
          <w:bCs/>
        </w:rPr>
        <w:t>Test result to replace the then-effective Annual RTE and will only delay the next scheduled Annual RTE Test if this test falls within the 90-</w:t>
      </w:r>
      <w:r w:rsidR="00B9635D">
        <w:rPr>
          <w:rFonts w:ascii="Arial" w:hAnsi="Arial"/>
          <w:b w:val="0"/>
          <w:bCs/>
        </w:rPr>
        <w:t>D</w:t>
      </w:r>
      <w:r>
        <w:rPr>
          <w:rFonts w:ascii="Arial" w:hAnsi="Arial"/>
          <w:b w:val="0"/>
          <w:bCs/>
        </w:rPr>
        <w:t>ay window as detailed in the following paragraph.</w:t>
      </w:r>
      <w:bookmarkEnd w:id="1471"/>
      <w:bookmarkEnd w:id="1472"/>
    </w:p>
    <w:p w:rsidRPr="00090478" w:rsidR="00090478" w:rsidP="00CA1FF0" w:rsidRDefault="008B55A2" w14:paraId="0937C64F" w14:textId="56FD67CE">
      <w:pPr>
        <w:pStyle w:val="zGBody2"/>
        <w:ind w:left="1152"/>
        <w:rPr>
          <w:rFonts w:ascii="Arial" w:hAnsi="Arial"/>
          <w:b w:val="0"/>
          <w:bCs/>
        </w:rPr>
      </w:pPr>
      <w:bookmarkStart w:name="_Toc206673910" w:id="1473"/>
      <w:bookmarkStart w:name="_Toc227451671" w:id="1474"/>
      <w:r>
        <w:rPr>
          <w:rFonts w:ascii="Arial" w:hAnsi="Arial"/>
          <w:b w:val="0"/>
          <w:bCs/>
        </w:rPr>
        <w:t>If Seller’s or GPC’s supplemental test is accepted by GPC, that test does not reset the 12-</w:t>
      </w:r>
      <w:r w:rsidR="00367A6D">
        <w:rPr>
          <w:rFonts w:ascii="Arial" w:hAnsi="Arial"/>
          <w:b w:val="0"/>
          <w:bCs/>
        </w:rPr>
        <w:t>M</w:t>
      </w:r>
      <w:r>
        <w:rPr>
          <w:rFonts w:ascii="Arial" w:hAnsi="Arial"/>
          <w:b w:val="0"/>
          <w:bCs/>
        </w:rPr>
        <w:t xml:space="preserve">onth period for the required Annual RTE Test unless that supplemental test was completed within 90 </w:t>
      </w:r>
      <w:r w:rsidR="00B9635D">
        <w:rPr>
          <w:rFonts w:ascii="Arial" w:hAnsi="Arial"/>
          <w:b w:val="0"/>
          <w:bCs/>
        </w:rPr>
        <w:t>D</w:t>
      </w:r>
      <w:r>
        <w:rPr>
          <w:rFonts w:ascii="Arial" w:hAnsi="Arial"/>
          <w:b w:val="0"/>
          <w:bCs/>
        </w:rPr>
        <w:t xml:space="preserve">ays </w:t>
      </w:r>
      <w:r w:rsidR="00367A6D">
        <w:rPr>
          <w:rFonts w:ascii="Arial" w:hAnsi="Arial"/>
          <w:b w:val="0"/>
          <w:bCs/>
        </w:rPr>
        <w:t>after</w:t>
      </w:r>
      <w:r>
        <w:rPr>
          <w:rFonts w:ascii="Arial" w:hAnsi="Arial"/>
          <w:b w:val="0"/>
          <w:bCs/>
        </w:rPr>
        <w:t xml:space="preserve"> the original 12-</w:t>
      </w:r>
      <w:r w:rsidR="00367A6D">
        <w:rPr>
          <w:rFonts w:ascii="Arial" w:hAnsi="Arial"/>
          <w:b w:val="0"/>
          <w:bCs/>
        </w:rPr>
        <w:t>M</w:t>
      </w:r>
      <w:r>
        <w:rPr>
          <w:rFonts w:ascii="Arial" w:hAnsi="Arial"/>
          <w:b w:val="0"/>
          <w:bCs/>
        </w:rPr>
        <w:t xml:space="preserve">onth period </w:t>
      </w:r>
      <w:r w:rsidR="00F24FCC">
        <w:rPr>
          <w:rFonts w:ascii="Arial" w:hAnsi="Arial"/>
          <w:b w:val="0"/>
          <w:bCs/>
        </w:rPr>
        <w:t xml:space="preserve">end </w:t>
      </w:r>
      <w:r>
        <w:rPr>
          <w:rFonts w:ascii="Arial" w:hAnsi="Arial"/>
          <w:b w:val="0"/>
          <w:bCs/>
        </w:rPr>
        <w:t>from the prior approved Annual RTE Test completion date and GPC agrees to reset the date. In that case, the previously completed regular Annual RTE Test 12-</w:t>
      </w:r>
      <w:r w:rsidR="00367A6D">
        <w:rPr>
          <w:rFonts w:ascii="Arial" w:hAnsi="Arial"/>
          <w:b w:val="0"/>
          <w:bCs/>
        </w:rPr>
        <w:t>M</w:t>
      </w:r>
      <w:r>
        <w:rPr>
          <w:rFonts w:ascii="Arial" w:hAnsi="Arial"/>
          <w:b w:val="0"/>
          <w:bCs/>
        </w:rPr>
        <w:t>onth deadline is reset to the end of the following original 12-</w:t>
      </w:r>
      <w:r w:rsidR="00283961">
        <w:rPr>
          <w:rFonts w:ascii="Arial" w:hAnsi="Arial"/>
          <w:b w:val="0"/>
          <w:bCs/>
        </w:rPr>
        <w:t>M</w:t>
      </w:r>
      <w:r>
        <w:rPr>
          <w:rFonts w:ascii="Arial" w:hAnsi="Arial"/>
          <w:b w:val="0"/>
          <w:bCs/>
        </w:rPr>
        <w:t xml:space="preserve">onth period with the total period between Annual RTE Tests to never exceed 15 </w:t>
      </w:r>
      <w:r w:rsidR="00283961">
        <w:rPr>
          <w:rFonts w:ascii="Arial" w:hAnsi="Arial"/>
          <w:b w:val="0"/>
          <w:bCs/>
        </w:rPr>
        <w:t>M</w:t>
      </w:r>
      <w:r>
        <w:rPr>
          <w:rFonts w:ascii="Arial" w:hAnsi="Arial"/>
          <w:b w:val="0"/>
          <w:bCs/>
        </w:rPr>
        <w:t>onths.</w:t>
      </w:r>
      <w:bookmarkEnd w:id="1473"/>
      <w:bookmarkEnd w:id="1474"/>
    </w:p>
    <w:p w:rsidRPr="00CF3EE6" w:rsidR="00090478" w:rsidP="00CA1FF0" w:rsidRDefault="008B55A2" w14:paraId="3BBF73E8" w14:textId="6FD0097C">
      <w:pPr>
        <w:pStyle w:val="zGBody2"/>
        <w:ind w:left="1152"/>
        <w:rPr>
          <w:rFonts w:ascii="Arial" w:hAnsi="Arial"/>
          <w:b w:val="0"/>
          <w:bCs/>
        </w:rPr>
      </w:pPr>
      <w:bookmarkStart w:name="_Toc206673911" w:id="1475"/>
      <w:bookmarkStart w:name="_Toc227451672" w:id="1476"/>
      <w:r>
        <w:rPr>
          <w:rFonts w:ascii="Arial" w:hAnsi="Arial"/>
          <w:b w:val="0"/>
          <w:bCs/>
        </w:rPr>
        <w:t xml:space="preserve">Any Unavailability due to supplemental or regular Annual RTE Testing that exceeds </w:t>
      </w:r>
      <w:r w:rsidR="0050700A">
        <w:rPr>
          <w:rFonts w:ascii="Arial" w:hAnsi="Arial"/>
          <w:b w:val="0"/>
          <w:bCs/>
        </w:rPr>
        <w:t xml:space="preserve">four </w:t>
      </w:r>
      <w:r w:rsidR="00D034DB">
        <w:rPr>
          <w:rFonts w:ascii="Arial" w:hAnsi="Arial"/>
          <w:b w:val="0"/>
          <w:bCs/>
        </w:rPr>
        <w:t>D</w:t>
      </w:r>
      <w:r>
        <w:rPr>
          <w:rFonts w:ascii="Arial" w:hAnsi="Arial"/>
          <w:b w:val="0"/>
          <w:bCs/>
        </w:rPr>
        <w:t>ays in total in an Annual Period, may be, at GPC’s discretion, counted as a Forced Derate in the Storage Performance metrics</w:t>
      </w:r>
      <w:r w:rsidR="00CF3EE6">
        <w:rPr>
          <w:rFonts w:ascii="Arial" w:hAnsi="Arial"/>
          <w:b w:val="0"/>
          <w:bCs/>
        </w:rPr>
        <w:t xml:space="preserve">. However, if GPC requests supplemental Annual RTE Testing, the </w:t>
      </w:r>
      <w:r w:rsidR="0050700A">
        <w:rPr>
          <w:rFonts w:ascii="Arial" w:hAnsi="Arial"/>
          <w:b w:val="0"/>
          <w:bCs/>
        </w:rPr>
        <w:t>four</w:t>
      </w:r>
      <w:r w:rsidR="00CF3EE6">
        <w:rPr>
          <w:rFonts w:ascii="Arial" w:hAnsi="Arial"/>
          <w:b w:val="0"/>
          <w:bCs/>
        </w:rPr>
        <w:t>-Day threshold will be extended, and GPC will not consider the resulting Unavailability as a Forced Derate.</w:t>
      </w:r>
      <w:bookmarkEnd w:id="1475"/>
      <w:bookmarkEnd w:id="1476"/>
    </w:p>
    <w:p w:rsidRPr="006F7A19" w:rsidR="006F7483" w:rsidP="000907B6" w:rsidRDefault="008B55A2" w14:paraId="3ACE4F64" w14:textId="77777777">
      <w:pPr>
        <w:pStyle w:val="zGBody3"/>
        <w:numPr>
          <w:ilvl w:val="2"/>
          <w:numId w:val="26"/>
        </w:numPr>
        <w:rPr>
          <w:vanish/>
          <w:specVanish/>
        </w:rPr>
      </w:pPr>
      <w:r>
        <w:rPr>
          <w:b/>
          <w:bCs/>
        </w:rPr>
        <w:t xml:space="preserve"> Monthly RTE True-Up</w:t>
      </w:r>
      <w:r>
        <w:t>.</w:t>
      </w:r>
    </w:p>
    <w:p w:rsidRPr="00950426" w:rsidR="006F7483" w:rsidP="006F7483" w:rsidRDefault="008B55A2" w14:paraId="03E6E0ED" w14:textId="1B08D010">
      <w:pPr>
        <w:pStyle w:val="ListParagraph"/>
        <w:widowControl w:val="0"/>
        <w:jc w:val="both"/>
        <w:textAlignment w:val="baseline"/>
        <w:rPr>
          <w:rFonts w:ascii="Arial" w:hAnsi="Arial" w:eastAsia="Times New Roman" w:cs="Arial"/>
          <w:sz w:val="20"/>
          <w:szCs w:val="20"/>
        </w:rPr>
      </w:pPr>
      <w:r>
        <w:rPr>
          <w:rFonts w:ascii="Arial" w:hAnsi="Arial" w:eastAsia="Times New Roman" w:cs="Arial"/>
          <w:sz w:val="20"/>
          <w:szCs w:val="20"/>
        </w:rPr>
        <w:t xml:space="preserve"> GPC will determine the Monthly RTE True-Up </w:t>
      </w:r>
      <w:bookmarkStart w:name="_Hlk160236090" w:id="1477"/>
      <w:r>
        <w:rPr>
          <w:rFonts w:ascii="Arial" w:hAnsi="Arial" w:eastAsia="Times New Roman" w:cs="Arial"/>
          <w:sz w:val="20"/>
          <w:szCs w:val="20"/>
        </w:rPr>
        <w:t>for each Month in accordance with Table C-4 (</w:t>
      </w:r>
      <w:r>
        <w:rPr>
          <w:rFonts w:ascii="Arial" w:hAnsi="Arial" w:eastAsia="Times New Roman" w:cs="Arial"/>
          <w:i/>
          <w:iCs/>
          <w:sz w:val="20"/>
          <w:szCs w:val="20"/>
        </w:rPr>
        <w:t xml:space="preserve">Monthly </w:t>
      </w:r>
      <w:r w:rsidR="00B46B32">
        <w:rPr>
          <w:rFonts w:ascii="Arial" w:hAnsi="Arial" w:eastAsia="Times New Roman" w:cs="Arial"/>
          <w:i/>
          <w:iCs/>
          <w:sz w:val="20"/>
          <w:szCs w:val="20"/>
        </w:rPr>
        <w:t>RTE</w:t>
      </w:r>
      <w:r>
        <w:rPr>
          <w:rFonts w:ascii="Arial" w:hAnsi="Arial" w:eastAsia="Times New Roman" w:cs="Arial"/>
          <w:i/>
          <w:iCs/>
          <w:sz w:val="20"/>
          <w:szCs w:val="20"/>
        </w:rPr>
        <w:t xml:space="preserve"> True-Up</w:t>
      </w:r>
      <w:r>
        <w:rPr>
          <w:rFonts w:ascii="Arial" w:hAnsi="Arial" w:eastAsia="Times New Roman" w:cs="Arial"/>
          <w:sz w:val="20"/>
          <w:szCs w:val="20"/>
        </w:rPr>
        <w:t xml:space="preserve">) below, based on the then-effective Annual RTE. </w:t>
      </w:r>
      <w:bookmarkEnd w:id="1477"/>
      <w:r w:rsidRPr="00AB3CE9" w:rsidR="00720795">
        <w:rPr>
          <w:rFonts w:ascii="Arial" w:hAnsi="Arial" w:cs="Arial"/>
          <w:sz w:val="20"/>
          <w:szCs w:val="20"/>
        </w:rPr>
        <w:t>Any Month with a Storage Performance Metric Achieved of less than 0.6 will be excluded from the Monthly RTE True-Up.</w:t>
      </w:r>
    </w:p>
    <w:p w:rsidRPr="00950426" w:rsidR="00074BD7" w:rsidP="006F7483" w:rsidRDefault="00074BD7" w14:paraId="46B05CFF" w14:textId="77777777">
      <w:pPr>
        <w:pStyle w:val="ListParagraph"/>
        <w:widowControl w:val="0"/>
        <w:jc w:val="both"/>
        <w:textAlignment w:val="baseline"/>
        <w:rPr>
          <w:rFonts w:ascii="Arial" w:hAnsi="Arial" w:eastAsia="Times New Roman" w:cs="Arial"/>
          <w:sz w:val="20"/>
          <w:szCs w:val="20"/>
        </w:rPr>
      </w:pPr>
    </w:p>
    <w:tbl>
      <w:tblPr>
        <w:tblW w:w="8754" w:type="dxa"/>
        <w:jc w:val="righ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54"/>
        <w:gridCol w:w="6300"/>
      </w:tblGrid>
      <w:tr w:rsidR="00AE51F9" w:rsidTr="0040652A" w14:paraId="5CD12653" w14:textId="77777777">
        <w:trPr>
          <w:trHeight w:val="465"/>
          <w:tblHeader/>
          <w:jc w:val="right"/>
        </w:trPr>
        <w:tc>
          <w:tcPr>
            <w:tcW w:w="8754" w:type="dxa"/>
            <w:gridSpan w:val="2"/>
            <w:tcBorders>
              <w:top w:val="single" w:color="auto" w:sz="6" w:space="0"/>
              <w:left w:val="single" w:color="auto" w:sz="6" w:space="0"/>
              <w:bottom w:val="single" w:color="auto" w:sz="6" w:space="0"/>
              <w:right w:val="single" w:color="auto" w:sz="6" w:space="0"/>
            </w:tcBorders>
            <w:shd w:val="clear" w:color="auto" w:fill="BFBFBF" w:themeFill="background1" w:themeFillShade="BF"/>
            <w:vAlign w:val="center"/>
          </w:tcPr>
          <w:p w:rsidRPr="00950426" w:rsidR="006F7483" w:rsidRDefault="008B55A2" w14:paraId="76EC8BD5" w14:textId="77777777">
            <w:pPr>
              <w:widowControl w:val="0"/>
              <w:spacing w:before="60" w:after="60"/>
              <w:jc w:val="center"/>
              <w:textAlignment w:val="baseline"/>
              <w:rPr>
                <w:rFonts w:ascii="Arial" w:hAnsi="Arial" w:eastAsia="Times New Roman" w:cs="Arial"/>
                <w:b/>
                <w:sz w:val="20"/>
                <w:szCs w:val="20"/>
              </w:rPr>
            </w:pPr>
            <w:r>
              <w:rPr>
                <w:rFonts w:ascii="Arial" w:hAnsi="Arial" w:eastAsia="Times New Roman" w:cs="Arial"/>
                <w:b/>
                <w:sz w:val="20"/>
                <w:szCs w:val="20"/>
              </w:rPr>
              <w:t>Table C-4</w:t>
            </w:r>
          </w:p>
          <w:p w:rsidRPr="00950426" w:rsidR="006F7483" w:rsidRDefault="00A54200" w14:paraId="6BBD6B7A" w14:textId="46C438AD">
            <w:pPr>
              <w:pStyle w:val="Subtitle-Bold"/>
              <w:keepNext w:val="0"/>
              <w:widowControl w:val="0"/>
              <w:spacing w:before="60" w:after="60" w:line="276" w:lineRule="auto"/>
              <w:textAlignment w:val="baseline"/>
              <w:rPr>
                <w:rFonts w:eastAsia="Times New Roman" w:cs="Arial"/>
                <w:bCs w:val="0"/>
              </w:rPr>
            </w:pPr>
            <w:r>
              <w:rPr>
                <w:rFonts w:eastAsia="Times New Roman" w:cs="Arial"/>
                <w:bCs w:val="0"/>
              </w:rPr>
              <w:t xml:space="preserve">Monthly </w:t>
            </w:r>
            <w:r w:rsidR="008B55A2">
              <w:rPr>
                <w:rFonts w:eastAsia="Times New Roman" w:cs="Arial"/>
                <w:bCs w:val="0"/>
              </w:rPr>
              <w:t>RTE True-Up</w:t>
            </w:r>
          </w:p>
        </w:tc>
      </w:tr>
      <w:tr w:rsidR="00AE51F9" w:rsidTr="0040652A" w14:paraId="221717DE" w14:textId="77777777">
        <w:trPr>
          <w:trHeight w:val="465"/>
          <w:tblHeader/>
          <w:jc w:val="right"/>
        </w:trPr>
        <w:tc>
          <w:tcPr>
            <w:tcW w:w="2454"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950426" w:rsidR="006F7483" w:rsidRDefault="008B55A2" w14:paraId="5EB8137E" w14:textId="14F91C5B">
            <w:pPr>
              <w:widowControl w:val="0"/>
              <w:spacing w:before="60" w:after="60"/>
              <w:jc w:val="center"/>
              <w:textAlignment w:val="baseline"/>
              <w:rPr>
                <w:rFonts w:ascii="Arial" w:hAnsi="Arial" w:eastAsia="Times New Roman" w:cs="Arial"/>
                <w:sz w:val="20"/>
                <w:szCs w:val="20"/>
              </w:rPr>
            </w:pPr>
            <w:r>
              <w:rPr>
                <w:rFonts w:ascii="Arial" w:hAnsi="Arial" w:cs="Arial"/>
                <w:b/>
                <w:sz w:val="20"/>
                <w:szCs w:val="20"/>
              </w:rPr>
              <w:t>Monthly RTE</w:t>
            </w:r>
          </w:p>
        </w:tc>
        <w:tc>
          <w:tcPr>
            <w:tcW w:w="6300"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950426" w:rsidR="006F7483" w:rsidRDefault="00A54200" w14:paraId="56D0C4B4" w14:textId="70BF2C52">
            <w:pPr>
              <w:widowControl w:val="0"/>
              <w:spacing w:before="60" w:after="60"/>
              <w:jc w:val="center"/>
              <w:textAlignment w:val="baseline"/>
              <w:rPr>
                <w:rFonts w:ascii="Arial" w:hAnsi="Arial" w:eastAsia="Times New Roman" w:cs="Arial"/>
                <w:sz w:val="20"/>
                <w:szCs w:val="20"/>
              </w:rPr>
            </w:pPr>
            <w:r>
              <w:rPr>
                <w:rFonts w:ascii="Arial" w:hAnsi="Arial" w:eastAsia="Times New Roman" w:cs="Arial"/>
                <w:b/>
                <w:sz w:val="20"/>
                <w:szCs w:val="20"/>
              </w:rPr>
              <w:t xml:space="preserve">Monthly </w:t>
            </w:r>
            <w:r w:rsidR="008B55A2">
              <w:rPr>
                <w:rFonts w:ascii="Arial" w:hAnsi="Arial" w:eastAsia="Times New Roman" w:cs="Arial"/>
                <w:b/>
                <w:sz w:val="20"/>
                <w:szCs w:val="20"/>
              </w:rPr>
              <w:t>RTE</w:t>
            </w:r>
            <w:r w:rsidR="007B009D">
              <w:rPr>
                <w:rFonts w:ascii="Arial" w:hAnsi="Arial" w:eastAsia="Times New Roman" w:cs="Arial"/>
                <w:b/>
                <w:sz w:val="20"/>
                <w:szCs w:val="20"/>
              </w:rPr>
              <w:t xml:space="preserve"> </w:t>
            </w:r>
            <w:r w:rsidR="008B55A2">
              <w:rPr>
                <w:rFonts w:ascii="Arial" w:hAnsi="Arial" w:eastAsia="Times New Roman" w:cs="Arial"/>
                <w:b/>
                <w:sz w:val="20"/>
                <w:szCs w:val="20"/>
              </w:rPr>
              <w:t>True-Up</w:t>
            </w:r>
          </w:p>
        </w:tc>
      </w:tr>
      <w:tr w:rsidR="00AE51F9" w:rsidTr="0040652A" w14:paraId="141504D8" w14:textId="77777777">
        <w:trPr>
          <w:trHeight w:val="615"/>
          <w:jc w:val="right"/>
        </w:trPr>
        <w:tc>
          <w:tcPr>
            <w:tcW w:w="2454" w:type="dxa"/>
            <w:tcBorders>
              <w:top w:val="nil"/>
              <w:left w:val="single" w:color="auto" w:sz="6" w:space="0"/>
              <w:bottom w:val="single" w:color="auto" w:sz="6" w:space="0"/>
              <w:right w:val="single" w:color="auto" w:sz="6" w:space="0"/>
            </w:tcBorders>
            <w:vAlign w:val="center"/>
            <w:hideMark/>
          </w:tcPr>
          <w:p w:rsidRPr="00950426" w:rsidR="006F7483" w:rsidRDefault="008B55A2" w14:paraId="6AFB5765" w14:textId="71144012">
            <w:pPr>
              <w:widowControl w:val="0"/>
              <w:spacing w:before="60" w:after="60"/>
              <w:jc w:val="center"/>
              <w:textAlignment w:val="baseline"/>
              <w:rPr>
                <w:rFonts w:ascii="Arial" w:hAnsi="Arial" w:eastAsia="Times New Roman" w:cs="Arial"/>
                <w:sz w:val="20"/>
                <w:szCs w:val="20"/>
              </w:rPr>
            </w:pPr>
            <w:r>
              <w:rPr>
                <w:rFonts w:ascii="Arial" w:hAnsi="Arial" w:cs="Arial"/>
                <w:sz w:val="20"/>
                <w:szCs w:val="20"/>
              </w:rPr>
              <w:t>Annual RTE</w:t>
            </w:r>
            <w:r>
              <w:rPr>
                <w:rFonts w:ascii="Arial" w:hAnsi="Arial" w:eastAsia="Times New Roman" w:cs="Arial"/>
                <w:sz w:val="20"/>
                <w:szCs w:val="20"/>
              </w:rPr>
              <w:t> ≥ (Guaranteed RTE – 0.01)</w:t>
            </w:r>
          </w:p>
        </w:tc>
        <w:tc>
          <w:tcPr>
            <w:tcW w:w="6300" w:type="dxa"/>
            <w:tcBorders>
              <w:top w:val="nil"/>
              <w:left w:val="nil"/>
              <w:bottom w:val="single" w:color="auto" w:sz="6" w:space="0"/>
              <w:right w:val="single" w:color="auto" w:sz="6" w:space="0"/>
            </w:tcBorders>
            <w:vAlign w:val="center"/>
            <w:hideMark/>
          </w:tcPr>
          <w:p w:rsidRPr="00950426" w:rsidR="006F7483" w:rsidRDefault="008B55A2" w14:paraId="47549CED" w14:textId="30EADD2A">
            <w:pPr>
              <w:widowControl w:val="0"/>
              <w:spacing w:before="60" w:after="60"/>
              <w:jc w:val="center"/>
              <w:textAlignment w:val="baseline"/>
              <w:rPr>
                <w:rFonts w:ascii="Arial" w:hAnsi="Arial" w:eastAsia="Times New Roman" w:cs="Arial"/>
                <w:sz w:val="20"/>
                <w:szCs w:val="20"/>
              </w:rPr>
            </w:pPr>
            <w:r>
              <w:rPr>
                <w:rFonts w:ascii="Arial" w:hAnsi="Arial" w:eastAsia="Times New Roman" w:cs="Arial"/>
                <w:sz w:val="20"/>
                <w:szCs w:val="20"/>
              </w:rPr>
              <w:t xml:space="preserve">No </w:t>
            </w:r>
            <w:r w:rsidR="00EE7721">
              <w:rPr>
                <w:rFonts w:ascii="Arial" w:hAnsi="Arial" w:eastAsia="Times New Roman" w:cs="Arial"/>
                <w:sz w:val="20"/>
                <w:szCs w:val="20"/>
              </w:rPr>
              <w:t>true-up</w:t>
            </w:r>
          </w:p>
        </w:tc>
      </w:tr>
      <w:tr w:rsidR="00AE51F9" w:rsidTr="0040652A" w14:paraId="3AE49F80" w14:textId="77777777">
        <w:trPr>
          <w:trHeight w:val="615"/>
          <w:jc w:val="right"/>
        </w:trPr>
        <w:tc>
          <w:tcPr>
            <w:tcW w:w="2454" w:type="dxa"/>
            <w:tcBorders>
              <w:top w:val="nil"/>
              <w:left w:val="single" w:color="auto" w:sz="6" w:space="0"/>
              <w:bottom w:val="single" w:color="auto" w:sz="6" w:space="0"/>
              <w:right w:val="single" w:color="auto" w:sz="6" w:space="0"/>
            </w:tcBorders>
            <w:vAlign w:val="center"/>
            <w:hideMark/>
          </w:tcPr>
          <w:p w:rsidRPr="00950426" w:rsidR="006F7483" w:rsidRDefault="008B55A2" w14:paraId="056796A8" w14:textId="3D335A04">
            <w:pPr>
              <w:widowControl w:val="0"/>
              <w:spacing w:before="60" w:after="60"/>
              <w:jc w:val="center"/>
              <w:textAlignment w:val="baseline"/>
              <w:rPr>
                <w:rFonts w:ascii="Arial" w:hAnsi="Arial" w:eastAsia="Times New Roman" w:cs="Arial"/>
                <w:sz w:val="20"/>
                <w:szCs w:val="20"/>
              </w:rPr>
            </w:pPr>
            <w:r>
              <w:rPr>
                <w:rFonts w:ascii="Arial" w:hAnsi="Arial" w:eastAsia="Times New Roman" w:cs="Arial"/>
                <w:sz w:val="20"/>
                <w:szCs w:val="20"/>
              </w:rPr>
              <w:t xml:space="preserve">(Guaranteed RTE – 0.01) &gt; </w:t>
            </w:r>
            <w:r>
              <w:rPr>
                <w:rFonts w:ascii="Arial" w:hAnsi="Arial" w:cs="Arial"/>
                <w:sz w:val="20"/>
                <w:szCs w:val="20"/>
              </w:rPr>
              <w:t>Annual RTE</w:t>
            </w:r>
          </w:p>
        </w:tc>
        <w:tc>
          <w:tcPr>
            <w:tcW w:w="6300" w:type="dxa"/>
            <w:tcBorders>
              <w:top w:val="nil"/>
              <w:left w:val="nil"/>
              <w:bottom w:val="single" w:color="auto" w:sz="6" w:space="0"/>
              <w:right w:val="single" w:color="auto" w:sz="6" w:space="0"/>
            </w:tcBorders>
            <w:vAlign w:val="center"/>
            <w:hideMark/>
          </w:tcPr>
          <w:p w:rsidRPr="00950426" w:rsidR="006F7483" w:rsidRDefault="008B55A2" w14:paraId="720B69BE" w14:textId="76112969">
            <w:pPr>
              <w:widowControl w:val="0"/>
              <w:spacing w:before="60" w:after="60"/>
              <w:jc w:val="center"/>
              <w:textAlignment w:val="baseline"/>
              <w:rPr>
                <w:rFonts w:ascii="Arial" w:hAnsi="Arial" w:eastAsia="Times New Roman" w:cs="Arial"/>
                <w:sz w:val="20"/>
                <w:szCs w:val="20"/>
              </w:rPr>
            </w:pPr>
            <w:r>
              <w:rPr>
                <w:rFonts w:ascii="Arial" w:hAnsi="Arial" w:eastAsia="Times New Roman" w:cs="Arial"/>
                <w:sz w:val="20"/>
                <w:szCs w:val="20"/>
              </w:rPr>
              <w:t>Reduction per</w:t>
            </w:r>
            <w:r w:rsidR="00A54200">
              <w:rPr>
                <w:rFonts w:ascii="Arial" w:hAnsi="Arial" w:eastAsia="Times New Roman" w:cs="Arial"/>
                <w:sz w:val="20"/>
                <w:szCs w:val="20"/>
              </w:rPr>
              <w:t xml:space="preserve"> Monthly</w:t>
            </w:r>
            <w:r>
              <w:rPr>
                <w:rFonts w:ascii="Arial" w:hAnsi="Arial" w:eastAsia="Times New Roman" w:cs="Arial"/>
                <w:sz w:val="20"/>
                <w:szCs w:val="20"/>
              </w:rPr>
              <w:t xml:space="preserve"> RTE True-Up formula below</w:t>
            </w:r>
          </w:p>
        </w:tc>
      </w:tr>
    </w:tbl>
    <w:p w:rsidRPr="00950426" w:rsidR="00327154" w:rsidP="006F7483" w:rsidRDefault="00327154" w14:paraId="6FC7C68B" w14:textId="77777777">
      <w:pPr>
        <w:pStyle w:val="paragraph"/>
        <w:widowControl w:val="0"/>
        <w:spacing w:before="0" w:beforeAutospacing="0" w:after="0" w:afterAutospacing="0"/>
        <w:jc w:val="both"/>
        <w:textAlignment w:val="baseline"/>
        <w:rPr>
          <w:rStyle w:val="normaltextrun"/>
          <w:rFonts w:ascii="Arial" w:hAnsi="Arial" w:cs="Arial" w:eastAsiaTheme="majorEastAsia"/>
          <w:sz w:val="20"/>
          <w:szCs w:val="20"/>
        </w:rPr>
      </w:pPr>
    </w:p>
    <w:p w:rsidR="00437F6F" w:rsidP="0040652A" w:rsidRDefault="008B55A2" w14:paraId="5E18A28D" w14:textId="0B6E98CF">
      <w:pPr>
        <w:pStyle w:val="paragraph"/>
        <w:widowControl w:val="0"/>
        <w:spacing w:before="0" w:beforeAutospacing="0" w:after="0" w:afterAutospacing="0"/>
        <w:ind w:left="720" w:firstLine="180"/>
        <w:jc w:val="both"/>
        <w:textAlignment w:val="baseline"/>
        <w:rPr>
          <w:rFonts w:ascii="Arial" w:hAnsi="Arial" w:cs="Arial" w:eastAsiaTheme="majorEastAsia"/>
          <w:sz w:val="20"/>
          <w:szCs w:val="20"/>
        </w:rPr>
      </w:pPr>
      <w:r>
        <w:rPr>
          <w:rFonts w:ascii="Arial" w:hAnsi="Arial" w:cs="Arial"/>
          <w:sz w:val="20"/>
          <w:szCs w:val="20"/>
        </w:rPr>
        <w:t>Monthly RTE True-Up=</w:t>
      </w:r>
    </w:p>
    <w:p w:rsidRPr="004B0BBF" w:rsidR="002972EC" w:rsidP="004B0BBF" w:rsidRDefault="002972EC" w14:paraId="6113D638" w14:textId="77777777">
      <w:pPr>
        <w:pStyle w:val="paragraph"/>
        <w:widowControl w:val="0"/>
        <w:spacing w:before="0" w:beforeAutospacing="0" w:after="0" w:afterAutospacing="0"/>
        <w:ind w:left="720" w:firstLine="180"/>
        <w:jc w:val="both"/>
        <w:textAlignment w:val="baseline"/>
        <w:rPr>
          <w:rFonts w:eastAsiaTheme="majorEastAsia"/>
        </w:rPr>
      </w:pPr>
    </w:p>
    <w:p w:rsidRPr="00950426" w:rsidR="002972EC" w:rsidP="0040652A" w:rsidRDefault="002972EC" w14:paraId="21344160" w14:textId="3467DA09">
      <w:pPr>
        <w:pStyle w:val="paragraph"/>
        <w:widowControl w:val="0"/>
        <w:spacing w:before="0" w:beforeAutospacing="0" w:after="0" w:afterAutospacing="0"/>
        <w:ind w:left="720" w:firstLine="180"/>
        <w:jc w:val="both"/>
        <w:textAlignment w:val="baseline"/>
        <w:rPr>
          <w:rFonts w:ascii="Arial" w:hAnsi="Arial" w:cs="Arial" w:eastAsiaTheme="majorEastAsia"/>
          <w:sz w:val="20"/>
          <w:szCs w:val="20"/>
        </w:rPr>
      </w:pPr>
      <w:r>
        <w:rPr>
          <w:rFonts w:ascii="Arial" w:hAnsi="Arial" w:cs="Arial" w:eastAsiaTheme="majorEastAsia"/>
          <w:sz w:val="20"/>
          <w:szCs w:val="20"/>
        </w:rPr>
        <w:t>(Guaranteed RTE – Annual RTE Test</w:t>
      </w:r>
      <w:r w:rsidR="006703AF">
        <w:rPr>
          <w:rFonts w:ascii="Arial" w:hAnsi="Arial" w:cs="Arial" w:eastAsiaTheme="majorEastAsia"/>
          <w:sz w:val="20"/>
          <w:szCs w:val="20"/>
        </w:rPr>
        <w:t>) * Monthly Charging Energy * Monthly Avg AIER</w:t>
      </w:r>
    </w:p>
    <w:p w:rsidRPr="001337D6" w:rsidR="00797145" w:rsidP="004B0BBF" w:rsidRDefault="00797145" w14:paraId="7596DF10" w14:textId="52E49CE2">
      <w:pPr>
        <w:pStyle w:val="paragraph"/>
        <w:widowControl w:val="0"/>
        <w:spacing w:before="0" w:beforeAutospacing="0" w:after="0" w:afterAutospacing="0"/>
        <w:jc w:val="both"/>
        <w:textAlignment w:val="baseline"/>
        <w:rPr>
          <w:rStyle w:val="normaltextrun"/>
          <w:rFonts w:ascii="Arial" w:hAnsi="Arial" w:cs="Arial" w:eastAsiaTheme="majorEastAsia"/>
          <w:sz w:val="20"/>
          <w:szCs w:val="20"/>
        </w:rPr>
      </w:pPr>
    </w:p>
    <w:p w:rsidRPr="00950426" w:rsidR="006F7483" w:rsidP="006F7483" w:rsidRDefault="006F7483" w14:paraId="37F84E0B" w14:textId="77777777">
      <w:pPr>
        <w:pStyle w:val="paragraph"/>
        <w:widowControl w:val="0"/>
        <w:spacing w:before="0" w:beforeAutospacing="0" w:after="0" w:afterAutospacing="0"/>
        <w:ind w:left="720"/>
        <w:textAlignment w:val="baseline"/>
        <w:rPr>
          <w:rStyle w:val="normaltextrun"/>
          <w:rFonts w:ascii="Arial" w:hAnsi="Arial" w:cs="Arial" w:eastAsiaTheme="majorEastAsia"/>
          <w:sz w:val="20"/>
          <w:szCs w:val="20"/>
        </w:rPr>
      </w:pPr>
    </w:p>
    <w:p w:rsidRPr="00950426" w:rsidR="006F7483" w:rsidP="00E36758" w:rsidRDefault="008B55A2" w14:paraId="0860EC40" w14:textId="64C84D8C">
      <w:pPr>
        <w:pStyle w:val="paragraph"/>
        <w:widowControl w:val="0"/>
        <w:spacing w:before="0" w:beforeAutospacing="0" w:after="0" w:afterAutospacing="0"/>
        <w:ind w:left="540" w:firstLine="720"/>
        <w:textAlignment w:val="baseline"/>
        <w:rPr>
          <w:rStyle w:val="normaltextrun"/>
          <w:rFonts w:ascii="Arial" w:hAnsi="Arial" w:cs="Arial" w:eastAsiaTheme="majorEastAsia"/>
          <w:sz w:val="20"/>
          <w:szCs w:val="20"/>
        </w:rPr>
      </w:pPr>
      <w:r>
        <w:rPr>
          <w:rStyle w:val="normaltextrun"/>
          <w:rFonts w:ascii="Arial" w:hAnsi="Arial" w:cs="Arial" w:eastAsiaTheme="majorEastAsia"/>
          <w:sz w:val="20"/>
          <w:szCs w:val="20"/>
        </w:rPr>
        <w:t>Where:</w:t>
      </w:r>
    </w:p>
    <w:p w:rsidRPr="004B0BBF" w:rsidR="006F7483" w:rsidP="004B0BBF" w:rsidRDefault="006F7483" w14:paraId="36FEDEC2" w14:textId="676B8836">
      <w:pPr>
        <w:pStyle w:val="paragraph"/>
        <w:widowControl w:val="0"/>
        <w:spacing w:before="0" w:beforeAutospacing="0" w:after="0" w:afterAutospacing="0"/>
        <w:jc w:val="both"/>
        <w:textAlignment w:val="baseline"/>
        <w:rPr>
          <w:rStyle w:val="eop"/>
          <w:rFonts w:eastAsiaTheme="majorEastAsia"/>
        </w:rPr>
      </w:pPr>
    </w:p>
    <w:p w:rsidRPr="00950426" w:rsidR="006F7483" w:rsidP="00522CBF" w:rsidRDefault="008B55A2" w14:paraId="2CC57A72" w14:textId="73E79DE3">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eop"/>
          <w:rFonts w:ascii="Arial" w:hAnsi="Arial" w:cs="Arial" w:eastAsiaTheme="majorEastAsia"/>
          <w:sz w:val="20"/>
          <w:szCs w:val="20"/>
          <w:u w:val="single"/>
        </w:rPr>
        <w:t>Monthly Charging Energy</w:t>
      </w:r>
      <w:r>
        <w:rPr>
          <w:rStyle w:val="eop"/>
          <w:rFonts w:ascii="Arial" w:hAnsi="Arial" w:cs="Arial" w:eastAsiaTheme="majorEastAsia"/>
          <w:sz w:val="20"/>
          <w:szCs w:val="20"/>
        </w:rPr>
        <w:t xml:space="preserve"> = the total amount of Charging Energy provided for the applicable Month as  measured at, or adjusted to, the POI;</w:t>
      </w:r>
    </w:p>
    <w:p w:rsidRPr="00950426" w:rsidR="006F7483" w:rsidP="00522CBF" w:rsidRDefault="006F7483" w14:paraId="2EF71F89"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p>
    <w:p w:rsidRPr="00950426" w:rsidR="006F7483" w:rsidP="00522CBF" w:rsidRDefault="008B55A2" w14:paraId="5981A67B" w14:textId="14388FDD">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eop"/>
          <w:rFonts w:ascii="Arial" w:hAnsi="Arial" w:cs="Arial" w:eastAsiaTheme="majorEastAsia"/>
          <w:sz w:val="20"/>
          <w:szCs w:val="20"/>
          <w:u w:val="single"/>
        </w:rPr>
        <w:t>Monthly Average AIER</w:t>
      </w:r>
      <w:r>
        <w:rPr>
          <w:rStyle w:val="eop"/>
          <w:rFonts w:ascii="Arial" w:hAnsi="Arial" w:cs="Arial" w:eastAsiaTheme="majorEastAsia"/>
          <w:sz w:val="20"/>
          <w:szCs w:val="20"/>
        </w:rPr>
        <w:t xml:space="preserve"> = AIER averaged over all Hours</w:t>
      </w:r>
      <w:r w:rsidR="00A41654">
        <w:rPr>
          <w:rStyle w:val="eop"/>
          <w:rFonts w:ascii="Arial" w:hAnsi="Arial" w:cs="Arial" w:eastAsiaTheme="majorEastAsia"/>
          <w:sz w:val="20"/>
          <w:szCs w:val="20"/>
        </w:rPr>
        <w:t xml:space="preserve"> charging the BESS</w:t>
      </w:r>
      <w:r>
        <w:rPr>
          <w:rStyle w:val="eop"/>
          <w:rFonts w:ascii="Arial" w:hAnsi="Arial" w:cs="Arial" w:eastAsiaTheme="majorEastAsia"/>
          <w:sz w:val="20"/>
          <w:szCs w:val="20"/>
        </w:rPr>
        <w:t xml:space="preserve"> in the Month with a non-zero AIER</w:t>
      </w:r>
      <w:r w:rsidR="00146BB8">
        <w:rPr>
          <w:rStyle w:val="eop"/>
          <w:rFonts w:ascii="Arial" w:hAnsi="Arial" w:cs="Arial" w:eastAsiaTheme="majorEastAsia"/>
          <w:sz w:val="20"/>
          <w:szCs w:val="20"/>
        </w:rPr>
        <w:t>, as defined in the Definitions</w:t>
      </w:r>
      <w:r>
        <w:rPr>
          <w:rStyle w:val="eop"/>
          <w:rFonts w:ascii="Arial" w:hAnsi="Arial" w:cs="Arial" w:eastAsiaTheme="majorEastAsia"/>
          <w:sz w:val="20"/>
          <w:szCs w:val="20"/>
        </w:rPr>
        <w:t xml:space="preserve">. </w:t>
      </w:r>
    </w:p>
    <w:p w:rsidRPr="00950426" w:rsidR="006F7483" w:rsidP="00522CBF" w:rsidRDefault="006F7483" w14:paraId="5DDCA31C"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p>
    <w:p w:rsidRPr="004B0BBF" w:rsidR="006F7483" w:rsidP="004B0BBF" w:rsidRDefault="008B55A2" w14:paraId="746A4E9F" w14:textId="6E0D3620">
      <w:pPr>
        <w:pStyle w:val="paragraph"/>
        <w:widowControl w:val="0"/>
        <w:spacing w:before="0" w:beforeAutospacing="0" w:after="0" w:afterAutospacing="0"/>
        <w:ind w:left="1260"/>
        <w:jc w:val="both"/>
        <w:textAlignment w:val="baseline"/>
      </w:pPr>
      <w:r>
        <w:rPr>
          <w:rStyle w:val="eop"/>
          <w:rFonts w:ascii="Arial" w:hAnsi="Arial" w:cs="Arial" w:eastAsiaTheme="majorEastAsia"/>
          <w:sz w:val="20"/>
          <w:szCs w:val="20"/>
          <w:u w:val="single"/>
        </w:rPr>
        <w:t>Guaranteed RTE</w:t>
      </w:r>
      <w:r>
        <w:rPr>
          <w:rStyle w:val="eop"/>
          <w:rFonts w:ascii="Arial" w:hAnsi="Arial" w:cs="Arial" w:eastAsiaTheme="majorEastAsia"/>
          <w:sz w:val="20"/>
          <w:szCs w:val="20"/>
        </w:rPr>
        <w:t xml:space="preserve"> = </w:t>
      </w:r>
      <w:r>
        <w:rPr>
          <w:rFonts w:ascii="Arial" w:hAnsi="Arial" w:cs="Arial"/>
          <w:sz w:val="20"/>
          <w:szCs w:val="20"/>
        </w:rPr>
        <w:t>as specified in Table A-3 (</w:t>
      </w:r>
      <w:r>
        <w:rPr>
          <w:rFonts w:ascii="Arial" w:hAnsi="Arial" w:cs="Arial"/>
          <w:i/>
          <w:iCs/>
          <w:sz w:val="20"/>
          <w:szCs w:val="20"/>
        </w:rPr>
        <w:t>Additional Facility</w:t>
      </w:r>
      <w:r w:rsidRPr="004B0BBF">
        <w:t xml:space="preserve"> and </w:t>
      </w:r>
      <w:r>
        <w:rPr>
          <w:rFonts w:ascii="Arial" w:hAnsi="Arial" w:cs="Arial"/>
          <w:i/>
          <w:iCs/>
          <w:sz w:val="20"/>
          <w:szCs w:val="20"/>
        </w:rPr>
        <w:t>Operating Information</w:t>
      </w:r>
      <w:r>
        <w:rPr>
          <w:rFonts w:ascii="Arial" w:hAnsi="Arial" w:cs="Arial"/>
          <w:sz w:val="20"/>
          <w:szCs w:val="20"/>
        </w:rPr>
        <w:t>) of Exhibit A (</w:t>
      </w:r>
      <w:r>
        <w:rPr>
          <w:rFonts w:ascii="Arial" w:hAnsi="Arial" w:cs="Arial"/>
          <w:i/>
          <w:iCs/>
          <w:sz w:val="20"/>
          <w:szCs w:val="20"/>
        </w:rPr>
        <w:t>Facility Description</w:t>
      </w:r>
      <w:r w:rsidRPr="004B0BBF">
        <w:t xml:space="preserve"> and </w:t>
      </w:r>
      <w:r>
        <w:rPr>
          <w:rFonts w:ascii="Arial" w:hAnsi="Arial" w:cs="Arial"/>
          <w:i/>
          <w:iCs/>
          <w:sz w:val="20"/>
          <w:szCs w:val="20"/>
        </w:rPr>
        <w:t>Additional Details</w:t>
      </w:r>
      <w:r>
        <w:rPr>
          <w:rFonts w:ascii="Arial" w:hAnsi="Arial" w:cs="Arial"/>
          <w:sz w:val="20"/>
          <w:szCs w:val="20"/>
        </w:rPr>
        <w:t>).</w:t>
      </w:r>
    </w:p>
    <w:p w:rsidRPr="00950426" w:rsidR="00864E2C" w:rsidP="004B0BBF" w:rsidRDefault="00864E2C" w14:paraId="2D5727B8" w14:textId="77777777">
      <w:pPr>
        <w:pStyle w:val="paragraph"/>
        <w:widowControl w:val="0"/>
        <w:spacing w:before="0" w:beforeAutospacing="0" w:after="0" w:afterAutospacing="0"/>
        <w:jc w:val="both"/>
        <w:textAlignment w:val="baseline"/>
        <w:rPr>
          <w:rFonts w:ascii="Arial" w:hAnsi="Arial" w:cs="Arial"/>
          <w:sz w:val="20"/>
          <w:szCs w:val="20"/>
        </w:rPr>
      </w:pPr>
    </w:p>
    <w:p w:rsidRPr="00F40F9C" w:rsidR="006F7483" w:rsidP="006F7483" w:rsidRDefault="008B55A2" w14:paraId="5533058F" w14:textId="0BE2530D">
      <w:pPr>
        <w:pStyle w:val="paragraph"/>
        <w:widowControl w:val="0"/>
        <w:spacing w:before="0" w:beforeAutospacing="0" w:after="0" w:afterAutospacing="0"/>
        <w:ind w:left="720"/>
        <w:jc w:val="both"/>
        <w:textAlignment w:val="baseline"/>
        <w:rPr>
          <w:rFonts w:ascii="Arial" w:hAnsi="Arial" w:cs="Arial"/>
          <w:sz w:val="20"/>
          <w:szCs w:val="20"/>
        </w:rPr>
      </w:pPr>
      <w:r>
        <w:rPr>
          <w:rFonts w:ascii="Arial" w:hAnsi="Arial" w:cs="Arial"/>
          <w:sz w:val="20"/>
          <w:szCs w:val="20"/>
        </w:rPr>
        <w:t>Seller must provide GPC real-time access to telemetry data, as described in Exhibit G (</w:t>
      </w:r>
      <w:r>
        <w:rPr>
          <w:rFonts w:ascii="Arial" w:hAnsi="Arial" w:cs="Arial"/>
          <w:i/>
          <w:sz w:val="20"/>
          <w:szCs w:val="20"/>
        </w:rPr>
        <w:t>AGC and Facility Minimum Data Requirements</w:t>
      </w:r>
      <w:r>
        <w:rPr>
          <w:rFonts w:ascii="Arial" w:hAnsi="Arial" w:cs="Arial"/>
          <w:sz w:val="20"/>
          <w:szCs w:val="20"/>
        </w:rPr>
        <w:t>), from Seller’s control system to facilitate GPC’s calculation of these metrics.</w:t>
      </w:r>
    </w:p>
    <w:p w:rsidRPr="00D91B08" w:rsidR="006F7483" w:rsidP="00482EDF" w:rsidRDefault="00D91B08" w14:paraId="3514A455" w14:textId="251F2CF8">
      <w:pPr>
        <w:pStyle w:val="zGBody3"/>
        <w:numPr>
          <w:ilvl w:val="2"/>
          <w:numId w:val="26"/>
        </w:numPr>
        <w:spacing w:after="120"/>
        <w:rPr>
          <w:b/>
          <w:bCs/>
        </w:rPr>
      </w:pPr>
      <w:r w:rsidRPr="00D91B08">
        <w:rPr>
          <w:b/>
          <w:bCs/>
        </w:rPr>
        <w:t xml:space="preserve">RTE Calculation Guidance. </w:t>
      </w:r>
      <w:r w:rsidRPr="00482EDF" w:rsidR="00482EDF">
        <w:rPr>
          <w:rFonts w:eastAsia="Calibri"/>
          <w:kern w:val="0"/>
        </w:rPr>
        <w:t>Any Annual RTE Test results, including supplemental Annual RTE Test results, must show the individual loss contributions for the components both into and out of the BESS, as requested by GPC. If Seller is unable to provide such individual loss contributions, GPC may direct the Operating Committee to develop and implement alternative adjustment measures for such components.</w:t>
      </w:r>
    </w:p>
    <w:p w:rsidRPr="003E3C54" w:rsidR="006F7483" w:rsidP="00482EDF" w:rsidRDefault="008B55A2" w14:paraId="73F1271E" w14:textId="77777777">
      <w:pPr>
        <w:pStyle w:val="zGBody2"/>
        <w:numPr>
          <w:ilvl w:val="1"/>
          <w:numId w:val="26"/>
        </w:numPr>
        <w:spacing w:before="120"/>
        <w:rPr>
          <w:rStyle w:val="normaltextrun"/>
          <w:bCs/>
          <w:caps/>
          <w:vanish/>
          <w:u w:val="single"/>
          <w:specVanish/>
        </w:rPr>
      </w:pPr>
      <w:bookmarkStart w:name="_Toc206673913" w:id="1478"/>
      <w:bookmarkStart w:name="_Toc227451673" w:id="1479"/>
      <w:r>
        <w:rPr>
          <w:rStyle w:val="normaltextrun"/>
          <w:bCs/>
        </w:rPr>
        <w:t>Monthly AGC Status and Setpoint Requirements.</w:t>
      </w:r>
      <w:bookmarkEnd w:id="1478"/>
      <w:bookmarkEnd w:id="1479"/>
    </w:p>
    <w:p w:rsidRPr="003E3C54" w:rsidR="006F7483" w:rsidP="006F7483" w:rsidRDefault="008B55A2" w14:paraId="0576ACBA" w14:textId="25EC204D">
      <w:pPr>
        <w:pStyle w:val="paragraph"/>
        <w:widowControl w:val="0"/>
        <w:spacing w:before="0" w:beforeAutospacing="0" w:after="0" w:afterAutospacing="0"/>
        <w:jc w:val="both"/>
        <w:textAlignment w:val="baseline"/>
        <w:rPr>
          <w:rStyle w:val="normaltextrun"/>
          <w:rFonts w:ascii="Arial" w:hAnsi="Arial" w:cs="Arial" w:eastAsiaTheme="majorEastAsia"/>
          <w:bCs/>
          <w:sz w:val="20"/>
          <w:szCs w:val="20"/>
        </w:rPr>
      </w:pPr>
      <w:r>
        <w:rPr>
          <w:rStyle w:val="normaltextrun"/>
          <w:rFonts w:ascii="Arial" w:hAnsi="Arial" w:cs="Arial" w:eastAsiaTheme="majorEastAsia"/>
          <w:b/>
          <w:sz w:val="20"/>
          <w:szCs w:val="20"/>
        </w:rPr>
        <w:t xml:space="preserve"> </w:t>
      </w:r>
      <w:r>
        <w:rPr>
          <w:rStyle w:val="normaltextrun"/>
          <w:rFonts w:ascii="Arial" w:hAnsi="Arial" w:cs="Arial" w:eastAsiaTheme="majorEastAsia"/>
          <w:bCs/>
          <w:sz w:val="20"/>
          <w:szCs w:val="20"/>
        </w:rPr>
        <w:t>Seller is responsible for achieving the AGC Status Performance Requirement and the AGC Setpoint Response Performance Requirement for each Month</w:t>
      </w:r>
      <w:r w:rsidR="004B7746">
        <w:rPr>
          <w:rStyle w:val="normaltextrun"/>
          <w:rFonts w:ascii="Arial" w:hAnsi="Arial" w:cs="Arial" w:eastAsiaTheme="majorEastAsia"/>
          <w:bCs/>
          <w:sz w:val="20"/>
          <w:szCs w:val="20"/>
        </w:rPr>
        <w:t>,</w:t>
      </w:r>
      <w:r w:rsidRPr="00071D93" w:rsidR="00071D93">
        <w:rPr>
          <w:rFonts w:ascii="Arial" w:hAnsi="Arial" w:cs="Arial" w:eastAsiaTheme="majorEastAsia"/>
          <w:sz w:val="20"/>
          <w:szCs w:val="20"/>
        </w:rPr>
        <w:t xml:space="preserve"> </w:t>
      </w:r>
      <w:r w:rsidR="00AE7A53">
        <w:rPr>
          <w:rFonts w:ascii="Arial" w:hAnsi="Arial" w:cs="Arial" w:eastAsiaTheme="majorEastAsia"/>
          <w:sz w:val="20"/>
          <w:szCs w:val="20"/>
        </w:rPr>
        <w:t>except</w:t>
      </w:r>
      <w:r w:rsidR="008D16B5">
        <w:rPr>
          <w:rFonts w:ascii="Arial" w:hAnsi="Arial" w:cs="Arial" w:eastAsiaTheme="majorEastAsia"/>
          <w:sz w:val="20"/>
          <w:szCs w:val="20"/>
        </w:rPr>
        <w:t>:</w:t>
      </w:r>
      <w:r w:rsidR="00AE7A53">
        <w:rPr>
          <w:rFonts w:ascii="Arial" w:hAnsi="Arial" w:cs="Arial" w:eastAsiaTheme="majorEastAsia"/>
          <w:sz w:val="20"/>
          <w:szCs w:val="20"/>
        </w:rPr>
        <w:t xml:space="preserve"> </w:t>
      </w:r>
      <w:r w:rsidR="00071D93">
        <w:rPr>
          <w:rFonts w:ascii="Arial" w:hAnsi="Arial" w:cs="Arial"/>
          <w:sz w:val="20"/>
          <w:szCs w:val="20"/>
        </w:rPr>
        <w:t xml:space="preserve">(i) </w:t>
      </w:r>
      <w:r w:rsidR="00071D93">
        <w:rPr>
          <w:rFonts w:ascii="Arial" w:hAnsi="Arial" w:cs="Arial" w:eastAsiaTheme="majorEastAsia"/>
          <w:sz w:val="20"/>
          <w:szCs w:val="20"/>
        </w:rPr>
        <w:t xml:space="preserve">any Month </w:t>
      </w:r>
      <w:r w:rsidR="00071D93">
        <w:rPr>
          <w:rFonts w:ascii="Arial" w:hAnsi="Arial" w:cs="Arial"/>
          <w:sz w:val="20"/>
          <w:szCs w:val="20"/>
        </w:rPr>
        <w:t>during</w:t>
      </w:r>
      <w:r w:rsidR="00071D93">
        <w:rPr>
          <w:rFonts w:ascii="Arial" w:hAnsi="Arial" w:cs="Arial" w:eastAsiaTheme="majorEastAsia"/>
          <w:sz w:val="20"/>
          <w:szCs w:val="20"/>
        </w:rPr>
        <w:t xml:space="preserve"> which</w:t>
      </w:r>
      <w:r w:rsidR="00071D93">
        <w:rPr>
          <w:rFonts w:ascii="Arial" w:hAnsi="Arial" w:cs="Arial"/>
          <w:sz w:val="20"/>
          <w:szCs w:val="20"/>
        </w:rPr>
        <w:t xml:space="preserve"> (a)</w:t>
      </w:r>
      <w:r w:rsidR="00071D93">
        <w:rPr>
          <w:rFonts w:ascii="Arial" w:hAnsi="Arial" w:cs="Arial" w:eastAsiaTheme="majorEastAsia"/>
          <w:sz w:val="20"/>
          <w:szCs w:val="20"/>
        </w:rPr>
        <w:t xml:space="preserve"> GPC did not issue a statistically significant number of AGC signals</w:t>
      </w:r>
      <w:r w:rsidR="00071D93">
        <w:rPr>
          <w:rFonts w:ascii="Arial" w:hAnsi="Arial" w:cs="Arial"/>
          <w:sz w:val="20"/>
          <w:szCs w:val="20"/>
        </w:rPr>
        <w:t xml:space="preserve"> (i.e., sufficient</w:t>
      </w:r>
      <w:r w:rsidR="00071D93">
        <w:rPr>
          <w:rFonts w:ascii="Arial" w:hAnsi="Arial" w:cs="Arial" w:eastAsiaTheme="majorEastAsia"/>
          <w:sz w:val="20"/>
          <w:szCs w:val="20"/>
        </w:rPr>
        <w:t xml:space="preserve"> AGC signals </w:t>
      </w:r>
      <w:r w:rsidR="00071D93">
        <w:rPr>
          <w:rFonts w:ascii="Arial" w:hAnsi="Arial" w:cs="Arial"/>
          <w:sz w:val="20"/>
          <w:szCs w:val="20"/>
        </w:rPr>
        <w:t>for GPC to fairly and reliably evaluate BESS performance), as determined in accordance with</w:t>
      </w:r>
      <w:r w:rsidR="00071D93">
        <w:rPr>
          <w:rFonts w:ascii="Arial" w:hAnsi="Arial" w:cs="Arial" w:eastAsiaTheme="majorEastAsia"/>
          <w:sz w:val="20"/>
          <w:szCs w:val="20"/>
        </w:rPr>
        <w:t xml:space="preserve"> the Operating Procedures</w:t>
      </w:r>
      <w:r w:rsidR="00071D93">
        <w:rPr>
          <w:rFonts w:ascii="Arial" w:hAnsi="Arial" w:cs="Arial"/>
          <w:sz w:val="20"/>
          <w:szCs w:val="20"/>
        </w:rPr>
        <w:t>, but (b)</w:t>
      </w:r>
      <w:r w:rsidR="00071D93">
        <w:rPr>
          <w:rFonts w:ascii="Arial" w:hAnsi="Arial" w:cs="Arial" w:eastAsiaTheme="majorEastAsia"/>
          <w:sz w:val="20"/>
          <w:szCs w:val="20"/>
        </w:rPr>
        <w:t xml:space="preserve"> only </w:t>
      </w:r>
      <w:r w:rsidR="00071D93">
        <w:rPr>
          <w:rFonts w:ascii="Arial" w:hAnsi="Arial" w:cs="Arial"/>
          <w:sz w:val="20"/>
          <w:szCs w:val="20"/>
        </w:rPr>
        <w:t>to the extent</w:t>
      </w:r>
      <w:r w:rsidR="00071D93">
        <w:rPr>
          <w:rFonts w:ascii="Arial" w:hAnsi="Arial" w:cs="Arial" w:eastAsiaTheme="majorEastAsia"/>
          <w:sz w:val="20"/>
          <w:szCs w:val="20"/>
        </w:rPr>
        <w:t xml:space="preserve"> the lack of AGC signals prevents GPC from performing a meaningful assessment of BESS performance, as determined in GPC’s sole, but reasonable, discretion; and (ii)</w:t>
      </w:r>
      <w:r w:rsidRPr="007A75F6" w:rsidR="00071D93">
        <w:rPr>
          <w:rFonts w:ascii="Arial" w:hAnsi="Arial" w:cs="Arial" w:eastAsiaTheme="majorEastAsia"/>
          <w:sz w:val="20"/>
          <w:szCs w:val="20"/>
        </w:rPr>
        <w:t xml:space="preserve"> </w:t>
      </w:r>
      <w:r w:rsidR="00071D93">
        <w:rPr>
          <w:rFonts w:ascii="Arial" w:hAnsi="Arial" w:cs="Arial" w:eastAsiaTheme="majorEastAsia"/>
          <w:sz w:val="20"/>
          <w:szCs w:val="20"/>
        </w:rPr>
        <w:t>to the extent Seller’s</w:t>
      </w:r>
      <w:r w:rsidRPr="007A75F6" w:rsidR="00071D93">
        <w:rPr>
          <w:rFonts w:ascii="Arial" w:hAnsi="Arial" w:cs="Arial" w:eastAsiaTheme="majorEastAsia"/>
          <w:sz w:val="20"/>
          <w:szCs w:val="20"/>
        </w:rPr>
        <w:t xml:space="preserve"> </w:t>
      </w:r>
      <w:r w:rsidRPr="007A75F6" w:rsidR="00071D93">
        <w:rPr>
          <w:rFonts w:ascii="Arial" w:hAnsi="Arial" w:cs="Arial"/>
          <w:sz w:val="20"/>
          <w:szCs w:val="20"/>
        </w:rPr>
        <w:t xml:space="preserve">failure to achieve the AGC Status Performance Requirement or AGC Setpoint Response Performance Requirement </w:t>
      </w:r>
      <w:r w:rsidR="00071D93">
        <w:rPr>
          <w:rFonts w:ascii="Arial" w:hAnsi="Arial" w:cs="Arial"/>
          <w:sz w:val="20"/>
          <w:szCs w:val="20"/>
        </w:rPr>
        <w:t>during the applicable</w:t>
      </w:r>
      <w:r w:rsidRPr="007A75F6" w:rsidR="00071D93">
        <w:rPr>
          <w:rFonts w:ascii="Arial" w:hAnsi="Arial" w:cs="Arial"/>
          <w:sz w:val="20"/>
          <w:szCs w:val="20"/>
        </w:rPr>
        <w:t xml:space="preserve"> Month is caused by defective or faulty equipment on GPC’s side of the RTU or telecommunications or telemetry failures caused by equipment not provided or controlled by Seller</w:t>
      </w:r>
      <w:r w:rsidRPr="001337D6" w:rsidR="00071D93">
        <w:rPr>
          <w:rStyle w:val="normaltextrun"/>
          <w:rFonts w:ascii="Arial" w:hAnsi="Arial" w:cs="Arial" w:eastAsiaTheme="majorEastAsia"/>
          <w:sz w:val="20"/>
          <w:szCs w:val="20"/>
        </w:rPr>
        <w:t>.</w:t>
      </w:r>
      <w:r>
        <w:rPr>
          <w:rStyle w:val="normaltextrun"/>
          <w:rFonts w:ascii="Arial" w:hAnsi="Arial" w:cs="Arial" w:eastAsiaTheme="majorEastAsia"/>
          <w:bCs/>
          <w:sz w:val="20"/>
          <w:szCs w:val="20"/>
        </w:rPr>
        <w:t xml:space="preserve">. </w:t>
      </w:r>
    </w:p>
    <w:p w:rsidRPr="00115759" w:rsidR="006F7483" w:rsidP="000907B6" w:rsidRDefault="008B55A2" w14:paraId="61CCA8FC" w14:textId="77777777">
      <w:pPr>
        <w:pStyle w:val="zGBody2"/>
        <w:numPr>
          <w:ilvl w:val="1"/>
          <w:numId w:val="26"/>
        </w:numPr>
        <w:rPr>
          <w:rStyle w:val="normaltextrun"/>
          <w:rFonts w:asciiTheme="minorHAnsi" w:hAnsiTheme="minorHAnsi" w:eastAsiaTheme="minorHAnsi" w:cstheme="minorBidi"/>
          <w:b w:val="0"/>
          <w:bCs/>
          <w:vanish/>
          <w:kern w:val="0"/>
          <w:sz w:val="22"/>
          <w:szCs w:val="22"/>
          <w:specVanish/>
        </w:rPr>
      </w:pPr>
      <w:bookmarkStart w:name="_Toc158593333" w:id="1480"/>
      <w:bookmarkStart w:name="_Toc158597611" w:id="1481"/>
      <w:bookmarkStart w:name="_Toc206673914" w:id="1482"/>
      <w:bookmarkStart w:name="_Toc227451674" w:id="1483"/>
      <w:r>
        <w:rPr>
          <w:rStyle w:val="normaltextrun"/>
          <w:bCs/>
        </w:rPr>
        <w:t>Calculating AGC Status and Setpoint Requirements.</w:t>
      </w:r>
      <w:bookmarkEnd w:id="1480"/>
      <w:bookmarkEnd w:id="1481"/>
      <w:bookmarkEnd w:id="1482"/>
      <w:bookmarkEnd w:id="1483"/>
    </w:p>
    <w:p w:rsidRPr="00115759" w:rsidR="006F7483" w:rsidP="006F7483" w:rsidRDefault="008B55A2" w14:paraId="037BB640" w14:textId="6E32E9B9">
      <w:pPr>
        <w:pStyle w:val="paragraph"/>
        <w:widowControl w:val="0"/>
        <w:spacing w:before="0" w:beforeAutospacing="0" w:after="0" w:afterAutospacing="0"/>
        <w:jc w:val="both"/>
        <w:textAlignment w:val="baseline"/>
        <w:rPr>
          <w:rStyle w:val="eop"/>
          <w:rFonts w:ascii="Arial" w:hAnsi="Arial" w:cs="Arial" w:eastAsiaTheme="majorEastAsia"/>
          <w:bCs/>
          <w:sz w:val="20"/>
          <w:szCs w:val="20"/>
        </w:rPr>
      </w:pPr>
      <w:r>
        <w:rPr>
          <w:rStyle w:val="normaltextrun"/>
          <w:rFonts w:ascii="Arial" w:hAnsi="Arial" w:cs="Arial" w:eastAsiaTheme="majorEastAsia"/>
          <w:b/>
          <w:sz w:val="20"/>
          <w:szCs w:val="20"/>
        </w:rPr>
        <w:t xml:space="preserve"> </w:t>
      </w:r>
      <w:r>
        <w:rPr>
          <w:rStyle w:val="normaltextrun"/>
          <w:rFonts w:ascii="Arial" w:hAnsi="Arial" w:cs="Arial" w:eastAsiaTheme="majorEastAsia"/>
          <w:bCs/>
          <w:sz w:val="20"/>
          <w:szCs w:val="20"/>
        </w:rPr>
        <w:t xml:space="preserve">At the end of each Month, GPC will determine: (i) the AGC Status Performance Requirement by calculating the AGC Status Performance Metric; and (ii) the AGC Setpoint Response Performance Requirement by calculating the AGC Setpoint Response Performance Metric. </w:t>
      </w:r>
    </w:p>
    <w:p w:rsidRPr="002D2A8F" w:rsidR="006F7483" w:rsidP="000907B6" w:rsidRDefault="008B55A2" w14:paraId="3C0B5B8A" w14:textId="77777777">
      <w:pPr>
        <w:pStyle w:val="zGBody3"/>
        <w:numPr>
          <w:ilvl w:val="2"/>
          <w:numId w:val="26"/>
        </w:numPr>
      </w:pPr>
      <w:r>
        <w:rPr>
          <w:rStyle w:val="normaltextrun"/>
          <w:b/>
        </w:rPr>
        <w:t xml:space="preserve">AGC Status Performance Requirement. </w:t>
      </w:r>
      <w:r>
        <w:rPr>
          <w:rStyle w:val="normaltextrun"/>
        </w:rPr>
        <w:t>The “</w:t>
      </w:r>
      <w:r w:rsidRPr="004B0BBF">
        <w:rPr>
          <w:rStyle w:val="normaltextrun"/>
          <w:b/>
        </w:rPr>
        <w:t>AGC Status Performance Requirement</w:t>
      </w:r>
      <w:r>
        <w:rPr>
          <w:rStyle w:val="normaltextrun"/>
        </w:rPr>
        <w:t>” for each Month is that the AGC Status Performance Metric for the Month must equal 0.90 or greater. GPC will calculate the AGC Status Performance Metric for each Month as follows:</w:t>
      </w:r>
      <w:r>
        <w:rPr>
          <w:rStyle w:val="eop"/>
        </w:rPr>
        <w:t> </w:t>
      </w:r>
    </w:p>
    <w:p w:rsidRPr="00AB61F6" w:rsidR="00AB61F6" w:rsidP="00AB61F6" w:rsidRDefault="008B55A2" w14:paraId="1AC39002" w14:textId="1460853B">
      <w:pPr>
        <w:pStyle w:val="paragraph"/>
        <w:widowControl w:val="0"/>
        <w:spacing w:before="0" w:beforeAutospacing="0" w:after="0" w:afterAutospacing="0"/>
        <w:ind w:left="2160"/>
        <w:textAlignment w:val="baseline"/>
        <w:rPr>
          <w:rStyle w:val="normaltextrun"/>
          <w:rFonts w:ascii="Arial" w:hAnsi="Arial" w:cs="Arial"/>
          <w:sz w:val="20"/>
          <w:szCs w:val="20"/>
        </w:rPr>
      </w:pPr>
      <w:r>
        <w:rPr>
          <w:rStyle w:val="normaltextrun"/>
          <w:rFonts w:ascii="Arial" w:hAnsi="Arial" w:cs="Arial"/>
          <w:b/>
          <w:bCs/>
          <w:sz w:val="20"/>
          <w:szCs w:val="20"/>
        </w:rPr>
        <w:lastRenderedPageBreak/>
        <w:t>AGC Status Performance Metric</w:t>
      </w:r>
      <w:r>
        <w:rPr>
          <w:rStyle w:val="normaltextrun"/>
          <w:rFonts w:ascii="Arial" w:hAnsi="Arial" w:cs="Arial"/>
          <w:sz w:val="20"/>
          <w:szCs w:val="20"/>
        </w:rPr>
        <w:t xml:space="preserve"> =  </w:t>
      </w:r>
      <w:r w:rsidR="007E5E75">
        <w:rPr>
          <w:rStyle w:val="normaltextrun"/>
          <w:rFonts w:ascii="Arial" w:hAnsi="Arial" w:cs="Arial"/>
          <w:sz w:val="20"/>
          <w:szCs w:val="20"/>
        </w:rPr>
        <w:t xml:space="preserve"> </w:t>
      </w:r>
      <w:r w:rsidR="007E5E75">
        <w:rPr>
          <w:rStyle w:val="BodyText3Char"/>
          <w:rFonts w:cs="Arial"/>
          <w:noProof/>
        </w:rPr>
        <w:drawing>
          <wp:inline distT="0" distB="0" distL="0" distR="0" wp14:anchorId="18821FD1" wp14:editId="5A62C948">
            <wp:extent cx="1447800" cy="376881"/>
            <wp:effectExtent l="0" t="0" r="0" b="4445"/>
            <wp:docPr id="100007" name="Formula Image 4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583" name=""/>
                    <pic:cNvPicPr>
                      <a:picLocks noChangeAspect="1"/>
                    </pic:cNvPicPr>
                  </pic:nvPicPr>
                  <pic:blipFill>
                    <a:blip r:embed="rId58"/>
                    <a:stretch>
                      <a:fillRect/>
                    </a:stretch>
                  </pic:blipFill>
                  <pic:spPr>
                    <a:xfrm>
                      <a:off x="0" y="0"/>
                      <a:ext cx="1455109" cy="378784"/>
                    </a:xfrm>
                    <a:prstGeom prst="rect">
                      <a:avLst/>
                    </a:prstGeom>
                  </pic:spPr>
                </pic:pic>
              </a:graphicData>
            </a:graphic>
          </wp:inline>
        </w:drawing>
      </w:r>
    </w:p>
    <w:p w:rsidRPr="004B0BBF" w:rsidR="00AB61F6" w:rsidP="004B0BBF" w:rsidRDefault="00AB61F6" w14:paraId="5B784C28" w14:textId="77777777">
      <w:pPr>
        <w:pStyle w:val="paragraph"/>
        <w:widowControl w:val="0"/>
        <w:spacing w:before="0" w:beforeAutospacing="0" w:after="0" w:afterAutospacing="0"/>
        <w:textAlignment w:val="baseline"/>
        <w:rPr>
          <w:rStyle w:val="normaltextrun"/>
        </w:rPr>
      </w:pPr>
    </w:p>
    <w:p w:rsidRPr="002D2A8F" w:rsidR="006F7483" w:rsidP="004A7DF5" w:rsidRDefault="008B55A2" w14:paraId="310E738C" w14:textId="77777777">
      <w:pPr>
        <w:pStyle w:val="paragraph"/>
        <w:widowControl w:val="0"/>
        <w:spacing w:before="0" w:beforeAutospacing="0" w:after="0" w:afterAutospacing="0"/>
        <w:ind w:left="1260"/>
        <w:textAlignment w:val="baseline"/>
        <w:rPr>
          <w:rStyle w:val="eop"/>
          <w:rFonts w:ascii="Arial" w:hAnsi="Arial" w:cs="Arial" w:eastAsiaTheme="majorEastAsia"/>
          <w:sz w:val="20"/>
          <w:szCs w:val="20"/>
        </w:rPr>
      </w:pPr>
      <w:r>
        <w:rPr>
          <w:rStyle w:val="normaltextrun"/>
          <w:rFonts w:ascii="Arial" w:hAnsi="Arial" w:cs="Arial" w:eastAsiaTheme="majorEastAsia"/>
          <w:sz w:val="20"/>
          <w:szCs w:val="20"/>
        </w:rPr>
        <w:t>Where:</w:t>
      </w:r>
      <w:r>
        <w:rPr>
          <w:rStyle w:val="eop"/>
          <w:rFonts w:ascii="Arial" w:hAnsi="Arial" w:cs="Arial" w:eastAsiaTheme="majorEastAsia"/>
          <w:sz w:val="20"/>
          <w:szCs w:val="20"/>
        </w:rPr>
        <w:t> </w:t>
      </w:r>
    </w:p>
    <w:p w:rsidRPr="002D2A8F" w:rsidR="006F7483" w:rsidP="004A7DF5" w:rsidRDefault="006F7483" w14:paraId="1273939C" w14:textId="77777777">
      <w:pPr>
        <w:pStyle w:val="paragraph"/>
        <w:widowControl w:val="0"/>
        <w:spacing w:before="0" w:beforeAutospacing="0" w:after="0" w:afterAutospacing="0"/>
        <w:ind w:left="1260"/>
        <w:textAlignment w:val="baseline"/>
        <w:rPr>
          <w:rFonts w:ascii="Arial" w:hAnsi="Arial" w:cs="Arial"/>
          <w:sz w:val="20"/>
          <w:szCs w:val="20"/>
        </w:rPr>
      </w:pPr>
    </w:p>
    <w:p w:rsidRPr="002D2A8F" w:rsidR="006F7483" w:rsidP="004A7DF5" w:rsidRDefault="008B55A2" w14:paraId="76F281AA" w14:textId="77777777">
      <w:pPr>
        <w:pStyle w:val="paragraph"/>
        <w:widowControl w:val="0"/>
        <w:spacing w:before="0" w:beforeAutospacing="0" w:after="0" w:afterAutospacing="0"/>
        <w:ind w:left="1260"/>
        <w:textAlignment w:val="baseline"/>
        <w:rPr>
          <w:rFonts w:ascii="Arial" w:hAnsi="Arial" w:cs="Arial"/>
          <w:sz w:val="20"/>
          <w:szCs w:val="20"/>
        </w:rPr>
      </w:pPr>
      <w:r>
        <w:rPr>
          <w:rStyle w:val="normaltextrun"/>
          <w:rFonts w:ascii="Arial" w:hAnsi="Arial" w:cs="Arial" w:eastAsiaTheme="majorEastAsia"/>
          <w:sz w:val="20"/>
          <w:szCs w:val="20"/>
        </w:rPr>
        <w:t>n = total 6-second AGC periods in the Month</w:t>
      </w:r>
      <w:r>
        <w:rPr>
          <w:rStyle w:val="eop"/>
          <w:rFonts w:ascii="Arial" w:hAnsi="Arial" w:cs="Arial" w:eastAsiaTheme="majorEastAsia"/>
          <w:sz w:val="20"/>
          <w:szCs w:val="20"/>
        </w:rPr>
        <w:t>.</w:t>
      </w:r>
    </w:p>
    <w:p w:rsidRPr="002D2A8F" w:rsidR="006F7483" w:rsidP="004A7DF5" w:rsidRDefault="006F7483" w14:paraId="50654739" w14:textId="77777777">
      <w:pPr>
        <w:pStyle w:val="paragraph"/>
        <w:widowControl w:val="0"/>
        <w:spacing w:before="0" w:beforeAutospacing="0" w:after="0" w:afterAutospacing="0"/>
        <w:ind w:left="1260" w:firstLine="720"/>
        <w:jc w:val="both"/>
        <w:textAlignment w:val="baseline"/>
        <w:rPr>
          <w:rStyle w:val="normaltextrun"/>
          <w:rFonts w:ascii="Arial" w:hAnsi="Arial" w:cs="Arial" w:eastAsiaTheme="majorEastAsia"/>
          <w:sz w:val="20"/>
          <w:szCs w:val="20"/>
        </w:rPr>
      </w:pPr>
    </w:p>
    <w:p w:rsidRPr="002D2A8F" w:rsidR="006F7483" w:rsidP="004A7DF5" w:rsidRDefault="008B55A2" w14:paraId="586A4845" w14:textId="77777777">
      <w:pPr>
        <w:pStyle w:val="paragraph"/>
        <w:widowControl w:val="0"/>
        <w:spacing w:before="0" w:beforeAutospacing="0" w:after="0" w:afterAutospacing="0"/>
        <w:ind w:left="1260"/>
        <w:jc w:val="both"/>
        <w:textAlignment w:val="baseline"/>
        <w:rPr>
          <w:rFonts w:ascii="Arial" w:hAnsi="Arial" w:cs="Arial"/>
          <w:sz w:val="20"/>
          <w:szCs w:val="20"/>
        </w:rPr>
      </w:pPr>
      <w:r>
        <w:rPr>
          <w:rStyle w:val="normaltextrun"/>
          <w:rFonts w:ascii="Arial" w:hAnsi="Arial" w:cs="Arial" w:eastAsiaTheme="majorEastAsia"/>
          <w:sz w:val="20"/>
          <w:szCs w:val="20"/>
        </w:rPr>
        <w:t>i = 6-second data point;</w:t>
      </w:r>
      <w:r>
        <w:rPr>
          <w:rStyle w:val="eop"/>
          <w:rFonts w:ascii="Arial" w:hAnsi="Arial" w:cs="Arial" w:eastAsiaTheme="majorEastAsia"/>
          <w:sz w:val="20"/>
          <w:szCs w:val="20"/>
        </w:rPr>
        <w:t> and,</w:t>
      </w:r>
    </w:p>
    <w:p w:rsidRPr="002D2A8F" w:rsidR="006F7483" w:rsidP="004A7DF5" w:rsidRDefault="008B55A2" w14:paraId="006374DC" w14:textId="77777777">
      <w:pPr>
        <w:pStyle w:val="paragraph"/>
        <w:widowControl w:val="0"/>
        <w:spacing w:before="0" w:beforeAutospacing="0" w:after="0" w:afterAutospacing="0"/>
        <w:ind w:left="1260"/>
        <w:jc w:val="both"/>
        <w:textAlignment w:val="baseline"/>
        <w:rPr>
          <w:rFonts w:ascii="Arial" w:hAnsi="Arial" w:cs="Arial"/>
          <w:sz w:val="20"/>
          <w:szCs w:val="20"/>
        </w:rPr>
      </w:pPr>
      <w:r>
        <w:rPr>
          <w:rStyle w:val="eop"/>
          <w:rFonts w:ascii="Arial" w:hAnsi="Arial" w:cs="Arial" w:eastAsiaTheme="majorEastAsia"/>
          <w:sz w:val="20"/>
          <w:szCs w:val="20"/>
        </w:rPr>
        <w:t> </w:t>
      </w:r>
    </w:p>
    <w:p w:rsidRPr="002D2A8F" w:rsidR="006F7483" w:rsidP="004A7DF5" w:rsidRDefault="008B55A2" w14:paraId="0286BDB8" w14:textId="462CB5D1">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normaltextrun"/>
          <w:rFonts w:ascii="Arial" w:hAnsi="Arial" w:cs="Arial" w:eastAsiaTheme="majorEastAsia"/>
          <w:b/>
          <w:sz w:val="20"/>
          <w:szCs w:val="20"/>
        </w:rPr>
        <w:t>“AGC Status”</w:t>
      </w:r>
      <w:r>
        <w:rPr>
          <w:rStyle w:val="normaltextrun"/>
          <w:rFonts w:ascii="Arial" w:hAnsi="Arial" w:cs="Arial" w:eastAsiaTheme="majorEastAsia"/>
          <w:sz w:val="20"/>
          <w:szCs w:val="20"/>
        </w:rPr>
        <w:t xml:space="preserve"> = “1” if the BESS is in AGC mode and capable of responding to GPC’s AGC Setpoint signal, or “0” if the BESS is not in AGC mode and is not capable of responding to GPC’s AGC Setpoint signal.</w:t>
      </w:r>
      <w:r>
        <w:rPr>
          <w:rStyle w:val="eop"/>
          <w:rFonts w:ascii="Arial" w:hAnsi="Arial" w:cs="Arial" w:eastAsiaTheme="majorEastAsia"/>
          <w:sz w:val="20"/>
          <w:szCs w:val="20"/>
        </w:rPr>
        <w:t xml:space="preserve"> </w:t>
      </w:r>
    </w:p>
    <w:p w:rsidRPr="002D2A8F" w:rsidR="006F7483" w:rsidP="006F7483" w:rsidRDefault="006F7483" w14:paraId="0628EC41" w14:textId="77777777">
      <w:pPr>
        <w:pStyle w:val="paragraph"/>
        <w:widowControl w:val="0"/>
        <w:spacing w:before="0" w:beforeAutospacing="0" w:after="0" w:afterAutospacing="0"/>
        <w:ind w:left="1170"/>
        <w:jc w:val="both"/>
        <w:textAlignment w:val="baseline"/>
        <w:rPr>
          <w:rFonts w:ascii="Arial" w:hAnsi="Arial" w:cs="Arial"/>
          <w:sz w:val="20"/>
          <w:szCs w:val="20"/>
        </w:rPr>
      </w:pPr>
    </w:p>
    <w:p w:rsidRPr="00BD0F96" w:rsidR="006F7483" w:rsidP="000907B6" w:rsidRDefault="008B55A2" w14:paraId="6AFC2223" w14:textId="77777777">
      <w:pPr>
        <w:pStyle w:val="zGBody3"/>
        <w:numPr>
          <w:ilvl w:val="2"/>
          <w:numId w:val="26"/>
        </w:numPr>
        <w:rPr>
          <w:b/>
          <w:vanish/>
          <w:specVanish/>
        </w:rPr>
      </w:pPr>
      <w:r>
        <w:rPr>
          <w:rStyle w:val="normaltextrun"/>
          <w:b/>
        </w:rPr>
        <w:t>AGC Setpoint Response Performance Requirement.</w:t>
      </w:r>
    </w:p>
    <w:p w:rsidR="00C408BC" w:rsidP="006F7483" w:rsidRDefault="008B55A2" w14:paraId="65B67CEE" w14:textId="3C47EECA">
      <w:pPr>
        <w:pStyle w:val="paragraph"/>
        <w:widowControl w:val="0"/>
        <w:spacing w:before="0" w:beforeAutospacing="0" w:after="0" w:afterAutospacing="0"/>
        <w:ind w:left="1152"/>
        <w:jc w:val="both"/>
        <w:textAlignment w:val="baseline"/>
        <w:rPr>
          <w:rStyle w:val="normaltextrun"/>
          <w:rFonts w:ascii="Arial" w:hAnsi="Arial" w:cs="Arial" w:eastAsiaTheme="majorEastAsia"/>
          <w:sz w:val="20"/>
          <w:szCs w:val="20"/>
        </w:rPr>
      </w:pPr>
      <w:r>
        <w:rPr>
          <w:rStyle w:val="normaltextrun"/>
          <w:rFonts w:ascii="Arial" w:hAnsi="Arial" w:cs="Arial" w:eastAsiaTheme="majorEastAsia"/>
          <w:b/>
          <w:bCs/>
          <w:sz w:val="20"/>
          <w:szCs w:val="20"/>
        </w:rPr>
        <w:t xml:space="preserve"> </w:t>
      </w:r>
      <w:r>
        <w:rPr>
          <w:rStyle w:val="normaltextrun"/>
          <w:rFonts w:ascii="Arial" w:hAnsi="Arial" w:cs="Arial" w:eastAsiaTheme="majorEastAsia"/>
          <w:sz w:val="20"/>
          <w:szCs w:val="20"/>
        </w:rPr>
        <w:t>The “</w:t>
      </w:r>
      <w:r>
        <w:rPr>
          <w:rStyle w:val="normaltextrun"/>
          <w:rFonts w:ascii="Arial" w:hAnsi="Arial" w:cs="Arial" w:eastAsiaTheme="majorEastAsia"/>
          <w:b/>
          <w:bCs/>
          <w:sz w:val="20"/>
          <w:szCs w:val="20"/>
        </w:rPr>
        <w:t>AGC Setpoint Response Performance Requirement</w:t>
      </w:r>
      <w:r>
        <w:rPr>
          <w:rStyle w:val="normaltextrun"/>
          <w:rFonts w:ascii="Arial" w:hAnsi="Arial" w:cs="Arial" w:eastAsiaTheme="majorEastAsia"/>
          <w:sz w:val="20"/>
          <w:szCs w:val="20"/>
        </w:rPr>
        <w:t>” for each Month is that the “</w:t>
      </w:r>
      <w:r>
        <w:rPr>
          <w:rStyle w:val="normaltextrun"/>
          <w:rFonts w:ascii="Arial" w:hAnsi="Arial" w:cs="Arial" w:eastAsiaTheme="majorEastAsia"/>
          <w:b/>
          <w:bCs/>
          <w:sz w:val="20"/>
          <w:szCs w:val="20"/>
        </w:rPr>
        <w:t>AGC Setpoint Response Performance Metric</w:t>
      </w:r>
      <w:r>
        <w:rPr>
          <w:rStyle w:val="normaltextrun"/>
          <w:rFonts w:ascii="Arial" w:hAnsi="Arial" w:cs="Arial" w:eastAsiaTheme="majorEastAsia"/>
          <w:sz w:val="20"/>
          <w:szCs w:val="20"/>
        </w:rPr>
        <w:t>” (i.e., Root Mean Squared Error (“</w:t>
      </w:r>
      <w:r>
        <w:rPr>
          <w:rStyle w:val="normaltextrun"/>
          <w:rFonts w:ascii="Arial" w:hAnsi="Arial" w:cs="Arial" w:eastAsiaTheme="majorEastAsia"/>
          <w:b/>
          <w:sz w:val="20"/>
          <w:szCs w:val="20"/>
        </w:rPr>
        <w:t>RMSE</w:t>
      </w:r>
      <w:r>
        <w:rPr>
          <w:rStyle w:val="normaltextrun"/>
          <w:rFonts w:ascii="Arial" w:hAnsi="Arial" w:cs="Arial" w:eastAsiaTheme="majorEastAsia"/>
          <w:sz w:val="20"/>
          <w:szCs w:val="20"/>
        </w:rPr>
        <w:t xml:space="preserve">”)) for the Month must be less than or equal to 5. Upon request of either Party, the Operating Committee may relax the RMSE requirement of 5 based on performance factors that affect the RMSE. The Operating Committee must: (i) agree to any adjustment, which agreement must not be unreasonably withheld, conditioned, or delayed; and (ii) document any adjustment in the Operating Procedures. </w:t>
      </w:r>
    </w:p>
    <w:p w:rsidR="00C408BC" w:rsidP="006F7483" w:rsidRDefault="00C408BC" w14:paraId="24E3A163" w14:textId="77777777">
      <w:pPr>
        <w:pStyle w:val="paragraph"/>
        <w:widowControl w:val="0"/>
        <w:spacing w:before="0" w:beforeAutospacing="0" w:after="0" w:afterAutospacing="0"/>
        <w:ind w:left="1152"/>
        <w:jc w:val="both"/>
        <w:textAlignment w:val="baseline"/>
        <w:rPr>
          <w:rStyle w:val="normaltextrun"/>
          <w:rFonts w:ascii="Arial" w:hAnsi="Arial" w:cs="Arial" w:eastAsiaTheme="majorEastAsia"/>
          <w:sz w:val="20"/>
          <w:szCs w:val="20"/>
        </w:rPr>
      </w:pPr>
    </w:p>
    <w:p w:rsidRPr="004A7DF5" w:rsidR="006F7483" w:rsidP="006F7483" w:rsidRDefault="008B55A2" w14:paraId="4BB30E28" w14:textId="77777777">
      <w:pPr>
        <w:pStyle w:val="paragraph"/>
        <w:widowControl w:val="0"/>
        <w:spacing w:before="0" w:beforeAutospacing="0" w:after="0" w:afterAutospacing="0"/>
        <w:ind w:left="1152"/>
        <w:jc w:val="both"/>
        <w:textAlignment w:val="baseline"/>
        <w:rPr>
          <w:rStyle w:val="normaltextrun"/>
          <w:rFonts w:ascii="Arial" w:hAnsi="Arial" w:cs="Arial" w:eastAsiaTheme="majorEastAsia"/>
          <w:sz w:val="20"/>
          <w:szCs w:val="20"/>
        </w:rPr>
      </w:pPr>
      <w:r>
        <w:rPr>
          <w:rStyle w:val="normaltextrun"/>
          <w:rFonts w:ascii="Arial" w:hAnsi="Arial" w:cs="Arial" w:eastAsiaTheme="majorEastAsia"/>
          <w:sz w:val="20"/>
          <w:szCs w:val="20"/>
        </w:rPr>
        <w:t>The RMSE for each Month will be calculated as follows:</w:t>
      </w:r>
      <w:r>
        <w:rPr>
          <w:rStyle w:val="eop"/>
          <w:rFonts w:ascii="Arial" w:hAnsi="Arial" w:cs="Arial" w:eastAsiaTheme="majorEastAsia"/>
          <w:sz w:val="20"/>
          <w:szCs w:val="20"/>
        </w:rPr>
        <w:t>  </w:t>
      </w:r>
      <w:r>
        <w:rPr>
          <w:rStyle w:val="normaltextrun"/>
          <w:rFonts w:ascii="Arial" w:hAnsi="Arial" w:cs="Arial" w:eastAsiaTheme="majorEastAsia"/>
          <w:sz w:val="20"/>
          <w:szCs w:val="20"/>
        </w:rPr>
        <w:t> </w:t>
      </w:r>
    </w:p>
    <w:p w:rsidRPr="002D2A8F" w:rsidR="006F7483" w:rsidP="006F7483" w:rsidRDefault="008B55A2" w14:paraId="2F330167" w14:textId="77777777">
      <w:pPr>
        <w:pStyle w:val="paragraph"/>
        <w:widowControl w:val="0"/>
        <w:spacing w:before="0" w:beforeAutospacing="0" w:after="0" w:afterAutospacing="0"/>
        <w:ind w:left="1152"/>
        <w:jc w:val="both"/>
        <w:textAlignment w:val="baseline"/>
        <w:rPr>
          <w:rFonts w:ascii="Arial" w:hAnsi="Arial" w:cs="Arial"/>
          <w:sz w:val="20"/>
          <w:szCs w:val="20"/>
        </w:rPr>
      </w:pPr>
      <w:r>
        <w:rPr>
          <w:rStyle w:val="eop"/>
          <w:rFonts w:ascii="Arial" w:hAnsi="Arial" w:cs="Arial" w:eastAsiaTheme="majorEastAsia"/>
          <w:sz w:val="20"/>
          <w:szCs w:val="20"/>
        </w:rPr>
        <w:t> </w:t>
      </w:r>
    </w:p>
    <w:p w:rsidRPr="002D2A8F" w:rsidR="006326DC" w:rsidP="006326DC" w:rsidRDefault="008B55A2" w14:paraId="52C9A355" w14:textId="77777777">
      <w:pPr>
        <w:pStyle w:val="paragraph"/>
        <w:widowControl w:val="0"/>
        <w:spacing w:before="0" w:beforeAutospacing="0" w:after="0" w:afterAutospacing="0"/>
        <w:ind w:left="1152"/>
        <w:jc w:val="both"/>
        <w:textAlignment w:val="baseline"/>
        <w:rPr>
          <w:rFonts w:ascii="Arial" w:hAnsi="Arial" w:cs="Arial"/>
          <w:sz w:val="20"/>
          <w:szCs w:val="20"/>
        </w:rPr>
      </w:pPr>
      <w:r>
        <w:rPr>
          <w:rStyle w:val="eop"/>
          <w:rFonts w:ascii="Arial" w:hAnsi="Arial" w:cs="Arial" w:eastAsiaTheme="majorEastAsia"/>
          <w:sz w:val="20"/>
          <w:szCs w:val="20"/>
        </w:rPr>
        <w:t> </w:t>
      </w:r>
    </w:p>
    <w:p w:rsidRPr="00110A7E" w:rsidR="006326DC" w:rsidP="00110A7E" w:rsidRDefault="007005D9" w14:paraId="1C8BE8B2" w14:textId="163F5504">
      <w:pPr>
        <w:pStyle w:val="paragraph"/>
        <w:widowControl w:val="0"/>
        <w:spacing w:before="0" w:beforeAutospacing="0" w:after="0" w:afterAutospacing="0"/>
        <w:ind w:left="540"/>
        <w:jc w:val="both"/>
        <w:textAlignment w:val="baseline"/>
        <w:rPr>
          <w:rFonts w:ascii="Arial" w:hAnsi="Arial" w:cs="Arial"/>
          <w:sz w:val="19"/>
          <w:szCs w:val="19"/>
        </w:rPr>
      </w:pPr>
      <w:r>
        <w:rPr>
          <w:rFonts w:ascii="Arial" w:hAnsi="Arial" w:cs="Arial"/>
          <w:noProof/>
          <w:sz w:val="19"/>
          <w:szCs w:val="19"/>
        </w:rPr>
        <w:drawing>
          <wp:inline distT="0" distB="0" distL="0" distR="0" wp14:anchorId="144B1A78" wp14:editId="20432B1D">
            <wp:extent cx="2827340" cy="370201"/>
            <wp:effectExtent l="0" t="0" r="0" b="0"/>
            <wp:docPr id="100005" name="Formula Image 5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584" name=""/>
                    <pic:cNvPicPr>
                      <a:picLocks noChangeAspect="1"/>
                    </pic:cNvPicPr>
                  </pic:nvPicPr>
                  <pic:blipFill>
                    <a:blip r:embed="rId59"/>
                    <a:stretch>
                      <a:fillRect/>
                    </a:stretch>
                  </pic:blipFill>
                  <pic:spPr>
                    <a:xfrm>
                      <a:off x="0" y="0"/>
                      <a:ext cx="2827340" cy="370201"/>
                    </a:xfrm>
                    <a:prstGeom prst="rect">
                      <a:avLst/>
                    </a:prstGeom>
                  </pic:spPr>
                </pic:pic>
              </a:graphicData>
            </a:graphic>
          </wp:inline>
        </w:drawing>
      </w:r>
    </w:p>
    <w:p w:rsidRPr="002D2A8F" w:rsidR="006F7483" w:rsidP="006F7483" w:rsidRDefault="006F7483" w14:paraId="3E6AAEF5" w14:textId="77777777">
      <w:pPr>
        <w:pStyle w:val="paragraph"/>
        <w:widowControl w:val="0"/>
        <w:spacing w:before="0" w:beforeAutospacing="0" w:after="0" w:afterAutospacing="0"/>
        <w:ind w:left="1170"/>
        <w:jc w:val="both"/>
        <w:textAlignment w:val="baseline"/>
        <w:rPr>
          <w:rStyle w:val="normaltextrun"/>
          <w:rFonts w:ascii="Arial" w:hAnsi="Arial" w:cs="Arial" w:eastAsiaTheme="majorEastAsia"/>
          <w:sz w:val="20"/>
          <w:szCs w:val="20"/>
        </w:rPr>
      </w:pPr>
    </w:p>
    <w:p w:rsidRPr="002D2A8F" w:rsidR="006F7483" w:rsidP="004A7DF5" w:rsidRDefault="008B55A2" w14:paraId="1DC6D2FC"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normaltextrun"/>
          <w:rFonts w:ascii="Arial" w:hAnsi="Arial" w:cs="Arial" w:eastAsiaTheme="majorEastAsia"/>
          <w:sz w:val="20"/>
          <w:szCs w:val="20"/>
        </w:rPr>
        <w:t>Where:</w:t>
      </w:r>
      <w:r>
        <w:rPr>
          <w:rStyle w:val="eop"/>
          <w:rFonts w:ascii="Arial" w:hAnsi="Arial" w:cs="Arial" w:eastAsiaTheme="majorEastAsia"/>
          <w:sz w:val="20"/>
          <w:szCs w:val="20"/>
        </w:rPr>
        <w:t> </w:t>
      </w:r>
    </w:p>
    <w:p w:rsidRPr="002D2A8F" w:rsidR="006F7483" w:rsidP="004A7DF5" w:rsidRDefault="006F7483" w14:paraId="6F98C930" w14:textId="77777777">
      <w:pPr>
        <w:pStyle w:val="paragraph"/>
        <w:widowControl w:val="0"/>
        <w:spacing w:before="0" w:beforeAutospacing="0" w:after="0" w:afterAutospacing="0"/>
        <w:ind w:left="1260"/>
        <w:jc w:val="both"/>
        <w:textAlignment w:val="baseline"/>
        <w:rPr>
          <w:rFonts w:ascii="Arial" w:hAnsi="Arial" w:cs="Arial"/>
          <w:sz w:val="20"/>
          <w:szCs w:val="20"/>
        </w:rPr>
      </w:pPr>
    </w:p>
    <w:p w:rsidRPr="002D2A8F" w:rsidR="006F7483" w:rsidP="004A7DF5" w:rsidRDefault="008B55A2" w14:paraId="536B26C1" w14:textId="77777777">
      <w:pPr>
        <w:pStyle w:val="paragraph"/>
        <w:widowControl w:val="0"/>
        <w:spacing w:before="0" w:beforeAutospacing="0" w:after="0" w:afterAutospacing="0"/>
        <w:ind w:left="1260"/>
        <w:jc w:val="both"/>
        <w:textAlignment w:val="baseline"/>
        <w:rPr>
          <w:rStyle w:val="normaltextrun"/>
          <w:rFonts w:ascii="Arial" w:hAnsi="Arial" w:cs="Arial" w:eastAsiaTheme="majorEastAsia"/>
          <w:sz w:val="20"/>
          <w:szCs w:val="20"/>
        </w:rPr>
      </w:pPr>
      <w:r>
        <w:rPr>
          <w:rStyle w:val="normaltextrun"/>
          <w:rFonts w:ascii="Arial" w:hAnsi="Arial" w:cs="Arial" w:eastAsiaTheme="majorEastAsia"/>
          <w:sz w:val="20"/>
          <w:szCs w:val="20"/>
        </w:rPr>
        <w:t>n = Total 6-second AGC periods in the Month for which there is a non-zero AGC Setpoint signal;</w:t>
      </w:r>
    </w:p>
    <w:p w:rsidRPr="002D2A8F" w:rsidR="006F7483" w:rsidP="004A7DF5" w:rsidRDefault="008B55A2" w14:paraId="50BA9EBE"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normaltextrun"/>
          <w:rFonts w:ascii="Arial" w:hAnsi="Arial" w:cs="Arial" w:eastAsiaTheme="majorEastAsia"/>
          <w:sz w:val="20"/>
          <w:szCs w:val="20"/>
        </w:rPr>
        <w:t> </w:t>
      </w:r>
      <w:r>
        <w:rPr>
          <w:rStyle w:val="eop"/>
          <w:rFonts w:ascii="Arial" w:hAnsi="Arial" w:cs="Arial" w:eastAsiaTheme="majorEastAsia"/>
          <w:sz w:val="20"/>
          <w:szCs w:val="20"/>
        </w:rPr>
        <w:t> </w:t>
      </w:r>
    </w:p>
    <w:p w:rsidRPr="002D2A8F" w:rsidR="006F7483" w:rsidP="004A7DF5" w:rsidRDefault="008B55A2" w14:paraId="2268B6B1" w14:textId="2FD9C7FA">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normaltextrun"/>
          <w:rFonts w:ascii="Arial" w:hAnsi="Arial" w:cs="Arial" w:eastAsiaTheme="majorEastAsia"/>
          <w:sz w:val="20"/>
          <w:szCs w:val="20"/>
        </w:rPr>
        <w:t>i = 6-second data point; and</w:t>
      </w:r>
    </w:p>
    <w:p w:rsidRPr="002D2A8F" w:rsidR="006F7483" w:rsidP="004A7DF5" w:rsidRDefault="006F7483" w14:paraId="26356BB6" w14:textId="77777777">
      <w:pPr>
        <w:pStyle w:val="paragraph"/>
        <w:widowControl w:val="0"/>
        <w:spacing w:before="0" w:beforeAutospacing="0" w:after="0" w:afterAutospacing="0"/>
        <w:ind w:left="1260"/>
        <w:jc w:val="both"/>
        <w:textAlignment w:val="baseline"/>
        <w:rPr>
          <w:rFonts w:ascii="Arial" w:hAnsi="Arial" w:cs="Arial"/>
          <w:sz w:val="20"/>
          <w:szCs w:val="20"/>
        </w:rPr>
      </w:pPr>
    </w:p>
    <w:p w:rsidRPr="004B0BBF" w:rsidR="006F7483" w:rsidP="004A7DF5" w:rsidRDefault="008B55A2" w14:paraId="6A71DC90" w14:textId="77777777">
      <w:pPr>
        <w:pStyle w:val="paragraph"/>
        <w:widowControl w:val="0"/>
        <w:spacing w:before="0" w:beforeAutospacing="0" w:after="0" w:afterAutospacing="0"/>
        <w:ind w:left="1260"/>
        <w:jc w:val="both"/>
        <w:textAlignment w:val="baseline"/>
        <w:rPr>
          <w:rStyle w:val="eop"/>
          <w:rFonts w:eastAsiaTheme="majorEastAsia"/>
        </w:rPr>
      </w:pPr>
      <w:r>
        <w:rPr>
          <w:rStyle w:val="normaltextrun"/>
          <w:rFonts w:ascii="Arial" w:hAnsi="Arial" w:cs="Arial" w:eastAsiaTheme="majorEastAsia"/>
          <w:bCs/>
          <w:sz w:val="20"/>
          <w:szCs w:val="20"/>
          <w:u w:val="single"/>
        </w:rPr>
        <w:t>AGC Setpoint</w:t>
      </w:r>
      <w:r>
        <w:rPr>
          <w:rStyle w:val="normaltextrun"/>
          <w:rFonts w:ascii="Arial" w:hAnsi="Arial" w:cs="Arial" w:eastAsiaTheme="majorEastAsia"/>
          <w:sz w:val="20"/>
          <w:szCs w:val="20"/>
        </w:rPr>
        <w:t xml:space="preserve"> = AGC Setpoint value (MW) for the 6-second AGC period;</w:t>
      </w:r>
      <w:r>
        <w:rPr>
          <w:rStyle w:val="eop"/>
          <w:rFonts w:ascii="Arial" w:hAnsi="Arial" w:cs="Arial" w:eastAsiaTheme="majorEastAsia"/>
          <w:sz w:val="20"/>
          <w:szCs w:val="20"/>
        </w:rPr>
        <w:t> </w:t>
      </w:r>
    </w:p>
    <w:p w:rsidRPr="002D2A8F" w:rsidR="000C0842" w:rsidP="004A7DF5" w:rsidRDefault="000C0842" w14:paraId="37C142F5" w14:textId="50D9A1BA">
      <w:pPr>
        <w:pStyle w:val="paragraph"/>
        <w:widowControl w:val="0"/>
        <w:spacing w:before="0" w:beforeAutospacing="0" w:after="0" w:afterAutospacing="0"/>
        <w:ind w:left="1260"/>
        <w:jc w:val="both"/>
        <w:textAlignment w:val="baseline"/>
        <w:rPr>
          <w:rFonts w:ascii="Arial" w:hAnsi="Arial" w:cs="Arial"/>
          <w:sz w:val="20"/>
          <w:szCs w:val="20"/>
        </w:rPr>
      </w:pPr>
    </w:p>
    <w:p w:rsidRPr="004B0BBF" w:rsidR="006F7483" w:rsidP="00FD4764" w:rsidRDefault="008B55A2" w14:paraId="2D276A0A" w14:textId="2F79AE54">
      <w:pPr>
        <w:pStyle w:val="paragraph"/>
        <w:widowControl w:val="0"/>
        <w:spacing w:before="0" w:beforeAutospacing="0" w:after="0" w:afterAutospacing="0"/>
        <w:ind w:left="1260"/>
        <w:jc w:val="both"/>
        <w:textAlignment w:val="baseline"/>
        <w:rPr>
          <w:rStyle w:val="eop"/>
          <w:rFonts w:eastAsiaTheme="majorEastAsia"/>
        </w:rPr>
      </w:pPr>
      <w:r>
        <w:rPr>
          <w:rStyle w:val="normaltextrun"/>
          <w:rFonts w:ascii="Arial" w:hAnsi="Arial" w:cs="Arial" w:eastAsiaTheme="majorEastAsia"/>
          <w:sz w:val="20"/>
          <w:szCs w:val="20"/>
          <w:u w:val="single"/>
        </w:rPr>
        <w:t>BESS Input/Output</w:t>
      </w:r>
      <w:r>
        <w:rPr>
          <w:rStyle w:val="normaltextrun"/>
          <w:rFonts w:ascii="Arial" w:hAnsi="Arial" w:cs="Arial" w:eastAsiaTheme="majorEastAsia"/>
          <w:sz w:val="20"/>
          <w:szCs w:val="20"/>
        </w:rPr>
        <w:t xml:space="preserve"> = The energy (MW) either delivered from the BESS or to the BESS for the 6-second AGC period;</w:t>
      </w:r>
      <w:r>
        <w:rPr>
          <w:rStyle w:val="eop"/>
          <w:rFonts w:ascii="Arial" w:hAnsi="Arial" w:cs="Arial" w:eastAsiaTheme="majorEastAsia"/>
          <w:sz w:val="20"/>
          <w:szCs w:val="20"/>
        </w:rPr>
        <w:t> </w:t>
      </w:r>
    </w:p>
    <w:p w:rsidRPr="002D2A8F" w:rsidR="000C0842" w:rsidP="00FD4764" w:rsidRDefault="000C0842" w14:paraId="2E014167" w14:textId="77777777">
      <w:pPr>
        <w:pStyle w:val="paragraph"/>
        <w:widowControl w:val="0"/>
        <w:spacing w:before="0" w:beforeAutospacing="0" w:after="0" w:afterAutospacing="0"/>
        <w:ind w:left="1260"/>
        <w:jc w:val="both"/>
        <w:textAlignment w:val="baseline"/>
        <w:rPr>
          <w:rFonts w:ascii="Arial" w:hAnsi="Arial" w:cs="Arial"/>
          <w:sz w:val="20"/>
          <w:szCs w:val="20"/>
        </w:rPr>
      </w:pPr>
    </w:p>
    <w:p w:rsidR="00BD0F96" w:rsidP="00BA377C" w:rsidRDefault="008B55A2" w14:paraId="5C1BC06C" w14:textId="6A21878F">
      <w:pPr>
        <w:pStyle w:val="zGNormal"/>
        <w:ind w:left="1260"/>
        <w:rPr>
          <w:rStyle w:val="zGNormalChar"/>
        </w:rPr>
        <w:sectPr w:rsidR="00BD0F96" w:rsidSect="00226062">
          <w:headerReference w:type="even" r:id="rId60"/>
          <w:headerReference w:type="default" r:id="rId61"/>
          <w:footerReference w:type="even" r:id="rId62"/>
          <w:footerReference w:type="default" r:id="rId63"/>
          <w:headerReference w:type="first" r:id="rId64"/>
          <w:footerReference w:type="first" r:id="rId65"/>
          <w:pgSz w:w="12240" w:h="15840" w:code="1"/>
          <w:pgMar w:top="1440" w:right="1440" w:bottom="1440" w:left="1440" w:header="720" w:footer="720" w:gutter="0"/>
          <w:paperSrc w:first="15" w:other="15"/>
          <w:cols w:space="1440"/>
        </w:sectPr>
      </w:pPr>
      <w:r>
        <w:rPr>
          <w:rStyle w:val="zGNormalChar"/>
        </w:rPr>
        <w:t>Any 6-second period during which the AGC Setpoint signal = 0 will be excluded from the calculation of RMSE.</w:t>
      </w:r>
      <w:r>
        <w:rPr>
          <w:rStyle w:val="zGNormalChar"/>
        </w:rPr>
        <w:br w:type="page"/>
      </w:r>
    </w:p>
    <w:p w:rsidRPr="000B231F" w:rsidR="006D717A" w:rsidP="001A4899" w:rsidRDefault="006D717A" w14:paraId="2FB1D151" w14:textId="77777777">
      <w:pPr>
        <w:pStyle w:val="zGNormal"/>
        <w:ind w:left="1170"/>
        <w:rPr>
          <w:rStyle w:val="zGNormalChar"/>
        </w:rPr>
      </w:pPr>
    </w:p>
    <w:p w:rsidRPr="004B0BBF" w:rsidR="00D4417C" w:rsidP="004B0BBF" w:rsidRDefault="008B55A2" w14:paraId="53B7E159" w14:textId="169A4FB8">
      <w:pPr>
        <w:pStyle w:val="zGTitleExhibit"/>
        <w:rPr>
          <w:b w:val="0"/>
          <w:caps w:val="0"/>
        </w:rPr>
      </w:pPr>
      <w:bookmarkStart w:name="_Toc194937599" w:id="1484"/>
      <w:bookmarkStart w:name="_Toc227451675" w:id="1485"/>
      <w:bookmarkStart w:name="_Toc160518920" w:id="1486"/>
      <w:r w:rsidRPr="00FE32A1">
        <w:t xml:space="preserve">Exhibit </w:t>
      </w:r>
      <w:r w:rsidRPr="00564BE1">
        <w:t xml:space="preserve">D – </w:t>
      </w:r>
      <w:r>
        <w:t>Reserved</w:t>
      </w:r>
      <w:bookmarkEnd w:id="1484"/>
      <w:bookmarkEnd w:id="1485"/>
    </w:p>
    <w:p w:rsidR="00D4417C" w:rsidRDefault="008B55A2" w14:paraId="504CF3C4" w14:textId="77777777">
      <w:pPr>
        <w:rPr>
          <w:rFonts w:ascii="Arial" w:hAnsi="Arial" w:eastAsia="Times New Roman" w:cs="Arial"/>
          <w:b/>
          <w:bCs/>
          <w:caps/>
          <w:kern w:val="32"/>
          <w:szCs w:val="32"/>
          <w:u w:val="single"/>
        </w:rPr>
      </w:pPr>
      <w:r>
        <w:rPr>
          <w:rFonts w:ascii="Arial" w:hAnsi="Arial" w:eastAsia="Times New Roman" w:cs="Arial"/>
          <w:b/>
          <w:bCs/>
          <w:caps/>
          <w:kern w:val="32"/>
          <w:szCs w:val="32"/>
          <w:u w:val="single"/>
        </w:rPr>
        <w:br w:type="page"/>
      </w:r>
    </w:p>
    <w:p w:rsidRPr="00FE32A1" w:rsidR="00050A04" w:rsidP="004B0BBF" w:rsidRDefault="00050A04" w14:paraId="33307747" w14:textId="77777777">
      <w:pPr>
        <w:pStyle w:val="zGTitleExhibit"/>
      </w:pPr>
    </w:p>
    <w:p w:rsidRPr="004B0BBF" w:rsidR="00B16079" w:rsidP="004B0BBF" w:rsidRDefault="008B55A2" w14:paraId="655CA6CC" w14:textId="77777777">
      <w:pPr>
        <w:pStyle w:val="zGTitleExhibit"/>
        <w:rPr>
          <w:b w:val="0"/>
          <w:caps w:val="0"/>
        </w:rPr>
      </w:pPr>
      <w:bookmarkStart w:name="_Toc194937600" w:id="1487"/>
      <w:bookmarkStart w:name="_Toc227451676" w:id="1488"/>
      <w:r w:rsidRPr="00FE32A1">
        <w:t xml:space="preserve">Exhibit E – </w:t>
      </w:r>
      <w:r w:rsidRPr="00564BE1">
        <w:t>Performance Testing Procedures</w:t>
      </w:r>
      <w:bookmarkEnd w:id="1486"/>
      <w:bookmarkEnd w:id="1487"/>
      <w:bookmarkEnd w:id="1488"/>
      <w:r w:rsidRPr="00564BE1">
        <w:t xml:space="preserve"> </w:t>
      </w:r>
    </w:p>
    <w:p w:rsidRPr="00B16079" w:rsidR="00B16079" w:rsidP="000907B6" w:rsidRDefault="008B55A2" w14:paraId="2E77CF4E" w14:textId="77777777">
      <w:pPr>
        <w:pStyle w:val="zGBody1"/>
        <w:numPr>
          <w:ilvl w:val="0"/>
          <w:numId w:val="29"/>
        </w:numPr>
        <w:rPr>
          <w:b w:val="0"/>
          <w:caps w:val="0"/>
        </w:rPr>
      </w:pPr>
      <w:bookmarkStart w:name="_Toc206673917" w:id="1489"/>
      <w:bookmarkStart w:name="_Toc227451677" w:id="1490"/>
      <w:r>
        <w:t>performance testing summary</w:t>
      </w:r>
      <w:bookmarkEnd w:id="1489"/>
      <w:bookmarkEnd w:id="1490"/>
    </w:p>
    <w:p w:rsidRPr="00782845" w:rsidR="00CB3B22" w:rsidP="000907B6" w:rsidRDefault="008B55A2" w14:paraId="4558AC17" w14:textId="77777777">
      <w:pPr>
        <w:pStyle w:val="zGBody2"/>
        <w:numPr>
          <w:ilvl w:val="1"/>
          <w:numId w:val="26"/>
        </w:numPr>
        <w:rPr>
          <w:vanish/>
          <w:specVanish/>
        </w:rPr>
      </w:pPr>
      <w:bookmarkStart w:name="_Toc206673918" w:id="1491"/>
      <w:bookmarkStart w:name="_Toc227451678" w:id="1492"/>
      <w:r>
        <w:t>Performance Testing Duration.</w:t>
      </w:r>
      <w:bookmarkEnd w:id="1491"/>
      <w:bookmarkEnd w:id="1492"/>
    </w:p>
    <w:p w:rsidRPr="0080356C" w:rsidR="00581F3B" w:rsidP="000907B6" w:rsidRDefault="008B55A2" w14:paraId="75CED681" w14:textId="08581B6C">
      <w:pPr>
        <w:pStyle w:val="zGBody3"/>
        <w:numPr>
          <w:ilvl w:val="2"/>
          <w:numId w:val="26"/>
        </w:numPr>
      </w:pPr>
      <w:r>
        <w:t xml:space="preserve"> Performance Testing will consist of </w:t>
      </w:r>
      <w:r w:rsidR="00861D42">
        <w:t>two</w:t>
      </w:r>
      <w:r>
        <w:t xml:space="preserve"> full Cycles carried out within five Days after Performance Testing </w:t>
      </w:r>
      <w:r>
        <w:rPr>
          <w:spacing w:val="-6"/>
        </w:rPr>
        <w:t xml:space="preserve">begins. Results of the test must be calculated for each Cycle and then averaged over the </w:t>
      </w:r>
      <w:r w:rsidR="002C0239">
        <w:rPr>
          <w:spacing w:val="-6"/>
        </w:rPr>
        <w:t>two</w:t>
      </w:r>
      <w:r>
        <w:rPr>
          <w:spacing w:val="-6"/>
        </w:rPr>
        <w:t xml:space="preserve"> Cycles.  Each parameter must meet or exceed the guarantee. The BESS must be able to maintain constant power at the POI for the duration of the charge and discharge. A charge Cycle starts when the output at the POI is equal to or greater than 98% of the ROC. The BESS must maintain constant power at the POI for the duration of the charge Cycle.</w:t>
      </w:r>
    </w:p>
    <w:p w:rsidRPr="00782845" w:rsidR="009F2B2E" w:rsidP="000907B6" w:rsidRDefault="008B55A2" w14:paraId="1B07FF23" w14:textId="77777777">
      <w:pPr>
        <w:pStyle w:val="zGBody2"/>
        <w:numPr>
          <w:ilvl w:val="1"/>
          <w:numId w:val="26"/>
        </w:numPr>
        <w:rPr>
          <w:vanish/>
          <w:specVanish/>
        </w:rPr>
      </w:pPr>
      <w:bookmarkStart w:name="_Toc206673919" w:id="1493"/>
      <w:bookmarkStart w:name="_Toc227451679" w:id="1494"/>
      <w:r>
        <w:t>Charge/Discharge Cycles.</w:t>
      </w:r>
      <w:bookmarkEnd w:id="1493"/>
      <w:bookmarkEnd w:id="1494"/>
    </w:p>
    <w:p w:rsidRPr="00B16079" w:rsidR="00581F3B" w:rsidP="000907B6" w:rsidRDefault="008B55A2" w14:paraId="1CD3A753" w14:textId="53C44796">
      <w:pPr>
        <w:pStyle w:val="zGBody3"/>
        <w:numPr>
          <w:ilvl w:val="2"/>
          <w:numId w:val="26"/>
        </w:numPr>
        <w:rPr>
          <w:spacing w:val="-6"/>
        </w:rPr>
      </w:pPr>
      <w:r>
        <w:t xml:space="preserve"> The output must not deviate more than 2% from ROC. The charge Cycle ends when the </w:t>
      </w:r>
      <w:r>
        <w:rPr>
          <w:spacing w:val="-6"/>
        </w:rPr>
        <w:t>BESS</w:t>
      </w:r>
      <w:r>
        <w:t xml:space="preserve"> reaches 100% of SDOE or output at the POI drops</w:t>
      </w:r>
      <w:r>
        <w:rPr>
          <w:spacing w:val="-6"/>
        </w:rPr>
        <w:t xml:space="preserve"> below 98% of ROC for two minutes. None of the energy below 98% of ROC will be included in the Performance Testing calculations. The BESS will rest for 30 minutes between the end of the charge Cycle and start of the discharge Cycle. The discharge Cycle will start when output at the POI is at least 98% of the SDDC. The output at the POI should not deviate more than 2% from the SDDC during the discharge cycle. The discharge Cycle ends when the BESS reaches zero % of SDOE or the output at the POI drops below 98% of SDDC for two minutes. None of the energy below 98% of the SDDC will be included in the Performance Testing calculations. The BESS may rest and then be charged to a suitable SOC to rest overnight for the next Cycle the following Day. All relevant data points must be recorded in one-minute increments and the raw data must be made available three Days after conclusion of Performance Testing. A report including all Performance Testing calculations and a summary of results must be submitted to GPC five Days after conclusion of Performance Testing.</w:t>
      </w:r>
    </w:p>
    <w:p w:rsidRPr="002D2A8F" w:rsidR="00581F3B" w:rsidP="00B16079" w:rsidRDefault="00581F3B" w14:paraId="7EC6EB2C" w14:textId="77777777">
      <w:pPr>
        <w:suppressAutoHyphens/>
        <w:adjustRightInd w:val="0"/>
        <w:spacing w:after="240" w:line="360" w:lineRule="atLeast"/>
        <w:textAlignment w:val="baseline"/>
        <w:outlineLvl w:val="0"/>
        <w:rPr>
          <w:rFonts w:ascii="Arial" w:hAnsi="Arial" w:eastAsia="Times New Roman" w:cs="Arial"/>
        </w:rPr>
      </w:pPr>
    </w:p>
    <w:p w:rsidRPr="00B16079" w:rsidR="00B16079" w:rsidP="00B16079" w:rsidRDefault="008B55A2" w14:paraId="3038F6E3" w14:textId="2BFB2E65">
      <w:pPr>
        <w:suppressAutoHyphens/>
        <w:adjustRightInd w:val="0"/>
        <w:spacing w:after="240" w:line="360" w:lineRule="atLeast"/>
        <w:jc w:val="center"/>
        <w:textAlignment w:val="baseline"/>
        <w:outlineLvl w:val="0"/>
        <w:rPr>
          <w:rFonts w:ascii="Arial" w:hAnsi="Arial" w:eastAsia="Times New Roman" w:cs="Arial"/>
          <w:sz w:val="20"/>
          <w:szCs w:val="20"/>
        </w:rPr>
      </w:pPr>
      <w:r>
        <w:rPr>
          <w:rFonts w:ascii="Arial" w:hAnsi="Arial" w:eastAsia="Times New Roman" w:cs="Arial"/>
          <w:sz w:val="20"/>
          <w:szCs w:val="20"/>
          <w:highlight w:val="yellow"/>
        </w:rPr>
        <w:t>[Remainder of procedures to be agreed upon by the Parties]</w:t>
      </w:r>
    </w:p>
    <w:p w:rsidR="002D54C4" w:rsidP="00E72508" w:rsidRDefault="002D54C4" w14:paraId="14643EB4" w14:textId="77777777">
      <w:pPr>
        <w:suppressAutoHyphens/>
        <w:adjustRightInd w:val="0"/>
        <w:spacing w:after="240" w:line="360" w:lineRule="atLeast"/>
        <w:textAlignment w:val="baseline"/>
        <w:outlineLvl w:val="0"/>
        <w:rPr>
          <w:rFonts w:eastAsia="Times New Roman" w:cs="Arial"/>
        </w:rPr>
      </w:pPr>
    </w:p>
    <w:p w:rsidRPr="00ED74F7" w:rsidR="00CA4544" w:rsidP="00ED74F7" w:rsidRDefault="008B55A2" w14:paraId="64C649DE" w14:textId="77777777">
      <w:pPr>
        <w:pStyle w:val="Footnote"/>
        <w:rPr>
          <w:rFonts w:cs="Arial"/>
        </w:rPr>
        <w:sectPr w:rsidRPr="00ED74F7" w:rsidR="00CA4544" w:rsidSect="00226062">
          <w:headerReference w:type="even" r:id="rId66"/>
          <w:headerReference w:type="default" r:id="rId67"/>
          <w:footerReference w:type="even" r:id="rId68"/>
          <w:footerReference w:type="default" r:id="rId69"/>
          <w:headerReference w:type="first" r:id="rId70"/>
          <w:footerReference w:type="first" r:id="rId71"/>
          <w:pgSz w:w="12240" w:h="15840" w:code="1"/>
          <w:pgMar w:top="1440" w:right="1440" w:bottom="1440" w:left="1440" w:header="720" w:footer="720" w:gutter="0"/>
          <w:paperSrc w:first="15" w:other="15"/>
          <w:cols w:space="1440"/>
        </w:sectPr>
      </w:pPr>
      <w:r>
        <w:rPr>
          <w:rFonts w:cs="Arial"/>
        </w:rPr>
        <w:br w:type="page"/>
      </w:r>
    </w:p>
    <w:p w:rsidRPr="00F1171C" w:rsidR="002D54C4" w:rsidP="00B01803" w:rsidRDefault="008B55A2" w14:paraId="51135F9D" w14:textId="1206CD5F">
      <w:pPr>
        <w:pStyle w:val="zGTitleExhibit"/>
        <w:keepNext/>
        <w:keepLines/>
        <w:widowControl w:val="0"/>
        <w:rPr>
          <w:rFonts w:cs="Arial"/>
          <w:sz w:val="24"/>
          <w:szCs w:val="24"/>
        </w:rPr>
      </w:pPr>
      <w:bookmarkStart w:name="_Toc174624985" w:id="1495"/>
      <w:bookmarkStart w:name="_Toc160749232" w:id="1496"/>
      <w:bookmarkStart w:name="_Toc194937601" w:id="1497"/>
      <w:bookmarkStart w:name="_Toc227451680" w:id="1498"/>
      <w:r w:rsidRPr="00F1171C">
        <w:rPr>
          <w:rFonts w:cs="Arial"/>
          <w:sz w:val="24"/>
          <w:szCs w:val="24"/>
        </w:rPr>
        <w:lastRenderedPageBreak/>
        <w:t xml:space="preserve">Exhibit F – Facility </w:t>
      </w:r>
      <w:bookmarkEnd w:id="1495"/>
      <w:r w:rsidRPr="00F1171C">
        <w:rPr>
          <w:rFonts w:cs="Arial"/>
          <w:sz w:val="24"/>
          <w:szCs w:val="24"/>
        </w:rPr>
        <w:t>Operating and Dispatching Requirements</w:t>
      </w:r>
      <w:bookmarkEnd w:id="1496"/>
      <w:bookmarkEnd w:id="1497"/>
      <w:bookmarkEnd w:id="1498"/>
    </w:p>
    <w:p w:rsidRPr="00652BFF" w:rsidR="00B00BA9" w:rsidP="000907B6" w:rsidRDefault="008B55A2" w14:paraId="6F47D82F" w14:textId="77777777">
      <w:pPr>
        <w:pStyle w:val="zGTC01"/>
        <w:numPr>
          <w:ilvl w:val="0"/>
          <w:numId w:val="56"/>
        </w:numPr>
        <w:tabs>
          <w:tab w:val="clear" w:pos="3762"/>
        </w:tabs>
        <w:spacing w:before="120"/>
        <w:rPr>
          <w:rStyle w:val="normaltextrun"/>
          <w:rFonts w:ascii="Arial" w:hAnsi="Arial"/>
          <w:vanish/>
          <w:szCs w:val="20"/>
          <w:specVanish/>
        </w:rPr>
      </w:pPr>
      <w:bookmarkStart w:name="_Toc206673921" w:id="1499"/>
      <w:bookmarkStart w:name="_Toc227451681" w:id="1500"/>
      <w:r w:rsidRPr="00652BFF">
        <w:rPr>
          <w:rStyle w:val="normaltextrun"/>
          <w:rFonts w:ascii="Arial" w:hAnsi="Arial"/>
          <w:szCs w:val="20"/>
        </w:rPr>
        <w:t>Seller Requirements:</w:t>
      </w:r>
      <w:bookmarkEnd w:id="1499"/>
      <w:bookmarkEnd w:id="1500"/>
      <w:r w:rsidRPr="00652BFF">
        <w:rPr>
          <w:rStyle w:val="normaltextrun"/>
          <w:rFonts w:ascii="Arial" w:hAnsi="Arial"/>
          <w:szCs w:val="20"/>
        </w:rPr>
        <w:t xml:space="preserve"> </w:t>
      </w:r>
    </w:p>
    <w:p w:rsidR="00150150" w:rsidP="00F1171C" w:rsidRDefault="008B55A2" w14:paraId="323D6E39" w14:textId="77777777">
      <w:pPr>
        <w:pStyle w:val="zGNormal"/>
        <w:keepNext/>
        <w:keepLines/>
        <w:widowControl w:val="0"/>
        <w:spacing w:before="120" w:after="120"/>
        <w:rPr>
          <w:rStyle w:val="normaltextrun"/>
          <w:bCs/>
        </w:rPr>
      </w:pPr>
      <w:r>
        <w:rPr>
          <w:rStyle w:val="normaltextrun"/>
          <w:bCs/>
        </w:rPr>
        <w:t xml:space="preserve"> </w:t>
      </w:r>
    </w:p>
    <w:p w:rsidRPr="00F1171C" w:rsidR="002D54C4" w:rsidP="00F1171C" w:rsidRDefault="008B55A2" w14:paraId="79BA50F4" w14:textId="77777777">
      <w:pPr>
        <w:pStyle w:val="zGTC02"/>
        <w:spacing w:after="120"/>
        <w:rPr>
          <w:rStyle w:val="normaltextrun"/>
          <w:rFonts w:ascii="Arial" w:hAnsi="Arial" w:cs="Arial"/>
          <w:b w:val="0"/>
        </w:rPr>
      </w:pPr>
      <w:bookmarkStart w:name="_Toc206673922" w:id="1501"/>
      <w:bookmarkStart w:name="_Toc227451682" w:id="1502"/>
      <w:r w:rsidRPr="00F1171C">
        <w:rPr>
          <w:rStyle w:val="normaltextrun"/>
          <w:rFonts w:ascii="Arial" w:hAnsi="Arial" w:cs="Arial"/>
          <w:b w:val="0"/>
        </w:rPr>
        <w:t>Seller is responsible for</w:t>
      </w:r>
      <w:r w:rsidRPr="00F1171C">
        <w:rPr>
          <w:rStyle w:val="normaltextrun"/>
          <w:rFonts w:ascii="Arial" w:hAnsi="Arial" w:cs="Arial"/>
          <w:b w:val="0"/>
          <w:caps/>
        </w:rPr>
        <w:t>:</w:t>
      </w:r>
      <w:bookmarkEnd w:id="1501"/>
      <w:bookmarkEnd w:id="1502"/>
    </w:p>
    <w:p w:rsidRPr="00F1171C" w:rsidR="002D54C4" w:rsidP="00F1171C" w:rsidRDefault="008B55A2" w14:paraId="7BC08F15" w14:textId="2A017188">
      <w:pPr>
        <w:pStyle w:val="zGTC03"/>
        <w:spacing w:after="120"/>
        <w:rPr>
          <w:rStyle w:val="normaltextrun"/>
          <w:rFonts w:cs="Arial"/>
          <w:b w:val="0"/>
        </w:rPr>
      </w:pPr>
      <w:r w:rsidRPr="00F1171C">
        <w:rPr>
          <w:rStyle w:val="normaltextrun"/>
          <w:rFonts w:cs="Arial"/>
          <w:b w:val="0"/>
        </w:rPr>
        <w:t>Discharging and charging of the</w:t>
      </w:r>
      <w:r w:rsidRPr="00F1171C">
        <w:rPr>
          <w:rFonts w:cs="Arial"/>
          <w:b w:val="0"/>
          <w:spacing w:val="-6"/>
        </w:rPr>
        <w:t xml:space="preserve"> BESS</w:t>
      </w:r>
      <w:r w:rsidRPr="00F1171C">
        <w:rPr>
          <w:rStyle w:val="normaltextrun"/>
          <w:rFonts w:cs="Arial"/>
          <w:b w:val="0"/>
        </w:rPr>
        <w:t xml:space="preserve"> in accordance with the real-time directions provided by GPC through AGC Setpoint signals;</w:t>
      </w:r>
    </w:p>
    <w:p w:rsidRPr="00F1171C" w:rsidR="002D54C4" w:rsidP="00F1171C" w:rsidRDefault="008B55A2" w14:paraId="253E0EF1" w14:textId="77777777">
      <w:pPr>
        <w:pStyle w:val="zGTC03"/>
        <w:spacing w:after="120"/>
        <w:rPr>
          <w:rStyle w:val="normaltextrun"/>
          <w:rFonts w:cs="Arial"/>
          <w:b w:val="0"/>
        </w:rPr>
      </w:pPr>
      <w:r w:rsidRPr="00F1171C">
        <w:rPr>
          <w:rStyle w:val="normaltextrun"/>
          <w:rFonts w:cs="Arial"/>
          <w:b w:val="0"/>
        </w:rPr>
        <w:t xml:space="preserve">All other aspects of operation and maintenance of the Facility in accordance with Prudent Industry Practices and applicable law; </w:t>
      </w:r>
    </w:p>
    <w:p w:rsidRPr="00F1171C" w:rsidR="002D54C4" w:rsidP="00F1171C" w:rsidRDefault="008B55A2" w14:paraId="58D00632" w14:textId="77777777">
      <w:pPr>
        <w:pStyle w:val="zGTC03"/>
        <w:spacing w:after="120"/>
        <w:rPr>
          <w:rStyle w:val="normaltextrun"/>
          <w:rFonts w:cs="Arial"/>
          <w:b w:val="0"/>
        </w:rPr>
      </w:pPr>
      <w:r w:rsidRPr="00F1171C">
        <w:rPr>
          <w:rStyle w:val="normaltextrun"/>
          <w:rFonts w:cs="Arial"/>
          <w:b w:val="0"/>
        </w:rPr>
        <w:t>Complying with requirements contained in the IA, including operation and performance validation requirements;</w:t>
      </w:r>
    </w:p>
    <w:p w:rsidRPr="00F1171C" w:rsidR="002D54C4" w:rsidP="00F1171C" w:rsidRDefault="008B55A2" w14:paraId="3F8A936A" w14:textId="77777777">
      <w:pPr>
        <w:pStyle w:val="zGTC03"/>
        <w:spacing w:after="120"/>
        <w:rPr>
          <w:rStyle w:val="normaltextrun"/>
          <w:rFonts w:cs="Arial"/>
          <w:b w:val="0"/>
        </w:rPr>
      </w:pPr>
      <w:r w:rsidRPr="00F1171C">
        <w:rPr>
          <w:rStyle w:val="normaltextrun"/>
          <w:rFonts w:cs="Arial"/>
          <w:b w:val="0"/>
        </w:rPr>
        <w:t>Adhering to all operational data, interconnection, and telemetry requirements applicable to the Facility; and</w:t>
      </w:r>
    </w:p>
    <w:p w:rsidRPr="00F1171C" w:rsidR="00B87544" w:rsidP="00F1171C" w:rsidRDefault="008B55A2" w14:paraId="42462EE3" w14:textId="146D34D8">
      <w:pPr>
        <w:pStyle w:val="zGTC03"/>
        <w:spacing w:after="120"/>
        <w:rPr>
          <w:rStyle w:val="normaltextrun"/>
          <w:rFonts w:cs="Arial"/>
          <w:b w:val="0"/>
        </w:rPr>
      </w:pPr>
      <w:r w:rsidRPr="00F1171C">
        <w:rPr>
          <w:rStyle w:val="normaltextrun"/>
          <w:rFonts w:cs="Arial"/>
          <w:b w:val="0"/>
        </w:rPr>
        <w:t>Promptly and accurately communicating to GPC any and all</w:t>
      </w:r>
      <w:r w:rsidRPr="00F1171C">
        <w:rPr>
          <w:rFonts w:cs="Arial"/>
          <w:b w:val="0"/>
          <w:spacing w:val="-6"/>
        </w:rPr>
        <w:t xml:space="preserve"> BESS</w:t>
      </w:r>
      <w:r w:rsidRPr="00F1171C">
        <w:rPr>
          <w:rStyle w:val="normaltextrun"/>
          <w:rFonts w:cs="Arial"/>
          <w:b w:val="0"/>
        </w:rPr>
        <w:t xml:space="preserve"> outage, derate, or other operational limitation via GPC’s specified data systems including the REM application or other data systems as GPC chooses, and also via Gencomm messages, E-mails, and phone calls as requested and specified in the Operating Procedures.</w:t>
      </w:r>
    </w:p>
    <w:p w:rsidRPr="00F1171C" w:rsidR="0016372F" w:rsidP="00F1171C" w:rsidRDefault="008B55A2" w14:paraId="19818B17" w14:textId="77777777">
      <w:pPr>
        <w:pStyle w:val="zGTC01"/>
        <w:tabs>
          <w:tab w:val="clear" w:pos="3762"/>
        </w:tabs>
        <w:spacing w:before="120"/>
        <w:ind w:left="1080"/>
        <w:rPr>
          <w:rStyle w:val="normaltextrun"/>
          <w:rFonts w:ascii="Arial" w:hAnsi="Arial"/>
          <w:vanish/>
          <w:szCs w:val="20"/>
          <w:specVanish/>
        </w:rPr>
      </w:pPr>
      <w:bookmarkStart w:name="_Toc206673923" w:id="1503"/>
      <w:bookmarkStart w:name="_Toc227451683" w:id="1504"/>
      <w:r w:rsidRPr="00F1171C">
        <w:rPr>
          <w:rStyle w:val="normaltextrun"/>
          <w:rFonts w:ascii="Arial" w:hAnsi="Arial"/>
          <w:szCs w:val="20"/>
        </w:rPr>
        <w:t>Dispatch.</w:t>
      </w:r>
      <w:bookmarkEnd w:id="1503"/>
      <w:bookmarkEnd w:id="1504"/>
      <w:r w:rsidRPr="00F1171C">
        <w:rPr>
          <w:rStyle w:val="normaltextrun"/>
          <w:rFonts w:ascii="Arial" w:hAnsi="Arial"/>
          <w:szCs w:val="20"/>
        </w:rPr>
        <w:t xml:space="preserve">  </w:t>
      </w:r>
    </w:p>
    <w:p w:rsidRPr="00F1171C" w:rsidR="0016372F" w:rsidP="00F1171C" w:rsidRDefault="0016372F" w14:paraId="19C1B5EB" w14:textId="7F5C0D7F">
      <w:pPr>
        <w:pStyle w:val="zGBody2"/>
        <w:numPr>
          <w:ilvl w:val="1"/>
          <w:numId w:val="24"/>
        </w:numPr>
        <w:spacing w:before="120"/>
        <w:rPr>
          <w:rStyle w:val="normaltextrun"/>
          <w:rFonts w:ascii="Arial" w:hAnsi="Arial"/>
          <w:vanish/>
          <w:specVanish/>
        </w:rPr>
      </w:pPr>
      <w:bookmarkStart w:name="_Toc206673924" w:id="1505"/>
      <w:bookmarkStart w:name="_Toc227451684" w:id="1506"/>
      <w:bookmarkEnd w:id="1505"/>
      <w:bookmarkEnd w:id="1506"/>
    </w:p>
    <w:p w:rsidRPr="00F1171C" w:rsidR="00BB7D8C" w:rsidP="000907B6" w:rsidRDefault="00BB7D8C" w14:paraId="376CB391" w14:textId="77777777">
      <w:pPr>
        <w:pStyle w:val="zGBody2"/>
        <w:numPr>
          <w:ilvl w:val="1"/>
          <w:numId w:val="26"/>
        </w:numPr>
        <w:spacing w:before="120"/>
        <w:ind w:left="576" w:firstLine="0"/>
        <w:rPr>
          <w:rStyle w:val="normaltextrun"/>
          <w:rFonts w:ascii="Arial" w:hAnsi="Arial"/>
        </w:rPr>
      </w:pPr>
      <w:bookmarkStart w:name="_Toc206673925" w:id="1507"/>
      <w:bookmarkStart w:name="_Toc227451685" w:id="1508"/>
      <w:bookmarkEnd w:id="1507"/>
      <w:bookmarkEnd w:id="1508"/>
    </w:p>
    <w:p w:rsidRPr="00F1171C" w:rsidR="0016372F" w:rsidP="00F1171C" w:rsidRDefault="008B55A2" w14:paraId="6031882F" w14:textId="3C90EC0E">
      <w:pPr>
        <w:pStyle w:val="zGTC02"/>
        <w:spacing w:after="120"/>
        <w:rPr>
          <w:rStyle w:val="normaltextrun"/>
          <w:rFonts w:ascii="Arial" w:hAnsi="Arial" w:cs="Arial"/>
          <w:b w:val="0"/>
        </w:rPr>
      </w:pPr>
      <w:bookmarkStart w:name="_Toc206673926" w:id="1509"/>
      <w:bookmarkStart w:name="_Toc227451686" w:id="1510"/>
      <w:r w:rsidRPr="00F1171C">
        <w:rPr>
          <w:rStyle w:val="normaltextrun"/>
          <w:rFonts w:ascii="Arial" w:hAnsi="Arial" w:cs="Arial"/>
          <w:b w:val="0"/>
        </w:rPr>
        <w:t>During the Term, the Parties agree to the following parameters for the dispatch of the BESS:</w:t>
      </w:r>
      <w:bookmarkEnd w:id="1509"/>
      <w:bookmarkEnd w:id="1510"/>
    </w:p>
    <w:p w:rsidRPr="00F1171C" w:rsidR="0016372F" w:rsidP="00F1171C" w:rsidRDefault="008B55A2" w14:paraId="674249FD" w14:textId="1EBCA7A9">
      <w:pPr>
        <w:pStyle w:val="zGTC03"/>
        <w:spacing w:after="120"/>
        <w:rPr>
          <w:rStyle w:val="normaltextrun"/>
          <w:rFonts w:cs="Arial"/>
          <w:b w:val="0"/>
        </w:rPr>
      </w:pPr>
      <w:r w:rsidRPr="00F1171C">
        <w:rPr>
          <w:rStyle w:val="normaltextrun"/>
          <w:rFonts w:cs="Arial"/>
          <w:b w:val="0"/>
        </w:rPr>
        <w:t>Seller must not charge or discharge the</w:t>
      </w:r>
      <w:r w:rsidRPr="00F1171C">
        <w:rPr>
          <w:rFonts w:cs="Arial"/>
          <w:b w:val="0"/>
          <w:spacing w:val="-6"/>
        </w:rPr>
        <w:t xml:space="preserve"> BESS</w:t>
      </w:r>
      <w:r w:rsidRPr="00F1171C">
        <w:rPr>
          <w:rStyle w:val="normaltextrun"/>
          <w:rFonts w:cs="Arial"/>
          <w:b w:val="0"/>
        </w:rPr>
        <w:t xml:space="preserve"> except as specifically directed by GPC or with specific prior authorization by GPC.</w:t>
      </w:r>
    </w:p>
    <w:p w:rsidRPr="00F1171C" w:rsidR="0016372F" w:rsidP="00F1171C" w:rsidRDefault="008B55A2" w14:paraId="751D63B8" w14:textId="4678B850">
      <w:pPr>
        <w:pStyle w:val="zGTC03"/>
        <w:spacing w:after="120"/>
        <w:rPr>
          <w:rStyle w:val="normaltextrun"/>
          <w:rFonts w:cs="Arial"/>
          <w:b w:val="0"/>
        </w:rPr>
      </w:pPr>
      <w:r w:rsidRPr="00F1171C">
        <w:rPr>
          <w:rStyle w:val="normaltextrun"/>
          <w:rFonts w:cs="Arial"/>
          <w:b w:val="0"/>
        </w:rPr>
        <w:t>GPC will control the disposition of all energy going into and out of the</w:t>
      </w:r>
      <w:r w:rsidRPr="00F1171C">
        <w:rPr>
          <w:rFonts w:cs="Arial"/>
          <w:b w:val="0"/>
          <w:spacing w:val="-6"/>
        </w:rPr>
        <w:t xml:space="preserve"> BESS</w:t>
      </w:r>
      <w:r w:rsidRPr="00F1171C">
        <w:rPr>
          <w:rStyle w:val="normaltextrun"/>
          <w:rFonts w:cs="Arial"/>
          <w:b w:val="0"/>
        </w:rPr>
        <w:t xml:space="preserve"> using its 6-second AGC Setpoint signals.</w:t>
      </w:r>
    </w:p>
    <w:p w:rsidRPr="00F1171C" w:rsidR="002D54C4" w:rsidP="00F1171C" w:rsidRDefault="008B55A2" w14:paraId="038790DE" w14:textId="2043BE90">
      <w:pPr>
        <w:pStyle w:val="zGTC03"/>
        <w:spacing w:after="120"/>
        <w:rPr>
          <w:rStyle w:val="normaltextrun"/>
          <w:rFonts w:cs="Arial"/>
          <w:b w:val="0"/>
        </w:rPr>
      </w:pPr>
      <w:r w:rsidRPr="00F1171C">
        <w:rPr>
          <w:rStyle w:val="normaltextrun"/>
          <w:rFonts w:cs="Arial"/>
          <w:b w:val="0"/>
        </w:rPr>
        <w:t>GPC will be able to request that the</w:t>
      </w:r>
      <w:r w:rsidRPr="00F1171C">
        <w:rPr>
          <w:rFonts w:cs="Arial"/>
          <w:b w:val="0"/>
          <w:spacing w:val="-6"/>
        </w:rPr>
        <w:t xml:space="preserve"> BESS</w:t>
      </w:r>
      <w:r w:rsidRPr="00F1171C">
        <w:rPr>
          <w:rStyle w:val="normaltextrun"/>
          <w:rFonts w:cs="Arial"/>
          <w:b w:val="0"/>
        </w:rPr>
        <w:t xml:space="preserve"> be dispatched up to the Cycle Limit. GPC will track Cycles and ensure it remains in compliance with these requirements.</w:t>
      </w:r>
    </w:p>
    <w:p w:rsidRPr="00F1171C" w:rsidR="002D54C4" w:rsidP="00F1171C" w:rsidRDefault="008B55A2" w14:paraId="02CD546B" w14:textId="61F26A8F">
      <w:pPr>
        <w:pStyle w:val="zGTC03"/>
        <w:spacing w:after="120"/>
        <w:rPr>
          <w:rStyle w:val="normaltextrun"/>
          <w:rFonts w:cs="Arial"/>
          <w:b w:val="0"/>
        </w:rPr>
      </w:pPr>
      <w:r w:rsidRPr="00F1171C">
        <w:rPr>
          <w:rStyle w:val="normaltextrun"/>
          <w:rFonts w:cs="Arial"/>
          <w:b w:val="0"/>
        </w:rPr>
        <w:t>The</w:t>
      </w:r>
      <w:r w:rsidRPr="00F1171C">
        <w:rPr>
          <w:rFonts w:cs="Arial"/>
          <w:b w:val="0"/>
          <w:spacing w:val="-6"/>
        </w:rPr>
        <w:t xml:space="preserve"> BESS</w:t>
      </w:r>
      <w:r w:rsidRPr="00F1171C">
        <w:rPr>
          <w:rStyle w:val="normaltextrun"/>
          <w:rFonts w:cs="Arial"/>
          <w:b w:val="0"/>
        </w:rPr>
        <w:t xml:space="preserve"> must be capable of receiving and responding to AGC Setpoint signals from GPC and allow GPC to monitor, measure, and record the State of Charge, charge rate, and discharge rate at all times in accordance with the AGC requirements defined herein.</w:t>
      </w:r>
    </w:p>
    <w:p w:rsidRPr="00F1171C" w:rsidR="002D54C4" w:rsidP="00F1171C" w:rsidRDefault="008B55A2" w14:paraId="1A2C3017" w14:textId="2BEEDE65">
      <w:pPr>
        <w:pStyle w:val="zGTC03"/>
        <w:spacing w:after="120"/>
        <w:rPr>
          <w:rStyle w:val="normaltextrun"/>
          <w:rFonts w:cs="Arial"/>
          <w:b w:val="0"/>
        </w:rPr>
      </w:pPr>
      <w:r w:rsidRPr="00F1171C">
        <w:rPr>
          <w:rStyle w:val="normaltextrun"/>
          <w:rFonts w:cs="Arial"/>
          <w:b w:val="0"/>
        </w:rPr>
        <w:t>In the event of an AGC disruption, GPC will communicate desired</w:t>
      </w:r>
      <w:r w:rsidRPr="00F1171C">
        <w:rPr>
          <w:rFonts w:cs="Arial"/>
          <w:b w:val="0"/>
          <w:spacing w:val="-6"/>
        </w:rPr>
        <w:t xml:space="preserve"> BESS</w:t>
      </w:r>
      <w:r w:rsidRPr="00F1171C">
        <w:rPr>
          <w:rStyle w:val="normaltextrun"/>
          <w:rFonts w:cs="Arial"/>
          <w:b w:val="0"/>
        </w:rPr>
        <w:t xml:space="preserve"> operations to Seller and Seller must comply with GPC’s requests manually to the best of Sellers ability.</w:t>
      </w:r>
    </w:p>
    <w:p w:rsidRPr="00F1171C" w:rsidR="002D54C4" w:rsidP="00F1171C" w:rsidRDefault="008B55A2" w14:paraId="2C3DA412" w14:textId="05D6987E">
      <w:pPr>
        <w:pStyle w:val="zGTC03"/>
        <w:spacing w:after="120"/>
        <w:rPr>
          <w:rStyle w:val="normaltextrun"/>
          <w:rFonts w:cs="Arial"/>
          <w:b w:val="0"/>
        </w:rPr>
      </w:pPr>
      <w:r w:rsidRPr="00F1171C">
        <w:rPr>
          <w:rStyle w:val="normaltextrun"/>
          <w:rFonts w:cs="Arial"/>
          <w:b w:val="0"/>
        </w:rPr>
        <w:t>In no event will energy delivered from the</w:t>
      </w:r>
      <w:r w:rsidRPr="00F1171C">
        <w:rPr>
          <w:rFonts w:cs="Arial"/>
          <w:b w:val="0"/>
          <w:spacing w:val="-6"/>
        </w:rPr>
        <w:t xml:space="preserve"> BESS</w:t>
      </w:r>
      <w:r w:rsidRPr="00F1171C">
        <w:rPr>
          <w:rStyle w:val="normaltextrun"/>
          <w:rFonts w:cs="Arial"/>
          <w:b w:val="0"/>
        </w:rPr>
        <w:t xml:space="preserve"> exceed the lesser of the SDDC or the Interconnection Limit.</w:t>
      </w:r>
    </w:p>
    <w:p w:rsidRPr="00F1171C" w:rsidR="002D54C4" w:rsidP="00F1171C" w:rsidRDefault="008B55A2" w14:paraId="53CC1C7B" w14:textId="13F5244F">
      <w:pPr>
        <w:pStyle w:val="zGTC03"/>
        <w:spacing w:after="120"/>
        <w:rPr>
          <w:rStyle w:val="normaltextrun"/>
          <w:rFonts w:cs="Arial"/>
          <w:b w:val="0"/>
        </w:rPr>
      </w:pPr>
      <w:r w:rsidRPr="00F1171C">
        <w:rPr>
          <w:rStyle w:val="normaltextrun"/>
          <w:rFonts w:cs="Arial"/>
          <w:b w:val="0"/>
        </w:rPr>
        <w:t>Seller must ensure that the</w:t>
      </w:r>
      <w:r w:rsidRPr="00F1171C">
        <w:rPr>
          <w:rFonts w:cs="Arial"/>
          <w:b w:val="0"/>
          <w:spacing w:val="-6"/>
        </w:rPr>
        <w:t xml:space="preserve"> BESS</w:t>
      </w:r>
      <w:r w:rsidRPr="00F1171C">
        <w:rPr>
          <w:rStyle w:val="normaltextrun"/>
          <w:rFonts w:cs="Arial"/>
          <w:b w:val="0"/>
        </w:rPr>
        <w:t xml:space="preserve"> satisfies all operational and performance requirements under the IA, including when the</w:t>
      </w:r>
      <w:r w:rsidRPr="00F1171C">
        <w:rPr>
          <w:rFonts w:cs="Arial"/>
          <w:b w:val="0"/>
          <w:spacing w:val="-6"/>
        </w:rPr>
        <w:t xml:space="preserve"> BESS</w:t>
      </w:r>
      <w:r w:rsidRPr="00F1171C">
        <w:rPr>
          <w:rStyle w:val="normaltextrun"/>
          <w:rFonts w:cs="Arial"/>
          <w:b w:val="0"/>
        </w:rPr>
        <w:t xml:space="preserve"> is discharging (during cycling or otherwise).</w:t>
      </w:r>
    </w:p>
    <w:p w:rsidRPr="00F1171C" w:rsidR="00F1200F" w:rsidP="00F1171C" w:rsidRDefault="008B55A2" w14:paraId="7C1313B7" w14:textId="3E7EAD16">
      <w:pPr>
        <w:pStyle w:val="zGTC01"/>
        <w:tabs>
          <w:tab w:val="clear" w:pos="3762"/>
        </w:tabs>
        <w:spacing w:before="120"/>
        <w:ind w:left="1080"/>
        <w:rPr>
          <w:rStyle w:val="normaltextrun"/>
          <w:rFonts w:ascii="Arial" w:hAnsi="Arial"/>
          <w:szCs w:val="20"/>
        </w:rPr>
      </w:pPr>
      <w:bookmarkStart w:name="_Toc206673927" w:id="1511"/>
      <w:bookmarkStart w:name="_Toc227451687" w:id="1512"/>
      <w:bookmarkStart w:name="_Hlk81325179" w:id="1513"/>
      <w:bookmarkStart w:name="_Toc137409388" w:id="1514"/>
      <w:bookmarkStart w:name="_Toc153987173" w:id="1515"/>
      <w:r w:rsidRPr="00F1171C">
        <w:rPr>
          <w:rStyle w:val="normaltextrun"/>
          <w:rFonts w:ascii="Arial" w:hAnsi="Arial"/>
          <w:szCs w:val="20"/>
        </w:rPr>
        <w:t>Charging of the BESS.</w:t>
      </w:r>
      <w:bookmarkEnd w:id="1511"/>
      <w:bookmarkEnd w:id="1512"/>
      <w:r w:rsidRPr="00F1171C">
        <w:rPr>
          <w:rStyle w:val="normaltextrun"/>
          <w:rFonts w:ascii="Arial" w:hAnsi="Arial"/>
          <w:szCs w:val="20"/>
        </w:rPr>
        <w:t xml:space="preserve">  </w:t>
      </w:r>
    </w:p>
    <w:p w:rsidRPr="00F1171C" w:rsidR="00AF7CA0" w:rsidP="00F1171C" w:rsidRDefault="008B55A2" w14:paraId="02E85AF4" w14:textId="1CC2FC49">
      <w:pPr>
        <w:pStyle w:val="zGTC02"/>
        <w:spacing w:after="120"/>
        <w:rPr>
          <w:rFonts w:ascii="Arial" w:hAnsi="Arial" w:cs="Arial"/>
          <w:b w:val="0"/>
        </w:rPr>
      </w:pPr>
      <w:bookmarkStart w:name="_Toc206673928" w:id="1516"/>
      <w:bookmarkStart w:name="_Toc227451688" w:id="1517"/>
      <w:r w:rsidRPr="00F1171C">
        <w:rPr>
          <w:rFonts w:ascii="Arial" w:hAnsi="Arial" w:cs="Arial"/>
          <w:b w:val="0"/>
        </w:rPr>
        <w:t>During the Term, the Parties agree to the following parameters for charging the</w:t>
      </w:r>
      <w:r w:rsidRPr="00F1171C">
        <w:rPr>
          <w:rFonts w:ascii="Arial" w:hAnsi="Arial" w:cs="Arial"/>
          <w:b w:val="0"/>
          <w:spacing w:val="-6"/>
        </w:rPr>
        <w:t xml:space="preserve"> BESS</w:t>
      </w:r>
      <w:r w:rsidRPr="00F1171C">
        <w:rPr>
          <w:rFonts w:ascii="Arial" w:hAnsi="Arial" w:cs="Arial"/>
          <w:b w:val="0"/>
        </w:rPr>
        <w:t>:</w:t>
      </w:r>
      <w:bookmarkEnd w:id="1516"/>
      <w:bookmarkEnd w:id="1517"/>
    </w:p>
    <w:p w:rsidRPr="00F1171C" w:rsidR="00F1200F" w:rsidP="00F1171C" w:rsidRDefault="008B55A2" w14:paraId="474593AC" w14:textId="6BD452EA">
      <w:pPr>
        <w:pStyle w:val="zGTC03"/>
        <w:spacing w:after="120"/>
        <w:rPr>
          <w:rStyle w:val="normaltextrun"/>
          <w:rFonts w:cs="Arial"/>
          <w:b w:val="0"/>
        </w:rPr>
      </w:pPr>
      <w:r w:rsidRPr="00F1171C">
        <w:rPr>
          <w:rStyle w:val="normaltextrun"/>
          <w:rFonts w:cs="Arial"/>
          <w:b w:val="0"/>
        </w:rPr>
        <w:t>GPC will have full control of the disposition of all energy directed into the</w:t>
      </w:r>
      <w:r w:rsidRPr="004B0BBF">
        <w:rPr>
          <w:spacing w:val="-6"/>
        </w:rPr>
        <w:t xml:space="preserve"> </w:t>
      </w:r>
      <w:r w:rsidRPr="00585940">
        <w:rPr>
          <w:b w:val="0"/>
          <w:bCs/>
          <w:spacing w:val="-6"/>
        </w:rPr>
        <w:t>BESS</w:t>
      </w:r>
      <w:r w:rsidRPr="00F1171C">
        <w:rPr>
          <w:rStyle w:val="normaltextrun"/>
          <w:rFonts w:cs="Arial"/>
          <w:b w:val="0"/>
        </w:rPr>
        <w:t xml:space="preserve"> at no additional cost and the right to charge the</w:t>
      </w:r>
      <w:r w:rsidRPr="004B0BBF">
        <w:rPr>
          <w:spacing w:val="-6"/>
        </w:rPr>
        <w:t xml:space="preserve"> </w:t>
      </w:r>
      <w:r w:rsidRPr="00585940">
        <w:rPr>
          <w:b w:val="0"/>
          <w:bCs/>
          <w:spacing w:val="-6"/>
        </w:rPr>
        <w:t>BESS</w:t>
      </w:r>
      <w:r w:rsidRPr="00F1171C">
        <w:rPr>
          <w:rStyle w:val="normaltextrun"/>
          <w:rFonts w:cs="Arial"/>
          <w:b w:val="0"/>
        </w:rPr>
        <w:t xml:space="preserve"> that may result in Charging Energy.</w:t>
      </w:r>
    </w:p>
    <w:p w:rsidRPr="00F1171C" w:rsidR="00F1200F" w:rsidP="00F1171C" w:rsidRDefault="008B55A2" w14:paraId="35701CA9" w14:textId="78A18FBB">
      <w:pPr>
        <w:pStyle w:val="zGTC03"/>
        <w:spacing w:after="120"/>
        <w:rPr>
          <w:rStyle w:val="normaltextrun"/>
          <w:rFonts w:cs="Arial"/>
          <w:b w:val="0"/>
          <w:szCs w:val="20"/>
        </w:rPr>
      </w:pPr>
      <w:r w:rsidRPr="00F1171C">
        <w:rPr>
          <w:rStyle w:val="normaltextrun"/>
          <w:rFonts w:cs="Arial"/>
          <w:b w:val="0"/>
          <w:szCs w:val="20"/>
        </w:rPr>
        <w:t>GPC will request the</w:t>
      </w:r>
      <w:r w:rsidRPr="00F1171C">
        <w:rPr>
          <w:rFonts w:cs="Arial"/>
          <w:spacing w:val="-6"/>
          <w:szCs w:val="20"/>
        </w:rPr>
        <w:t xml:space="preserve"> </w:t>
      </w:r>
      <w:r w:rsidRPr="00585940">
        <w:rPr>
          <w:rFonts w:cs="Arial"/>
          <w:b w:val="0"/>
          <w:bCs/>
          <w:spacing w:val="-6"/>
          <w:szCs w:val="20"/>
        </w:rPr>
        <w:t>BESS</w:t>
      </w:r>
      <w:r w:rsidRPr="00F1171C">
        <w:rPr>
          <w:rStyle w:val="normaltextrun"/>
          <w:rFonts w:cs="Arial"/>
          <w:b w:val="0"/>
          <w:szCs w:val="20"/>
        </w:rPr>
        <w:t xml:space="preserve"> use Charging Energy at any time and in any amount that GPC specifies up to the Maximum Rate of Charge or until the State of Charge equals SDOE or the Maximum Operational State of Charge Limit. </w:t>
      </w:r>
    </w:p>
    <w:p w:rsidRPr="009B0126" w:rsidR="00F1200F" w:rsidP="004E2524" w:rsidRDefault="008B55A2" w14:paraId="29084860" w14:textId="6EDB9127">
      <w:pPr>
        <w:pStyle w:val="zGTC02"/>
        <w:spacing w:after="120"/>
        <w:rPr>
          <w:rStyle w:val="normaltextrun"/>
        </w:rPr>
      </w:pPr>
      <w:bookmarkStart w:name="_Toc206673929" w:id="1518"/>
      <w:bookmarkStart w:name="_Toc227451689" w:id="1519"/>
      <w:r w:rsidRPr="00F1171C">
        <w:rPr>
          <w:rStyle w:val="normaltextrun"/>
          <w:rFonts w:cs="Arial"/>
          <w:b w:val="0"/>
          <w:szCs w:val="20"/>
        </w:rPr>
        <w:t xml:space="preserve">Communications. </w:t>
      </w:r>
      <w:r w:rsidRPr="009B0126">
        <w:rPr>
          <w:rStyle w:val="normaltextrun"/>
        </w:rPr>
        <w:t xml:space="preserve">Real time communications between Seller and GPC are required with respect to the BESS and, if applicable, the Renewable Resource. Seller must have the capability to and continuously communicate the status of the BESS </w:t>
      </w:r>
      <w:r w:rsidRPr="009B0126" w:rsidR="00A31DCA">
        <w:rPr>
          <w:rStyle w:val="normaltextrun"/>
        </w:rPr>
        <w:t xml:space="preserve">and, if applicable, the Renewable Resource </w:t>
      </w:r>
      <w:r w:rsidRPr="009B0126">
        <w:rPr>
          <w:rStyle w:val="normaltextrun"/>
        </w:rPr>
        <w:t>to GPC in real time.</w:t>
      </w:r>
      <w:bookmarkEnd w:id="1518"/>
      <w:bookmarkEnd w:id="1519"/>
    </w:p>
    <w:p w:rsidR="009B0126" w:rsidP="004B0BBF" w:rsidRDefault="009B0126" w14:paraId="2F158B25" w14:textId="77777777">
      <w:pPr>
        <w:pStyle w:val="zGNormal"/>
        <w:sectPr w:rsidR="009B0126" w:rsidSect="004B0BBF">
          <w:headerReference w:type="even" r:id="rId72"/>
          <w:headerReference w:type="default" r:id="rId73"/>
          <w:footerReference w:type="even" r:id="rId74"/>
          <w:footerReference w:type="default" r:id="rId75"/>
          <w:headerReference w:type="first" r:id="rId76"/>
          <w:footerReference w:type="first" r:id="rId77"/>
          <w:type w:val="continuous"/>
          <w:pgSz w:w="12240" w:h="15840" w:code="1"/>
          <w:pgMar w:top="1440" w:right="1440" w:bottom="1440" w:left="1440" w:header="720" w:footer="720" w:gutter="0"/>
          <w:paperSrc w:first="15" w:other="15"/>
          <w:cols w:space="1440"/>
        </w:sectPr>
      </w:pPr>
    </w:p>
    <w:p w:rsidRPr="00FE32A1" w:rsidR="00677100" w:rsidP="004B0BBF" w:rsidRDefault="00677100" w14:paraId="35F41400" w14:textId="77777777">
      <w:pPr>
        <w:pStyle w:val="zGNormal"/>
        <w:sectPr w:rsidRPr="00FE32A1" w:rsidR="00677100" w:rsidSect="009B0126">
          <w:pgSz w:w="12240" w:h="15840" w:code="1"/>
          <w:pgMar w:top="1440" w:right="1440" w:bottom="1440" w:left="1440" w:header="720" w:footer="720" w:gutter="0"/>
          <w:paperSrc w:first="15" w:other="15"/>
          <w:cols w:space="1440"/>
        </w:sectPr>
      </w:pPr>
    </w:p>
    <w:p w:rsidRPr="005C75D2" w:rsidR="002D54C4" w:rsidP="002D54C4" w:rsidRDefault="008B55A2" w14:paraId="73CECAB3" w14:textId="2789200B">
      <w:pPr>
        <w:pStyle w:val="zGTitleExhibit"/>
        <w:spacing w:after="360"/>
      </w:pPr>
      <w:bookmarkStart w:name="_Toc174624986" w:id="1520"/>
      <w:bookmarkStart w:name="_Toc160749233" w:id="1521"/>
      <w:bookmarkStart w:name="_Toc194937602" w:id="1522"/>
      <w:bookmarkStart w:name="_Toc227451690" w:id="1523"/>
      <w:r>
        <w:t xml:space="preserve">Exhibit G – AGC and Facility </w:t>
      </w:r>
      <w:bookmarkEnd w:id="1520"/>
      <w:r>
        <w:t>Minimum Data Requirements</w:t>
      </w:r>
      <w:bookmarkEnd w:id="1521"/>
      <w:bookmarkEnd w:id="1522"/>
      <w:bookmarkEnd w:id="1523"/>
      <w:r w:rsidR="00FB0A25">
        <w:t xml:space="preserve"> </w:t>
      </w:r>
    </w:p>
    <w:p w:rsidRPr="006E36BE" w:rsidR="00DE2B11" w:rsidP="00DE2B11" w:rsidRDefault="00DE2B11" w14:paraId="6B769C3C" w14:textId="010412BB">
      <w:pPr>
        <w:jc w:val="both"/>
        <w:rPr>
          <w:rFonts w:ascii="Arial" w:hAnsi="Arial" w:eastAsia="Aptos" w:cs="Arial"/>
          <w:sz w:val="20"/>
          <w:szCs w:val="20"/>
        </w:rPr>
      </w:pPr>
      <w:r w:rsidRPr="006E36BE">
        <w:rPr>
          <w:rFonts w:ascii="Arial" w:hAnsi="Arial" w:cs="Arial"/>
          <w:sz w:val="20"/>
          <w:szCs w:val="20"/>
        </w:rPr>
        <w:t xml:space="preserve">Seller </w:t>
      </w:r>
      <w:r w:rsidRPr="006E36BE" w:rsidR="00D615D3">
        <w:rPr>
          <w:rFonts w:ascii="Arial" w:hAnsi="Arial" w:cs="Arial"/>
          <w:sz w:val="20"/>
          <w:szCs w:val="20"/>
        </w:rPr>
        <w:t>must</w:t>
      </w:r>
      <w:r w:rsidRPr="006E36BE">
        <w:rPr>
          <w:rFonts w:ascii="Arial" w:hAnsi="Arial" w:cs="Arial"/>
          <w:sz w:val="20"/>
          <w:szCs w:val="20"/>
        </w:rPr>
        <w:t xml:space="preserve"> operat</w:t>
      </w:r>
      <w:r w:rsidRPr="006E36BE" w:rsidR="00D615D3">
        <w:rPr>
          <w:rFonts w:ascii="Arial" w:hAnsi="Arial" w:cs="Arial"/>
          <w:sz w:val="20"/>
          <w:szCs w:val="20"/>
        </w:rPr>
        <w:t>e</w:t>
      </w:r>
      <w:r w:rsidRPr="006E36BE">
        <w:rPr>
          <w:rFonts w:ascii="Arial" w:hAnsi="Arial" w:cs="Arial"/>
          <w:sz w:val="20"/>
          <w:szCs w:val="20"/>
        </w:rPr>
        <w:t xml:space="preserve"> the BESS</w:t>
      </w:r>
      <w:r w:rsidRPr="006E36BE" w:rsidR="00D615D3">
        <w:rPr>
          <w:rFonts w:ascii="Arial" w:hAnsi="Arial" w:cs="Arial"/>
          <w:sz w:val="20"/>
          <w:szCs w:val="20"/>
        </w:rPr>
        <w:t xml:space="preserve">, </w:t>
      </w:r>
      <w:r w:rsidRPr="006E36BE" w:rsidR="00B92A84">
        <w:rPr>
          <w:rFonts w:ascii="Arial" w:hAnsi="Arial" w:cs="Arial"/>
          <w:sz w:val="20"/>
          <w:szCs w:val="20"/>
        </w:rPr>
        <w:t>including the</w:t>
      </w:r>
      <w:r w:rsidRPr="006E36BE">
        <w:rPr>
          <w:rFonts w:ascii="Arial" w:hAnsi="Arial" w:cs="Arial"/>
          <w:sz w:val="20"/>
          <w:szCs w:val="20"/>
        </w:rPr>
        <w:t xml:space="preserve"> </w:t>
      </w:r>
      <w:r w:rsidRPr="006E36BE">
        <w:rPr>
          <w:rFonts w:ascii="Arial" w:hAnsi="Arial" w:eastAsia="Aptos" w:cs="Arial"/>
          <w:sz w:val="20"/>
          <w:szCs w:val="20"/>
        </w:rPr>
        <w:t>charging or</w:t>
      </w:r>
      <w:r w:rsidRPr="006E36BE">
        <w:rPr>
          <w:rFonts w:ascii="Arial" w:hAnsi="Arial" w:cs="Arial"/>
          <w:sz w:val="20"/>
          <w:szCs w:val="20"/>
        </w:rPr>
        <w:t xml:space="preserve"> receiving and delivering energy</w:t>
      </w:r>
      <w:r w:rsidRPr="006E36BE" w:rsidR="00B92A84">
        <w:rPr>
          <w:rFonts w:ascii="Arial" w:hAnsi="Arial" w:cs="Arial"/>
          <w:sz w:val="20"/>
          <w:szCs w:val="20"/>
        </w:rPr>
        <w:t>,</w:t>
      </w:r>
      <w:r w:rsidRPr="006E36BE">
        <w:rPr>
          <w:rFonts w:ascii="Arial" w:hAnsi="Arial" w:cs="Arial"/>
          <w:sz w:val="20"/>
          <w:szCs w:val="20"/>
        </w:rPr>
        <w:t xml:space="preserve"> in compliance with GPC’s AGC Setpoint signals. </w:t>
      </w:r>
      <w:r w:rsidRPr="006E36BE">
        <w:rPr>
          <w:rFonts w:ascii="Arial" w:hAnsi="Arial" w:eastAsia="Aptos" w:cs="Arial"/>
          <w:sz w:val="20"/>
          <w:szCs w:val="20"/>
        </w:rPr>
        <w:t>Seller must telemeter at all times during the operation of the</w:t>
      </w:r>
      <w:r w:rsidRPr="006E36BE">
        <w:rPr>
          <w:rFonts w:ascii="Arial" w:hAnsi="Arial" w:cs="Arial"/>
          <w:sz w:val="20"/>
          <w:szCs w:val="20"/>
        </w:rPr>
        <w:t xml:space="preserve"> BESS</w:t>
      </w:r>
      <w:r w:rsidRPr="006E36BE" w:rsidDel="009B38F0">
        <w:rPr>
          <w:rFonts w:ascii="Arial" w:hAnsi="Arial" w:eastAsia="Aptos" w:cs="Arial"/>
          <w:sz w:val="20"/>
          <w:szCs w:val="20"/>
        </w:rPr>
        <w:t xml:space="preserve">, and </w:t>
      </w:r>
      <w:r w:rsidRPr="006E36BE">
        <w:rPr>
          <w:rFonts w:ascii="Arial" w:hAnsi="Arial" w:eastAsia="Aptos" w:cs="Arial"/>
          <w:sz w:val="20"/>
          <w:szCs w:val="20"/>
        </w:rPr>
        <w:t>GPC’s</w:t>
      </w:r>
      <w:r w:rsidRPr="006E36BE" w:rsidDel="009B38F0">
        <w:rPr>
          <w:rFonts w:ascii="Arial" w:hAnsi="Arial" w:eastAsia="Aptos" w:cs="Arial"/>
          <w:sz w:val="20"/>
          <w:szCs w:val="20"/>
        </w:rPr>
        <w:t xml:space="preserve"> AGC Setpoint signal will include the maximum Rate of Change as a limiting factor for changes in energy output. For purposes </w:t>
      </w:r>
      <w:r w:rsidRPr="006E36BE">
        <w:rPr>
          <w:rFonts w:ascii="Arial" w:hAnsi="Arial" w:eastAsia="Aptos" w:cs="Arial"/>
          <w:sz w:val="20"/>
          <w:szCs w:val="20"/>
        </w:rPr>
        <w:t>of this Exhibit G</w:t>
      </w:r>
      <w:r w:rsidRPr="006E36BE" w:rsidDel="009B38F0">
        <w:rPr>
          <w:rFonts w:ascii="Arial" w:hAnsi="Arial" w:eastAsia="Aptos" w:cs="Arial"/>
          <w:sz w:val="20"/>
          <w:szCs w:val="20"/>
        </w:rPr>
        <w:t>, the “</w:t>
      </w:r>
      <w:r w:rsidRPr="006E36BE" w:rsidDel="009B38F0">
        <w:rPr>
          <w:rFonts w:ascii="Arial" w:hAnsi="Arial" w:eastAsia="Aptos" w:cs="Arial"/>
          <w:b/>
          <w:sz w:val="20"/>
          <w:szCs w:val="20"/>
        </w:rPr>
        <w:t>Rate of Change</w:t>
      </w:r>
      <w:r w:rsidRPr="006E36BE" w:rsidDel="009B38F0">
        <w:rPr>
          <w:rFonts w:ascii="Arial" w:hAnsi="Arial" w:eastAsia="Aptos" w:cs="Arial"/>
          <w:sz w:val="20"/>
          <w:szCs w:val="20"/>
        </w:rPr>
        <w:t xml:space="preserve">” is the real-time maximum ramp rate when increasing or decreasing output (accounting for any equipment or operational issues </w:t>
      </w:r>
      <w:r w:rsidRPr="006E36BE">
        <w:rPr>
          <w:rFonts w:ascii="Arial" w:hAnsi="Arial" w:eastAsia="Aptos" w:cs="Arial"/>
          <w:sz w:val="20"/>
          <w:szCs w:val="20"/>
        </w:rPr>
        <w:t>that</w:t>
      </w:r>
      <w:r w:rsidRPr="006E36BE" w:rsidDel="009B38F0">
        <w:rPr>
          <w:rFonts w:ascii="Arial" w:hAnsi="Arial" w:eastAsia="Aptos" w:cs="Arial"/>
          <w:sz w:val="20"/>
          <w:szCs w:val="20"/>
        </w:rPr>
        <w:t xml:space="preserve"> may affect such ramp rate).</w:t>
      </w:r>
    </w:p>
    <w:p w:rsidRPr="006E36BE" w:rsidR="00DE2B11" w:rsidP="00DE2B11" w:rsidRDefault="00DE2B11" w14:paraId="40548FD9" w14:textId="03EF5C33">
      <w:pPr>
        <w:widowControl w:val="0"/>
        <w:jc w:val="both"/>
        <w:rPr>
          <w:rFonts w:ascii="Arial" w:hAnsi="Arial" w:cs="Arial"/>
          <w:sz w:val="20"/>
          <w:szCs w:val="20"/>
        </w:rPr>
      </w:pPr>
      <w:r w:rsidRPr="006E36BE">
        <w:rPr>
          <w:rFonts w:ascii="Arial" w:hAnsi="Arial" w:cs="Arial"/>
          <w:sz w:val="20"/>
          <w:szCs w:val="20"/>
        </w:rPr>
        <w:t xml:space="preserve">All data points listed in this Exhibit G represent minimum requirements for a BESS utilizing AGC. This Exhibit incorporates by reference, and will automatically be updated as necessary to incorporate, any additional data point introduced in future revisions of the document titled Southern Company Typical Data and Application Requirements for SOCO BA Generators Final MMYYYY.pdf, which is located in the “Interconnection Implementation (NTP to COD)” subsection of the Southern Company OASIS site at </w:t>
      </w:r>
      <w:r w:rsidRPr="006E36BE">
        <w:rPr>
          <w:rFonts w:ascii="Arial" w:hAnsi="Arial" w:eastAsia="Aptos" w:cs="Arial"/>
          <w:color w:val="000000"/>
          <w:sz w:val="20"/>
          <w:szCs w:val="20"/>
          <w:shd w:val="clear" w:color="auto" w:fill="FFFFFF"/>
        </w:rPr>
        <w:t>www.oasis.oati.com/soco/index.html</w:t>
      </w:r>
      <w:r w:rsidR="00CF674C">
        <w:rPr>
          <w:rFonts w:ascii="Arial" w:hAnsi="Arial" w:cs="Arial"/>
          <w:sz w:val="20"/>
          <w:szCs w:val="20"/>
        </w:rPr>
        <w:t>.</w:t>
      </w:r>
      <w:r w:rsidR="00ED76B1">
        <w:rPr>
          <w:rFonts w:ascii="Arial" w:hAnsi="Arial" w:cs="Arial"/>
          <w:sz w:val="20"/>
          <w:szCs w:val="20"/>
        </w:rPr>
        <w:t xml:space="preserve"> </w:t>
      </w:r>
      <w:r w:rsidR="00CF674C">
        <w:rPr>
          <w:rFonts w:ascii="Arial" w:hAnsi="Arial" w:cs="Arial"/>
          <w:sz w:val="20"/>
          <w:szCs w:val="20"/>
        </w:rPr>
        <w:t>T</w:t>
      </w:r>
      <w:r w:rsidR="00ED76B1">
        <w:rPr>
          <w:rFonts w:ascii="Arial" w:hAnsi="Arial" w:cs="Arial"/>
          <w:sz w:val="20"/>
          <w:szCs w:val="20"/>
        </w:rPr>
        <w:t xml:space="preserve">he Operating Committee may develop and implement reasonable accommodations for Seller with respect to additional data points that </w:t>
      </w:r>
      <w:r w:rsidR="00CF674C">
        <w:rPr>
          <w:rFonts w:ascii="Arial" w:hAnsi="Arial" w:cs="Arial"/>
          <w:sz w:val="20"/>
          <w:szCs w:val="20"/>
        </w:rPr>
        <w:t xml:space="preserve">(i) </w:t>
      </w:r>
      <w:r w:rsidR="00ED76B1">
        <w:rPr>
          <w:rFonts w:ascii="Arial" w:hAnsi="Arial" w:cs="Arial"/>
          <w:sz w:val="20"/>
          <w:szCs w:val="20"/>
        </w:rPr>
        <w:t xml:space="preserve">are not readily available from Seller’s existing equipment and </w:t>
      </w:r>
      <w:r w:rsidR="00A67017">
        <w:rPr>
          <w:rFonts w:ascii="Arial" w:hAnsi="Arial" w:cs="Arial"/>
          <w:sz w:val="20"/>
          <w:szCs w:val="20"/>
        </w:rPr>
        <w:t>(ii)</w:t>
      </w:r>
      <w:r w:rsidR="00ED76B1">
        <w:rPr>
          <w:rFonts w:ascii="Arial" w:hAnsi="Arial" w:cs="Arial"/>
          <w:sz w:val="20"/>
          <w:szCs w:val="20"/>
        </w:rPr>
        <w:t xml:space="preserve"> are not required by the Interconnection Provider</w:t>
      </w:r>
      <w:r w:rsidRPr="006E36BE">
        <w:rPr>
          <w:rFonts w:ascii="Arial" w:hAnsi="Arial" w:eastAsia="Aptos" w:cs="Arial"/>
          <w:color w:val="000000"/>
          <w:sz w:val="20"/>
          <w:szCs w:val="20"/>
          <w:shd w:val="clear" w:color="auto" w:fill="FFFFFF"/>
        </w:rPr>
        <w:t>.</w:t>
      </w:r>
      <w:r w:rsidR="007E3F42">
        <w:rPr>
          <w:rFonts w:ascii="Arial" w:hAnsi="Arial" w:eastAsia="Aptos" w:cs="Arial"/>
          <w:color w:val="000000"/>
          <w:sz w:val="20"/>
          <w:szCs w:val="20"/>
          <w:shd w:val="clear" w:color="auto" w:fill="FFFFFF"/>
        </w:rPr>
        <w:t xml:space="preserve"> </w:t>
      </w:r>
      <w:r w:rsidR="00811660">
        <w:rPr>
          <w:rFonts w:ascii="Arial" w:hAnsi="Arial" w:eastAsia="Aptos" w:cs="Arial"/>
          <w:color w:val="000000"/>
          <w:sz w:val="20"/>
          <w:szCs w:val="20"/>
          <w:shd w:val="clear" w:color="auto" w:fill="FFFFFF"/>
        </w:rPr>
        <w:t>Such reasonable accommodations may include coordinating required upgrades to Seller’s data capabilities with Scheduled Outages.</w:t>
      </w:r>
      <w:r w:rsidR="007E3F42">
        <w:rPr>
          <w:rFonts w:ascii="Arial" w:hAnsi="Arial" w:eastAsia="Aptos" w:cs="Arial"/>
          <w:color w:val="000000"/>
          <w:sz w:val="20"/>
          <w:szCs w:val="20"/>
          <w:shd w:val="clear" w:color="auto" w:fill="FFFFFF"/>
        </w:rPr>
        <w:t xml:space="preserve"> </w:t>
      </w:r>
    </w:p>
    <w:p w:rsidRPr="006E36BE" w:rsidR="00DE2B11" w:rsidP="00DE2B11" w:rsidRDefault="00DE2B11" w14:paraId="071F60F6" w14:textId="5EE45117">
      <w:pPr>
        <w:widowControl w:val="0"/>
        <w:jc w:val="both"/>
        <w:rPr>
          <w:rFonts w:ascii="Arial" w:hAnsi="Arial" w:cs="Arial"/>
          <w:sz w:val="20"/>
          <w:szCs w:val="20"/>
        </w:rPr>
      </w:pPr>
      <w:r w:rsidRPr="006E36BE">
        <w:rPr>
          <w:rFonts w:ascii="Arial" w:hAnsi="Arial" w:cs="Arial"/>
          <w:sz w:val="20"/>
          <w:szCs w:val="20"/>
        </w:rPr>
        <w:t>The Facility’s AGC system must be configured to interface with GPC’s AGC RTU to send and receive the following data for AGC: </w:t>
      </w:r>
    </w:p>
    <w:p w:rsidRPr="00DF1F95" w:rsidR="00DE2B11" w:rsidP="00CA1FF0" w:rsidRDefault="00DE2B11" w14:paraId="59D76AC6" w14:textId="0992A912">
      <w:pPr>
        <w:keepNext/>
        <w:tabs>
          <w:tab w:val="num" w:pos="1152"/>
        </w:tabs>
        <w:autoSpaceDE w:val="0"/>
        <w:autoSpaceDN w:val="0"/>
        <w:adjustRightInd w:val="0"/>
        <w:spacing w:before="120" w:after="120" w:line="20" w:lineRule="atLeast"/>
        <w:ind w:left="1152" w:hanging="1152"/>
        <w:jc w:val="both"/>
      </w:pPr>
      <w:bookmarkStart w:name="_Toc206673931" w:id="1524"/>
      <w:r w:rsidRPr="00CA1FF0">
        <w:rPr>
          <w:rFonts w:ascii="Arial Bold" w:hAnsi="Arial Bold"/>
          <w:b/>
          <w:caps/>
          <w:kern w:val="14"/>
          <w:sz w:val="20"/>
          <w:u w:val="single"/>
        </w:rPr>
        <w:t>Data Points</w:t>
      </w:r>
      <w:bookmarkEnd w:id="1524"/>
      <w:r w:rsidRPr="00DE2B11">
        <w:rPr>
          <w:rFonts w:ascii="Arial Bold" w:hAnsi="Arial Bold" w:eastAsia="Times New Roman" w:cs="Arial"/>
          <w:b/>
          <w:caps/>
          <w:kern w:val="14"/>
          <w:sz w:val="20"/>
          <w:szCs w:val="20"/>
          <w:u w:val="single"/>
        </w:rPr>
        <w:t xml:space="preserve"> FOR STANDALONE BESS FACILITY</w:t>
      </w:r>
    </w:p>
    <w:p w:rsidRPr="00F17676" w:rsidR="000459E8" w:rsidP="000907B6" w:rsidRDefault="000459E8" w14:paraId="2C0D272B" w14:textId="77777777">
      <w:pPr>
        <w:pStyle w:val="zGBody1"/>
        <w:numPr>
          <w:ilvl w:val="0"/>
          <w:numId w:val="51"/>
        </w:numPr>
        <w:spacing w:before="120" w:after="120" w:line="20" w:lineRule="atLeast"/>
        <w:rPr>
          <w:rFonts w:ascii="Arial" w:hAnsi="Arial"/>
        </w:rPr>
      </w:pPr>
      <w:bookmarkStart w:name="_Toc227451691" w:id="1525"/>
      <w:r w:rsidRPr="00F17676">
        <w:rPr>
          <w:rFonts w:ascii="Arial" w:hAnsi="Arial"/>
        </w:rPr>
        <w:t>Data Points FOR STANDALONE BESS FACILITY</w:t>
      </w:r>
      <w:bookmarkEnd w:id="1525"/>
    </w:p>
    <w:p w:rsidRPr="00CA1FF0" w:rsidR="000459E8" w:rsidP="000907B6" w:rsidRDefault="000459E8" w14:paraId="0FA46C33" w14:textId="1C10FA7B">
      <w:pPr>
        <w:pStyle w:val="zGBody3"/>
        <w:numPr>
          <w:ilvl w:val="0"/>
          <w:numId w:val="47"/>
        </w:numPr>
        <w:ind w:left="1170" w:hanging="540"/>
        <w:rPr>
          <w:kern w:val="0"/>
          <w:u w:val="single" w:color="365F91"/>
        </w:rPr>
      </w:pPr>
      <w:bookmarkStart w:name="_Toc206673932" w:id="1526"/>
      <w:r w:rsidRPr="00CA1FF0">
        <w:rPr>
          <w:kern w:val="0"/>
          <w:u w:val="single" w:color="365F91"/>
        </w:rPr>
        <w:t>From EMS to Site</w:t>
      </w:r>
      <w:bookmarkEnd w:id="1526"/>
    </w:p>
    <w:p w:rsidRPr="00CA1FF0" w:rsidR="000459E8" w:rsidP="000907B6" w:rsidRDefault="000459E8" w14:paraId="31D79042" w14:textId="5265F3C9">
      <w:pPr>
        <w:pStyle w:val="zGBody3"/>
        <w:numPr>
          <w:ilvl w:val="2"/>
          <w:numId w:val="51"/>
        </w:numPr>
        <w:rPr>
          <w:kern w:val="0"/>
        </w:rPr>
      </w:pPr>
      <w:r w:rsidRPr="00F17676">
        <w:rPr>
          <w:rFonts w:eastAsiaTheme="majorEastAsia"/>
          <w:kern w:val="0"/>
        </w:rPr>
        <w:t>Storage</w:t>
      </w:r>
      <w:r w:rsidRPr="00CA1FF0">
        <w:rPr>
          <w:kern w:val="0"/>
        </w:rPr>
        <w:t xml:space="preserve"> Setpoint (MW)</w:t>
      </w:r>
    </w:p>
    <w:p w:rsidRPr="00CA1FF0" w:rsidR="000459E8" w:rsidP="000907B6" w:rsidRDefault="000459E8" w14:paraId="35C60281" w14:textId="77777777">
      <w:pPr>
        <w:pStyle w:val="zGBody3"/>
        <w:numPr>
          <w:ilvl w:val="0"/>
          <w:numId w:val="47"/>
        </w:numPr>
        <w:ind w:left="1170" w:hanging="540"/>
        <w:rPr>
          <w:kern w:val="0"/>
          <w:u w:val="single" w:color="365F91"/>
        </w:rPr>
      </w:pPr>
      <w:bookmarkStart w:name="_Toc206673933" w:id="1527"/>
      <w:r w:rsidRPr="00CA1FF0">
        <w:rPr>
          <w:kern w:val="0"/>
          <w:u w:val="single" w:color="365F91"/>
        </w:rPr>
        <w:t>From Site to EMS</w:t>
      </w:r>
      <w:bookmarkEnd w:id="1527"/>
    </w:p>
    <w:p w:rsidRPr="00CA1FF0" w:rsidR="000459E8" w:rsidP="000907B6" w:rsidRDefault="000459E8" w14:paraId="085AD021" w14:textId="77777777">
      <w:pPr>
        <w:pStyle w:val="zGBody3"/>
        <w:numPr>
          <w:ilvl w:val="2"/>
          <w:numId w:val="51"/>
        </w:numPr>
        <w:rPr>
          <w:kern w:val="0"/>
        </w:rPr>
      </w:pPr>
      <w:r w:rsidRPr="00CA1FF0">
        <w:rPr>
          <w:kern w:val="0"/>
        </w:rPr>
        <w:t>All High-Side (Transmission Level 46kV &amp; above) device analog measurements (at POI)</w:t>
      </w:r>
    </w:p>
    <w:p w:rsidRPr="00DF1F95" w:rsidR="000459E8" w:rsidP="000907B6" w:rsidRDefault="000459E8" w14:paraId="1EEF3D7C" w14:textId="2C463B37">
      <w:pPr>
        <w:pStyle w:val="zGBody3"/>
        <w:numPr>
          <w:ilvl w:val="2"/>
          <w:numId w:val="48"/>
        </w:numPr>
        <w:ind w:left="2250"/>
      </w:pPr>
      <w:r w:rsidRPr="00F17676">
        <w:rPr>
          <w:rFonts w:eastAsiaTheme="majorEastAsia"/>
          <w:kern w:val="0"/>
        </w:rPr>
        <w:t>Storage</w:t>
      </w:r>
      <w:r w:rsidRPr="00CA1FF0">
        <w:rPr>
          <w:kern w:val="0"/>
        </w:rPr>
        <w:t xml:space="preserve"> net output AC MW (positive for discharging, negative for charging)</w:t>
      </w:r>
    </w:p>
    <w:p w:rsidRPr="00DF1F95" w:rsidR="000459E8" w:rsidP="000907B6" w:rsidRDefault="000459E8" w14:paraId="5B167A10" w14:textId="32387763">
      <w:pPr>
        <w:pStyle w:val="zGBody3"/>
        <w:numPr>
          <w:ilvl w:val="2"/>
          <w:numId w:val="48"/>
        </w:numPr>
        <w:ind w:left="2250"/>
      </w:pPr>
      <w:r w:rsidRPr="00F17676">
        <w:rPr>
          <w:rFonts w:eastAsiaTheme="majorEastAsia"/>
          <w:kern w:val="0"/>
        </w:rPr>
        <w:t>Storage</w:t>
      </w:r>
      <w:r w:rsidRPr="00CA1FF0">
        <w:rPr>
          <w:kern w:val="0"/>
        </w:rPr>
        <w:t xml:space="preserve"> net output AC MVAR</w:t>
      </w:r>
    </w:p>
    <w:p w:rsidRPr="00DF1F95" w:rsidR="000459E8" w:rsidP="000907B6" w:rsidRDefault="000459E8" w14:paraId="0855A49D" w14:textId="77777777">
      <w:pPr>
        <w:pStyle w:val="zGBody3"/>
        <w:numPr>
          <w:ilvl w:val="2"/>
          <w:numId w:val="48"/>
        </w:numPr>
        <w:ind w:left="2250"/>
      </w:pPr>
      <w:r w:rsidRPr="00CA1FF0">
        <w:rPr>
          <w:kern w:val="0"/>
        </w:rPr>
        <w:t>Three-phase voltage (kV)</w:t>
      </w:r>
    </w:p>
    <w:p w:rsidRPr="00DF1F95" w:rsidR="000459E8" w:rsidP="000907B6" w:rsidRDefault="000459E8" w14:paraId="5898C49F" w14:textId="77777777">
      <w:pPr>
        <w:pStyle w:val="zGBody3"/>
        <w:numPr>
          <w:ilvl w:val="2"/>
          <w:numId w:val="48"/>
        </w:numPr>
        <w:ind w:left="2250"/>
      </w:pPr>
      <w:r w:rsidRPr="00CA1FF0">
        <w:rPr>
          <w:kern w:val="0"/>
        </w:rPr>
        <w:t>Three-phase current (A)</w:t>
      </w:r>
    </w:p>
    <w:p w:rsidRPr="00CA1FF0" w:rsidR="000459E8" w:rsidP="000907B6" w:rsidRDefault="000459E8" w14:paraId="77BBDA54" w14:textId="3B48EE53">
      <w:pPr>
        <w:pStyle w:val="zGBody3"/>
        <w:numPr>
          <w:ilvl w:val="2"/>
          <w:numId w:val="51"/>
        </w:numPr>
        <w:ind w:left="1890" w:hanging="738"/>
        <w:rPr>
          <w:kern w:val="0"/>
        </w:rPr>
      </w:pPr>
      <w:r w:rsidRPr="00CA1FF0">
        <w:rPr>
          <w:kern w:val="0"/>
        </w:rPr>
        <w:t>All High-Side (Transmission Level 46kV &amp; above) device status (Breakers, Switches, disconnects states (</w:t>
      </w:r>
      <w:r w:rsidRPr="00F17676">
        <w:rPr>
          <w:rFonts w:eastAsiaTheme="majorEastAsia"/>
          <w:kern w:val="0"/>
        </w:rPr>
        <w:t>OPEN/CLOSED)</w:t>
      </w:r>
    </w:p>
    <w:p w:rsidRPr="00CA1FF0" w:rsidR="000459E8" w:rsidP="000907B6" w:rsidRDefault="000459E8" w14:paraId="7CB3CF29" w14:textId="77EBCC6D">
      <w:pPr>
        <w:pStyle w:val="zGBody3"/>
        <w:numPr>
          <w:ilvl w:val="2"/>
          <w:numId w:val="51"/>
        </w:numPr>
        <w:rPr>
          <w:kern w:val="0"/>
        </w:rPr>
      </w:pPr>
      <w:r w:rsidRPr="00CA1FF0">
        <w:rPr>
          <w:kern w:val="0"/>
        </w:rPr>
        <w:t>All Low-Side (34.5 kV) collector system analog measurements</w:t>
      </w:r>
    </w:p>
    <w:p w:rsidRPr="00DF1F95" w:rsidR="000459E8" w:rsidP="000907B6" w:rsidRDefault="000459E8" w14:paraId="191F4179" w14:textId="2C0E6F7B">
      <w:pPr>
        <w:pStyle w:val="zGBody3"/>
        <w:numPr>
          <w:ilvl w:val="2"/>
          <w:numId w:val="49"/>
        </w:numPr>
        <w:ind w:left="2250"/>
      </w:pPr>
      <w:r w:rsidRPr="00CA1FF0">
        <w:rPr>
          <w:kern w:val="0"/>
        </w:rPr>
        <w:t>Individual Feeder Aggregated</w:t>
      </w:r>
      <w:r w:rsidRPr="00CA1FF0">
        <w:t xml:space="preserve"> </w:t>
      </w:r>
      <w:r w:rsidRPr="00F17676">
        <w:rPr>
          <w:rFonts w:eastAsiaTheme="majorEastAsia"/>
          <w:kern w:val="0"/>
        </w:rPr>
        <w:t xml:space="preserve">Storage </w:t>
      </w:r>
      <w:r w:rsidRPr="00CA1FF0">
        <w:rPr>
          <w:kern w:val="0"/>
        </w:rPr>
        <w:t>output AC MW</w:t>
      </w:r>
    </w:p>
    <w:p w:rsidRPr="00DF1F95" w:rsidR="000459E8" w:rsidP="000907B6" w:rsidRDefault="000459E8" w14:paraId="5F1F6FE2" w14:textId="40D77B27">
      <w:pPr>
        <w:pStyle w:val="zGBody3"/>
        <w:numPr>
          <w:ilvl w:val="2"/>
          <w:numId w:val="49"/>
        </w:numPr>
        <w:ind w:left="2250"/>
      </w:pPr>
      <w:r w:rsidRPr="00CA1FF0">
        <w:rPr>
          <w:kern w:val="0"/>
        </w:rPr>
        <w:t>Individual Feeder Aggregated</w:t>
      </w:r>
      <w:r w:rsidRPr="00CA1FF0">
        <w:t xml:space="preserve"> </w:t>
      </w:r>
      <w:r w:rsidRPr="00F17676">
        <w:rPr>
          <w:rFonts w:eastAsiaTheme="majorEastAsia"/>
          <w:kern w:val="0"/>
        </w:rPr>
        <w:t xml:space="preserve">Storage </w:t>
      </w:r>
      <w:r w:rsidRPr="00CA1FF0">
        <w:rPr>
          <w:kern w:val="0"/>
        </w:rPr>
        <w:t>output AC MVAR</w:t>
      </w:r>
    </w:p>
    <w:p w:rsidRPr="00DF1F95" w:rsidR="000459E8" w:rsidP="000907B6" w:rsidRDefault="000459E8" w14:paraId="54142264" w14:textId="77777777">
      <w:pPr>
        <w:pStyle w:val="zGBody3"/>
        <w:numPr>
          <w:ilvl w:val="2"/>
          <w:numId w:val="49"/>
        </w:numPr>
        <w:ind w:left="2250"/>
      </w:pPr>
      <w:r w:rsidRPr="00CA1FF0">
        <w:rPr>
          <w:kern w:val="0"/>
        </w:rPr>
        <w:t>Three-phase voltage (kV)</w:t>
      </w:r>
    </w:p>
    <w:p w:rsidRPr="00DF1F95" w:rsidR="000459E8" w:rsidP="000907B6" w:rsidRDefault="000459E8" w14:paraId="237848BF" w14:textId="77777777">
      <w:pPr>
        <w:pStyle w:val="zGBody3"/>
        <w:numPr>
          <w:ilvl w:val="2"/>
          <w:numId w:val="49"/>
        </w:numPr>
        <w:ind w:left="2250"/>
      </w:pPr>
      <w:r w:rsidRPr="00CA1FF0">
        <w:rPr>
          <w:kern w:val="0"/>
        </w:rPr>
        <w:lastRenderedPageBreak/>
        <w:t>Three-phase current (A)</w:t>
      </w:r>
    </w:p>
    <w:p w:rsidRPr="00DF1F95" w:rsidR="000459E8" w:rsidP="000907B6" w:rsidRDefault="000459E8" w14:paraId="588B88DF" w14:textId="77777777">
      <w:pPr>
        <w:pStyle w:val="zGBody3"/>
        <w:numPr>
          <w:ilvl w:val="2"/>
          <w:numId w:val="49"/>
        </w:numPr>
        <w:ind w:left="2250"/>
      </w:pPr>
      <w:r w:rsidRPr="00CA1FF0">
        <w:rPr>
          <w:kern w:val="0"/>
        </w:rPr>
        <w:t>Reactive device output MVAR (if applicable)</w:t>
      </w:r>
    </w:p>
    <w:p w:rsidRPr="00CA1FF0" w:rsidR="000459E8" w:rsidP="000907B6" w:rsidRDefault="000459E8" w14:paraId="7C0EC9C5" w14:textId="77777777">
      <w:pPr>
        <w:pStyle w:val="zGBody3"/>
        <w:numPr>
          <w:ilvl w:val="2"/>
          <w:numId w:val="51"/>
        </w:numPr>
        <w:rPr>
          <w:kern w:val="0"/>
        </w:rPr>
      </w:pPr>
      <w:r w:rsidRPr="00CA1FF0">
        <w:rPr>
          <w:kern w:val="0"/>
        </w:rPr>
        <w:t>All Low-Side (34.5 kV) collector system device status (OPEN/CLOSED)</w:t>
      </w:r>
    </w:p>
    <w:p w:rsidRPr="00DF1F95" w:rsidR="000459E8" w:rsidP="000907B6" w:rsidRDefault="000459E8" w14:paraId="5E5F86F2" w14:textId="77777777">
      <w:pPr>
        <w:pStyle w:val="zGBody3"/>
        <w:numPr>
          <w:ilvl w:val="2"/>
          <w:numId w:val="50"/>
        </w:numPr>
        <w:ind w:firstLine="810"/>
      </w:pPr>
      <w:r w:rsidRPr="00CA1FF0">
        <w:rPr>
          <w:kern w:val="0"/>
        </w:rPr>
        <w:t>Individual BESS Feeder Breaker status</w:t>
      </w:r>
    </w:p>
    <w:p w:rsidRPr="00DF1F95" w:rsidR="000459E8" w:rsidP="000907B6" w:rsidRDefault="000459E8" w14:paraId="11C8DFD6" w14:textId="77777777">
      <w:pPr>
        <w:pStyle w:val="zGBody3"/>
        <w:numPr>
          <w:ilvl w:val="2"/>
          <w:numId w:val="50"/>
        </w:numPr>
        <w:ind w:left="2250"/>
      </w:pPr>
      <w:r w:rsidRPr="00CA1FF0">
        <w:rPr>
          <w:kern w:val="0"/>
        </w:rPr>
        <w:t>Reactive device breaker status (LTC, shunts, dynamic reactive devices, etc.)</w:t>
      </w:r>
    </w:p>
    <w:p w:rsidRPr="00DF1F95" w:rsidR="000459E8" w:rsidP="000907B6" w:rsidRDefault="000459E8" w14:paraId="623FDA20" w14:textId="77777777">
      <w:pPr>
        <w:pStyle w:val="zGBody3"/>
        <w:numPr>
          <w:ilvl w:val="2"/>
          <w:numId w:val="50"/>
        </w:numPr>
        <w:ind w:left="2250"/>
      </w:pPr>
      <w:r w:rsidRPr="00CA1FF0">
        <w:rPr>
          <w:kern w:val="0"/>
        </w:rPr>
        <w:t>Reactive device circuit switcher status (if applicable)</w:t>
      </w:r>
    </w:p>
    <w:p w:rsidRPr="00F17676" w:rsidR="000459E8" w:rsidP="000907B6" w:rsidRDefault="000459E8" w14:paraId="469FDF1B" w14:textId="77777777">
      <w:pPr>
        <w:pStyle w:val="zGBody3"/>
        <w:numPr>
          <w:ilvl w:val="2"/>
          <w:numId w:val="51"/>
        </w:numPr>
        <w:rPr>
          <w:rFonts w:eastAsiaTheme="majorEastAsia"/>
          <w:kern w:val="0"/>
        </w:rPr>
      </w:pPr>
      <w:r w:rsidRPr="00F17676">
        <w:rPr>
          <w:rFonts w:eastAsiaTheme="majorEastAsia"/>
          <w:kern w:val="0"/>
        </w:rPr>
        <w:t>Gross Storage DC MW (positive for discharging, negative for charging)</w:t>
      </w:r>
    </w:p>
    <w:p w:rsidRPr="00CA1FF0" w:rsidR="000459E8" w:rsidP="000907B6" w:rsidRDefault="000459E8" w14:paraId="7E3EF4B5" w14:textId="77777777">
      <w:pPr>
        <w:pStyle w:val="zGBody3"/>
        <w:numPr>
          <w:ilvl w:val="2"/>
          <w:numId w:val="51"/>
        </w:numPr>
        <w:rPr>
          <w:kern w:val="0"/>
        </w:rPr>
      </w:pPr>
      <w:r w:rsidRPr="00CA1FF0">
        <w:rPr>
          <w:kern w:val="0"/>
        </w:rPr>
        <w:t>Plant Voltage Regulation Mode Status (Auto/Manual)</w:t>
      </w:r>
    </w:p>
    <w:p w:rsidRPr="00CA1FF0" w:rsidR="000459E8" w:rsidP="000907B6" w:rsidRDefault="000459E8" w14:paraId="503EC528" w14:textId="77777777">
      <w:pPr>
        <w:pStyle w:val="zGBody3"/>
        <w:numPr>
          <w:ilvl w:val="2"/>
          <w:numId w:val="51"/>
        </w:numPr>
        <w:rPr>
          <w:kern w:val="0"/>
        </w:rPr>
      </w:pPr>
      <w:r w:rsidRPr="00CA1FF0">
        <w:rPr>
          <w:kern w:val="0"/>
        </w:rPr>
        <w:t>Reactive Support (MVARs) at Zero power Status (ENABLED/DISABLED)</w:t>
      </w:r>
    </w:p>
    <w:p w:rsidRPr="00CA1FF0" w:rsidR="000459E8" w:rsidP="000907B6" w:rsidRDefault="000459E8" w14:paraId="131E5DAF" w14:textId="5967FB3C">
      <w:pPr>
        <w:pStyle w:val="zGBody3"/>
        <w:numPr>
          <w:ilvl w:val="2"/>
          <w:numId w:val="51"/>
        </w:numPr>
        <w:rPr>
          <w:kern w:val="0"/>
        </w:rPr>
      </w:pPr>
      <w:r w:rsidRPr="00F17676">
        <w:rPr>
          <w:rFonts w:eastAsiaTheme="majorEastAsia"/>
          <w:kern w:val="0"/>
        </w:rPr>
        <w:t>Storage</w:t>
      </w:r>
      <w:r w:rsidRPr="00CA1FF0">
        <w:rPr>
          <w:kern w:val="0"/>
        </w:rPr>
        <w:t xml:space="preserve"> on AGC Signal (ENABLED/DISABLED)</w:t>
      </w:r>
    </w:p>
    <w:p w:rsidRPr="00CA1FF0" w:rsidR="000459E8" w:rsidP="000907B6" w:rsidRDefault="000459E8" w14:paraId="0EFCC75D" w14:textId="77777777">
      <w:pPr>
        <w:pStyle w:val="zGBody3"/>
        <w:numPr>
          <w:ilvl w:val="2"/>
          <w:numId w:val="51"/>
        </w:numPr>
        <w:rPr>
          <w:kern w:val="0"/>
        </w:rPr>
      </w:pPr>
      <w:r w:rsidRPr="00CA1FF0">
        <w:rPr>
          <w:kern w:val="0"/>
        </w:rPr>
        <w:t>Present State of Charge (MWh)</w:t>
      </w:r>
    </w:p>
    <w:p w:rsidRPr="00CA1FF0" w:rsidR="000459E8" w:rsidP="000907B6" w:rsidRDefault="000459E8" w14:paraId="1278E486" w14:textId="3725EF42">
      <w:pPr>
        <w:pStyle w:val="zGBody3"/>
        <w:numPr>
          <w:ilvl w:val="2"/>
          <w:numId w:val="51"/>
        </w:numPr>
        <w:rPr>
          <w:kern w:val="0"/>
        </w:rPr>
      </w:pPr>
      <w:bookmarkStart w:name="_Hlk115290765" w:id="1528"/>
      <w:r w:rsidRPr="00CA1FF0">
        <w:rPr>
          <w:kern w:val="0"/>
        </w:rPr>
        <w:t xml:space="preserve">Maximum Operational State of Charge limit </w:t>
      </w:r>
      <w:bookmarkEnd w:id="1528"/>
      <w:r w:rsidRPr="00CA1FF0">
        <w:rPr>
          <w:kern w:val="0"/>
        </w:rPr>
        <w:t>(MWh)</w:t>
      </w:r>
    </w:p>
    <w:p w:rsidRPr="00CA1FF0" w:rsidR="000459E8" w:rsidP="000907B6" w:rsidRDefault="000459E8" w14:paraId="42E3A2D3" w14:textId="77777777">
      <w:pPr>
        <w:pStyle w:val="zGBody3"/>
        <w:numPr>
          <w:ilvl w:val="2"/>
          <w:numId w:val="51"/>
        </w:numPr>
        <w:rPr>
          <w:kern w:val="0"/>
        </w:rPr>
      </w:pPr>
      <w:r w:rsidRPr="00CA1FF0">
        <w:rPr>
          <w:kern w:val="0"/>
        </w:rPr>
        <w:t>Minimum Operational State of Charge limit (MWh)</w:t>
      </w:r>
    </w:p>
    <w:p w:rsidRPr="00CA1FF0" w:rsidR="000459E8" w:rsidP="000907B6" w:rsidRDefault="000459E8" w14:paraId="31EA50B2" w14:textId="77777777">
      <w:pPr>
        <w:pStyle w:val="zGBody3"/>
        <w:numPr>
          <w:ilvl w:val="2"/>
          <w:numId w:val="51"/>
        </w:numPr>
        <w:ind w:left="1890" w:hanging="738"/>
        <w:rPr>
          <w:kern w:val="0"/>
        </w:rPr>
      </w:pPr>
      <w:r w:rsidRPr="00CA1FF0">
        <w:rPr>
          <w:kern w:val="0"/>
        </w:rPr>
        <w:t>Discharge Time (minutes) (estimated discharge time based on remaining energy and current discharge rate)</w:t>
      </w:r>
    </w:p>
    <w:p w:rsidRPr="00CA1FF0" w:rsidR="000459E8" w:rsidP="000907B6" w:rsidRDefault="000459E8" w14:paraId="0526808E" w14:textId="77777777">
      <w:pPr>
        <w:pStyle w:val="zGBody3"/>
        <w:numPr>
          <w:ilvl w:val="2"/>
          <w:numId w:val="51"/>
        </w:numPr>
        <w:ind w:left="1890" w:hanging="738"/>
        <w:rPr>
          <w:kern w:val="0"/>
        </w:rPr>
      </w:pPr>
      <w:r w:rsidRPr="00CA1FF0">
        <w:rPr>
          <w:kern w:val="0"/>
        </w:rPr>
        <w:t>Charge Time (minutes) (estimated charge time based on remaining energy capacity and current charge rate)</w:t>
      </w:r>
    </w:p>
    <w:p w:rsidRPr="00CA1FF0" w:rsidR="000459E8" w:rsidP="000907B6" w:rsidRDefault="000459E8" w14:paraId="311E6A6E" w14:textId="77777777">
      <w:pPr>
        <w:pStyle w:val="zGBody3"/>
        <w:numPr>
          <w:ilvl w:val="2"/>
          <w:numId w:val="51"/>
        </w:numPr>
        <w:rPr>
          <w:kern w:val="0"/>
        </w:rPr>
      </w:pPr>
      <w:r w:rsidRPr="00CA1FF0">
        <w:rPr>
          <w:kern w:val="0"/>
        </w:rPr>
        <w:t>Current Discharge Limit [Operating High Limit (MW)]</w:t>
      </w:r>
    </w:p>
    <w:p w:rsidRPr="00CA1FF0" w:rsidR="000459E8" w:rsidP="000907B6" w:rsidRDefault="000459E8" w14:paraId="76E5C331" w14:textId="77777777">
      <w:pPr>
        <w:pStyle w:val="zGBody3"/>
        <w:numPr>
          <w:ilvl w:val="2"/>
          <w:numId w:val="51"/>
        </w:numPr>
        <w:rPr>
          <w:kern w:val="0"/>
        </w:rPr>
      </w:pPr>
      <w:r w:rsidRPr="00CA1FF0">
        <w:rPr>
          <w:kern w:val="0"/>
        </w:rPr>
        <w:t>Maximum Discharge Limit [High Limit (MW)]</w:t>
      </w:r>
    </w:p>
    <w:p w:rsidRPr="00CA1FF0" w:rsidR="000459E8" w:rsidP="000907B6" w:rsidRDefault="000459E8" w14:paraId="677E28B5" w14:textId="77777777">
      <w:pPr>
        <w:pStyle w:val="zGBody3"/>
        <w:numPr>
          <w:ilvl w:val="2"/>
          <w:numId w:val="51"/>
        </w:numPr>
        <w:rPr>
          <w:kern w:val="0"/>
        </w:rPr>
      </w:pPr>
      <w:r w:rsidRPr="00CA1FF0">
        <w:rPr>
          <w:kern w:val="0"/>
        </w:rPr>
        <w:t>Current Charge Limit [Operating Low Limit (MW)]</w:t>
      </w:r>
    </w:p>
    <w:p w:rsidRPr="00CA1FF0" w:rsidR="000459E8" w:rsidP="000907B6" w:rsidRDefault="000459E8" w14:paraId="6DEC95F9" w14:textId="77777777">
      <w:pPr>
        <w:pStyle w:val="zGBody3"/>
        <w:numPr>
          <w:ilvl w:val="2"/>
          <w:numId w:val="51"/>
        </w:numPr>
        <w:rPr>
          <w:kern w:val="0"/>
        </w:rPr>
      </w:pPr>
      <w:r w:rsidRPr="00CA1FF0">
        <w:rPr>
          <w:kern w:val="0"/>
        </w:rPr>
        <w:t>Maximum Charge Limit [Low Limit (MW)]</w:t>
      </w:r>
    </w:p>
    <w:p w:rsidRPr="00CA1FF0" w:rsidR="000459E8" w:rsidP="000907B6" w:rsidRDefault="000459E8" w14:paraId="284252B7" w14:textId="77777777">
      <w:pPr>
        <w:pStyle w:val="zGBody3"/>
        <w:numPr>
          <w:ilvl w:val="2"/>
          <w:numId w:val="51"/>
        </w:numPr>
        <w:rPr>
          <w:kern w:val="0"/>
        </w:rPr>
      </w:pPr>
      <w:r w:rsidRPr="00F17676">
        <w:rPr>
          <w:rFonts w:eastAsiaTheme="majorEastAsia"/>
          <w:kern w:val="0"/>
        </w:rPr>
        <w:t xml:space="preserve">Storage </w:t>
      </w:r>
      <w:r w:rsidRPr="00CA1FF0">
        <w:rPr>
          <w:kern w:val="0"/>
        </w:rPr>
        <w:t>AGC Ramp Rate Increase (+MW/min)</w:t>
      </w:r>
    </w:p>
    <w:p w:rsidRPr="00CA1FF0" w:rsidR="000459E8" w:rsidP="000907B6" w:rsidRDefault="000459E8" w14:paraId="136C07A1" w14:textId="77777777">
      <w:pPr>
        <w:pStyle w:val="zGBody3"/>
        <w:numPr>
          <w:ilvl w:val="2"/>
          <w:numId w:val="51"/>
        </w:numPr>
        <w:rPr>
          <w:kern w:val="0"/>
        </w:rPr>
      </w:pPr>
      <w:r w:rsidRPr="00F17676">
        <w:rPr>
          <w:rFonts w:eastAsiaTheme="majorEastAsia"/>
          <w:kern w:val="0"/>
        </w:rPr>
        <w:t xml:space="preserve"> Storage </w:t>
      </w:r>
      <w:r w:rsidRPr="00CA1FF0">
        <w:rPr>
          <w:kern w:val="0"/>
        </w:rPr>
        <w:t>AGC Ramp Rate Decrease (-MW/min)</w:t>
      </w:r>
    </w:p>
    <w:p w:rsidRPr="00CA1FF0" w:rsidR="000459E8" w:rsidP="000907B6" w:rsidRDefault="000459E8" w14:paraId="326D7A77" w14:textId="77777777">
      <w:pPr>
        <w:pStyle w:val="zGBody3"/>
        <w:numPr>
          <w:ilvl w:val="2"/>
          <w:numId w:val="51"/>
        </w:numPr>
        <w:rPr>
          <w:kern w:val="0"/>
        </w:rPr>
      </w:pPr>
      <w:r w:rsidRPr="00CA1FF0">
        <w:rPr>
          <w:kern w:val="0"/>
        </w:rPr>
        <w:t>High Limit Status (Normal/Alarm)</w:t>
      </w:r>
    </w:p>
    <w:p w:rsidRPr="00F17676" w:rsidR="000459E8" w:rsidP="000907B6" w:rsidRDefault="000459E8" w14:paraId="2CFFEBF1" w14:textId="77777777">
      <w:pPr>
        <w:pStyle w:val="zGBody3"/>
        <w:numPr>
          <w:ilvl w:val="2"/>
          <w:numId w:val="51"/>
        </w:numPr>
        <w:rPr>
          <w:rFonts w:eastAsiaTheme="majorEastAsia"/>
          <w:kern w:val="0"/>
        </w:rPr>
      </w:pPr>
      <w:r w:rsidRPr="00CA1FF0">
        <w:rPr>
          <w:kern w:val="0"/>
        </w:rPr>
        <w:t>Low Limit Status (Normal/Alarm)</w:t>
      </w:r>
    </w:p>
    <w:p w:rsidRPr="00CA1FF0" w:rsidR="000459E8" w:rsidP="000907B6" w:rsidRDefault="000459E8" w14:paraId="710B45AE" w14:textId="77777777">
      <w:pPr>
        <w:pStyle w:val="zGBody3"/>
        <w:numPr>
          <w:ilvl w:val="2"/>
          <w:numId w:val="51"/>
        </w:numPr>
        <w:rPr>
          <w:kern w:val="0"/>
        </w:rPr>
      </w:pPr>
      <w:r w:rsidRPr="00CA1FF0">
        <w:rPr>
          <w:kern w:val="0"/>
        </w:rPr>
        <w:t>Average Site Cell Temperature, if available (°F)</w:t>
      </w:r>
    </w:p>
    <w:p w:rsidRPr="00CA1FF0" w:rsidR="000459E8" w:rsidP="000907B6" w:rsidRDefault="000459E8" w14:paraId="587D08D7" w14:textId="77777777">
      <w:pPr>
        <w:pStyle w:val="zGBody3"/>
        <w:numPr>
          <w:ilvl w:val="2"/>
          <w:numId w:val="51"/>
        </w:numPr>
        <w:rPr>
          <w:kern w:val="0"/>
        </w:rPr>
      </w:pPr>
      <w:r w:rsidRPr="00CA1FF0">
        <w:rPr>
          <w:kern w:val="0"/>
        </w:rPr>
        <w:t>% of stack in service</w:t>
      </w:r>
    </w:p>
    <w:p w:rsidRPr="00F17676" w:rsidR="000459E8" w:rsidP="000907B6" w:rsidRDefault="000459E8" w14:paraId="4FC8F7D9" w14:textId="455878EA">
      <w:pPr>
        <w:pStyle w:val="zGBody3"/>
        <w:numPr>
          <w:ilvl w:val="2"/>
          <w:numId w:val="51"/>
        </w:numPr>
        <w:rPr>
          <w:rFonts w:eastAsiaTheme="majorEastAsia"/>
          <w:kern w:val="0"/>
        </w:rPr>
      </w:pPr>
      <w:r w:rsidRPr="00F17676">
        <w:rPr>
          <w:rFonts w:eastAsiaTheme="majorEastAsia"/>
          <w:kern w:val="0"/>
        </w:rPr>
        <w:t>Station Service/Aux Power (MW)</w:t>
      </w:r>
    </w:p>
    <w:p w:rsidRPr="00CA1FF0" w:rsidR="000459E8" w:rsidP="000907B6" w:rsidRDefault="000459E8" w14:paraId="6BD90E34" w14:textId="77777777">
      <w:pPr>
        <w:pStyle w:val="zGBody3"/>
        <w:numPr>
          <w:ilvl w:val="2"/>
          <w:numId w:val="51"/>
        </w:numPr>
        <w:rPr>
          <w:kern w:val="0"/>
        </w:rPr>
      </w:pPr>
      <w:r w:rsidRPr="00F17676">
        <w:rPr>
          <w:rFonts w:eastAsiaTheme="majorEastAsia"/>
          <w:kern w:val="0"/>
        </w:rPr>
        <w:t>Storage</w:t>
      </w:r>
      <w:r w:rsidRPr="00CA1FF0">
        <w:rPr>
          <w:kern w:val="0"/>
        </w:rPr>
        <w:t xml:space="preserve"> Setpoint Feedback (MW)</w:t>
      </w:r>
    </w:p>
    <w:p w:rsidRPr="00F17676" w:rsidR="000459E8" w:rsidP="000907B6" w:rsidRDefault="000459E8" w14:paraId="0102E0F2" w14:textId="77777777">
      <w:pPr>
        <w:pStyle w:val="zGBody3"/>
        <w:numPr>
          <w:ilvl w:val="2"/>
          <w:numId w:val="51"/>
        </w:numPr>
        <w:rPr>
          <w:rFonts w:eastAsiaTheme="majorEastAsia"/>
          <w:kern w:val="0"/>
        </w:rPr>
      </w:pPr>
      <w:r w:rsidRPr="00CA1FF0">
        <w:rPr>
          <w:kern w:val="0"/>
        </w:rPr>
        <w:t>Number of inverters available</w:t>
      </w:r>
    </w:p>
    <w:p w:rsidRPr="00F17676" w:rsidR="000459E8" w:rsidP="000907B6" w:rsidRDefault="000459E8" w14:paraId="667C67B9" w14:textId="77777777">
      <w:pPr>
        <w:pStyle w:val="zGBody3"/>
        <w:numPr>
          <w:ilvl w:val="2"/>
          <w:numId w:val="51"/>
        </w:numPr>
        <w:rPr>
          <w:rFonts w:eastAsiaTheme="majorEastAsia"/>
          <w:kern w:val="0"/>
        </w:rPr>
      </w:pPr>
      <w:r w:rsidRPr="00CA1FF0">
        <w:rPr>
          <w:kern w:val="0"/>
        </w:rPr>
        <w:lastRenderedPageBreak/>
        <w:t>Number of inverters producing power</w:t>
      </w:r>
    </w:p>
    <w:p w:rsidRPr="00F17676" w:rsidR="000459E8" w:rsidP="000907B6" w:rsidRDefault="000459E8" w14:paraId="4DA40CCF" w14:textId="77777777">
      <w:pPr>
        <w:pStyle w:val="zGBody3"/>
        <w:numPr>
          <w:ilvl w:val="2"/>
          <w:numId w:val="51"/>
        </w:numPr>
        <w:rPr>
          <w:rFonts w:eastAsiaTheme="majorEastAsia"/>
          <w:kern w:val="0"/>
        </w:rPr>
      </w:pPr>
      <w:r w:rsidRPr="00CA1FF0">
        <w:rPr>
          <w:kern w:val="0"/>
        </w:rPr>
        <w:t>Number of inverters tripped</w:t>
      </w:r>
    </w:p>
    <w:p w:rsidRPr="00F17676" w:rsidR="000459E8" w:rsidP="000907B6" w:rsidRDefault="000459E8" w14:paraId="298C3605" w14:textId="77777777">
      <w:pPr>
        <w:pStyle w:val="zGBody3"/>
        <w:numPr>
          <w:ilvl w:val="2"/>
          <w:numId w:val="51"/>
        </w:numPr>
        <w:rPr>
          <w:rFonts w:eastAsiaTheme="majorEastAsia"/>
          <w:kern w:val="0"/>
        </w:rPr>
      </w:pPr>
      <w:r w:rsidRPr="00CA1FF0">
        <w:rPr>
          <w:kern w:val="0"/>
        </w:rPr>
        <w:t>Number of inverters not communicating</w:t>
      </w:r>
    </w:p>
    <w:p w:rsidRPr="00CA1FF0" w:rsidR="000459E8" w:rsidP="000907B6" w:rsidRDefault="000459E8" w14:paraId="030128F9" w14:textId="77777777">
      <w:pPr>
        <w:pStyle w:val="zGBody3"/>
        <w:numPr>
          <w:ilvl w:val="2"/>
          <w:numId w:val="51"/>
        </w:numPr>
        <w:rPr>
          <w:kern w:val="0"/>
        </w:rPr>
      </w:pPr>
      <w:r w:rsidRPr="00CA1FF0">
        <w:rPr>
          <w:kern w:val="0"/>
        </w:rPr>
        <w:t>Number of inverters out of service</w:t>
      </w:r>
    </w:p>
    <w:p w:rsidRPr="00CA1FF0" w:rsidR="000459E8" w:rsidP="000907B6" w:rsidRDefault="000459E8" w14:paraId="5E8D930D" w14:textId="62799AD9">
      <w:pPr>
        <w:pStyle w:val="zGBody3"/>
        <w:numPr>
          <w:ilvl w:val="2"/>
          <w:numId w:val="51"/>
        </w:numPr>
        <w:rPr>
          <w:kern w:val="0"/>
        </w:rPr>
      </w:pPr>
      <w:r w:rsidRPr="00CA1FF0">
        <w:rPr>
          <w:kern w:val="0"/>
        </w:rPr>
        <w:t xml:space="preserve">Equivalent BESS Cycles per </w:t>
      </w:r>
      <w:r w:rsidRPr="00F17676">
        <w:rPr>
          <w:rFonts w:eastAsiaTheme="majorEastAsia"/>
          <w:kern w:val="0"/>
        </w:rPr>
        <w:t>day</w:t>
      </w:r>
      <w:r w:rsidRPr="00CA1FF0">
        <w:rPr>
          <w:kern w:val="0"/>
        </w:rPr>
        <w:t xml:space="preserve"> counter</w:t>
      </w:r>
    </w:p>
    <w:p w:rsidRPr="00CA1FF0" w:rsidR="000459E8" w:rsidP="000907B6" w:rsidRDefault="000459E8" w14:paraId="784F3536" w14:textId="77777777">
      <w:pPr>
        <w:pStyle w:val="zGBody3"/>
        <w:numPr>
          <w:ilvl w:val="2"/>
          <w:numId w:val="51"/>
        </w:numPr>
        <w:rPr>
          <w:kern w:val="0"/>
        </w:rPr>
      </w:pPr>
      <w:r w:rsidRPr="00CA1FF0">
        <w:rPr>
          <w:kern w:val="0"/>
        </w:rPr>
        <w:t>Equivalent BESS Cycles per year counter</w:t>
      </w:r>
    </w:p>
    <w:p w:rsidRPr="00DE2B11" w:rsidR="000459E8" w:rsidP="000459E8" w:rsidRDefault="000459E8" w14:paraId="322C8F3A" w14:textId="77777777">
      <w:pPr>
        <w:numPr>
          <w:ilvl w:val="2"/>
          <w:numId w:val="0"/>
        </w:numPr>
        <w:tabs>
          <w:tab w:val="num" w:pos="1872"/>
        </w:tabs>
        <w:autoSpaceDE w:val="0"/>
        <w:autoSpaceDN w:val="0"/>
        <w:adjustRightInd w:val="0"/>
        <w:spacing w:before="120" w:after="240" w:line="240" w:lineRule="auto"/>
        <w:jc w:val="both"/>
        <w:rPr>
          <w:rFonts w:ascii="Arial" w:hAnsi="Arial" w:eastAsia="Times New Roman" w:cs="Arial"/>
          <w:kern w:val="14"/>
          <w:sz w:val="20"/>
          <w:szCs w:val="20"/>
        </w:rPr>
        <w:sectPr w:rsidRPr="00DE2B11" w:rsidR="000459E8" w:rsidSect="00DE2B11">
          <w:headerReference w:type="even" r:id="rId78"/>
          <w:headerReference w:type="default" r:id="rId79"/>
          <w:footerReference w:type="even" r:id="rId80"/>
          <w:footerReference w:type="default" r:id="rId81"/>
          <w:headerReference w:type="first" r:id="rId82"/>
          <w:footerReference w:type="first" r:id="rId83"/>
          <w:type w:val="continuous"/>
          <w:pgSz w:w="12240" w:h="15840"/>
          <w:pgMar w:top="1820" w:right="1080" w:bottom="600" w:left="1080" w:header="495" w:footer="419" w:gutter="0"/>
          <w:cols w:space="720"/>
        </w:sectPr>
      </w:pPr>
    </w:p>
    <w:p w:rsidRPr="00DE2B11" w:rsidR="00DE2B11" w:rsidP="007707CE" w:rsidRDefault="00DE2B11" w14:paraId="727F6DA6" w14:textId="77777777">
      <w:pPr>
        <w:autoSpaceDE w:val="0"/>
        <w:autoSpaceDN w:val="0"/>
        <w:adjustRightInd w:val="0"/>
        <w:spacing w:before="120" w:after="120" w:line="20" w:lineRule="atLeast"/>
        <w:jc w:val="both"/>
        <w:rPr>
          <w:rFonts w:ascii="Arial" w:hAnsi="Arial" w:eastAsia="Times New Roman" w:cs="Arial"/>
          <w:kern w:val="14"/>
          <w:sz w:val="20"/>
          <w:szCs w:val="20"/>
        </w:rPr>
      </w:pPr>
    </w:p>
    <w:p w:rsidRPr="00DF1F95" w:rsidR="00DE2B11" w:rsidP="000907B6" w:rsidRDefault="00DE2B11" w14:paraId="1D9E6162" w14:textId="77777777">
      <w:pPr>
        <w:keepNext/>
        <w:numPr>
          <w:ilvl w:val="0"/>
          <w:numId w:val="31"/>
        </w:numPr>
        <w:autoSpaceDE w:val="0"/>
        <w:autoSpaceDN w:val="0"/>
        <w:adjustRightInd w:val="0"/>
        <w:spacing w:before="120" w:after="120" w:line="20" w:lineRule="atLeast"/>
        <w:jc w:val="both"/>
      </w:pPr>
      <w:bookmarkStart w:name="_Toc206673934" w:id="1529"/>
      <w:r w:rsidRPr="00CA1FF0">
        <w:rPr>
          <w:rFonts w:ascii="Arial Bold" w:hAnsi="Arial Bold"/>
          <w:b/>
          <w:caps/>
          <w:kern w:val="14"/>
          <w:sz w:val="20"/>
          <w:u w:val="single"/>
        </w:rPr>
        <w:t>General Flow of AGC</w:t>
      </w:r>
      <w:bookmarkEnd w:id="1529"/>
    </w:p>
    <w:p w:rsidRPr="00DE2B11" w:rsidR="00DE2B11" w:rsidP="00DE2B11" w:rsidRDefault="00DE2B11" w14:paraId="600AAB9D" w14:textId="3820015C">
      <w:pPr>
        <w:widowControl w:val="0"/>
        <w:spacing w:before="120" w:after="120" w:line="20" w:lineRule="atLeast"/>
        <w:jc w:val="both"/>
        <w:rPr>
          <w:rFonts w:ascii="Arial" w:hAnsi="Arial" w:eastAsia="Aptos" w:cs="Arial"/>
          <w:sz w:val="20"/>
          <w:szCs w:val="20"/>
        </w:rPr>
      </w:pPr>
      <w:r w:rsidRPr="00DE2B11">
        <w:rPr>
          <w:rFonts w:ascii="Arial" w:hAnsi="Arial" w:eastAsia="Aptos" w:cs="Arial"/>
          <w:sz w:val="20"/>
          <w:szCs w:val="20"/>
        </w:rPr>
        <w:t>The resource will send every scan of all its points to GPC (via EMS) and likewise, EMS will update its points every scan. Seller must place the resource on AGC when available for remote control and will echo back to EMS what it has received for the AGC Setpoint.</w:t>
      </w:r>
    </w:p>
    <w:p w:rsidRPr="00DE2B11" w:rsidR="00DE2B11" w:rsidP="00DE2B11" w:rsidRDefault="00DE2B11" w14:paraId="14669D06" w14:textId="3EE0F745">
      <w:pPr>
        <w:widowControl w:val="0"/>
        <w:spacing w:before="120" w:after="120" w:line="20" w:lineRule="atLeast"/>
        <w:jc w:val="both"/>
        <w:rPr>
          <w:rFonts w:ascii="Arial" w:hAnsi="Arial" w:eastAsia="Aptos" w:cs="Arial"/>
          <w:sz w:val="20"/>
          <w:szCs w:val="20"/>
        </w:rPr>
      </w:pPr>
      <w:r w:rsidRPr="00DE2B11">
        <w:rPr>
          <w:rFonts w:ascii="Arial" w:hAnsi="Arial" w:eastAsia="Aptos" w:cs="Arial"/>
          <w:sz w:val="20"/>
          <w:szCs w:val="20"/>
        </w:rPr>
        <w:t xml:space="preserve">The Renewable Resource will receive AGC Setpoints equivalent to the Operating High Limit or the Potential High Limit and operate at full generation until an AGC Setpoint below the Potential High Limit is received. Upon receiving this AGC Setpoint for Curtailment, the Facility will reduce output to meet the AGC Setpoint. </w:t>
      </w:r>
    </w:p>
    <w:p w:rsidRPr="00DE2B11" w:rsidR="00DE2B11" w:rsidP="00CA1FF0" w:rsidRDefault="00DE2B11" w14:paraId="3FA2B3BD" w14:textId="577AEB88">
      <w:pPr>
        <w:widowControl w:val="0"/>
        <w:spacing w:before="120" w:after="120" w:line="20" w:lineRule="atLeast"/>
        <w:jc w:val="both"/>
        <w:rPr>
          <w:rFonts w:ascii="Arial" w:hAnsi="Arial" w:eastAsia="Aptos" w:cs="Arial"/>
          <w:sz w:val="20"/>
          <w:szCs w:val="20"/>
        </w:rPr>
      </w:pPr>
      <w:r w:rsidRPr="00DE2B11">
        <w:rPr>
          <w:rFonts w:ascii="Arial" w:hAnsi="Arial" w:eastAsia="Aptos" w:cs="Arial"/>
          <w:sz w:val="20"/>
          <w:szCs w:val="20"/>
        </w:rPr>
        <w:t>The BESS will receive AGC Setpoints equivalent to the Operating High Limit or the Potential High Limit and operate at full generation until an AGC Setpoint below the Potential High Limit is received. Upon receiving this AGC Setpoint for curtailment, the BESS must reduce output to meet the AGC Setpoint.</w:t>
      </w:r>
    </w:p>
    <w:p w:rsidRPr="00CA1FF0" w:rsidR="00DE2B11" w:rsidP="00CA1FF0" w:rsidRDefault="00DE2B11" w14:paraId="5FD63B37" w14:textId="77777777">
      <w:pPr>
        <w:widowControl w:val="0"/>
        <w:jc w:val="both"/>
        <w:rPr>
          <w:rFonts w:ascii="Arial" w:hAnsi="Arial"/>
          <w:sz w:val="20"/>
        </w:rPr>
      </w:pPr>
      <w:r w:rsidRPr="00DE2B11">
        <w:rPr>
          <w:rFonts w:ascii="Arial" w:hAnsi="Arial" w:eastAsia="Aptos" w:cs="Arial"/>
          <w:sz w:val="20"/>
          <w:szCs w:val="20"/>
        </w:rPr>
        <w:t>The</w:t>
      </w:r>
      <w:r w:rsidRPr="00CA1FF0">
        <w:t xml:space="preserve"> BESS</w:t>
      </w:r>
      <w:r w:rsidRPr="00DE2B11">
        <w:rPr>
          <w:rFonts w:ascii="Arial" w:hAnsi="Arial" w:eastAsia="Aptos" w:cs="Arial"/>
          <w:sz w:val="20"/>
          <w:szCs w:val="20"/>
        </w:rPr>
        <w:t xml:space="preserve"> is to remain on AGC and available for dispatch when available for dispatch regardless of output. For the avoidance of doubt, AGC will send AGC Setpoints at 0 MW during periods where the desired output is 0 MW and the Facility online and available for dispatch. A 0 MW</w:t>
      </w:r>
      <w:r w:rsidRPr="00CA1FF0">
        <w:rPr>
          <w:rFonts w:ascii="Arial" w:hAnsi="Arial"/>
          <w:sz w:val="20"/>
        </w:rPr>
        <w:t xml:space="preserve"> </w:t>
      </w:r>
      <w:r w:rsidRPr="00CA1FF0">
        <w:t>BESS</w:t>
      </w:r>
      <w:r w:rsidRPr="00DE2B11">
        <w:rPr>
          <w:rFonts w:ascii="Arial" w:hAnsi="Arial" w:eastAsia="Aptos" w:cs="Arial"/>
          <w:sz w:val="20"/>
          <w:szCs w:val="20"/>
        </w:rPr>
        <w:t xml:space="preserve"> AGC Setpoint will result in the</w:t>
      </w:r>
      <w:r w:rsidRPr="00CA1FF0">
        <w:rPr>
          <w:rFonts w:ascii="Arial" w:hAnsi="Arial"/>
          <w:sz w:val="20"/>
        </w:rPr>
        <w:t xml:space="preserve"> </w:t>
      </w:r>
      <w:r w:rsidRPr="00CA1FF0">
        <w:t>BESS</w:t>
      </w:r>
      <w:r w:rsidRPr="00DE2B11">
        <w:rPr>
          <w:rFonts w:ascii="Arial" w:hAnsi="Arial" w:eastAsia="Aptos" w:cs="Arial"/>
          <w:sz w:val="20"/>
          <w:szCs w:val="20"/>
        </w:rPr>
        <w:t xml:space="preserve"> going to idle and controls should be implemented to ensure the</w:t>
      </w:r>
      <w:r w:rsidRPr="00CA1FF0">
        <w:rPr>
          <w:rFonts w:ascii="Arial" w:hAnsi="Arial"/>
          <w:sz w:val="20"/>
        </w:rPr>
        <w:t xml:space="preserve"> </w:t>
      </w:r>
      <w:r w:rsidRPr="00CA1FF0">
        <w:t>BESS</w:t>
      </w:r>
      <w:r w:rsidRPr="00DE2B11">
        <w:rPr>
          <w:rFonts w:ascii="Arial" w:hAnsi="Arial" w:eastAsia="Aptos" w:cs="Arial"/>
          <w:sz w:val="20"/>
          <w:szCs w:val="20"/>
        </w:rPr>
        <w:t xml:space="preserve"> is not discharging when a 0 MW AGC setpoint is dispatched to offset any station service at the POI. </w:t>
      </w:r>
    </w:p>
    <w:p w:rsidRPr="00DF1F95" w:rsidR="00DE2B11" w:rsidP="00CA1FF0" w:rsidRDefault="00DE2B11" w14:paraId="38AA99DA" w14:textId="77777777">
      <w:pPr>
        <w:keepNext/>
        <w:autoSpaceDE w:val="0"/>
        <w:autoSpaceDN w:val="0"/>
        <w:adjustRightInd w:val="0"/>
        <w:spacing w:before="120" w:after="120" w:line="20" w:lineRule="atLeast"/>
        <w:ind w:left="540"/>
        <w:jc w:val="both"/>
      </w:pPr>
      <w:bookmarkStart w:name="_Toc206673935" w:id="1530"/>
      <w:r w:rsidRPr="00CA1FF0">
        <w:rPr>
          <w:rFonts w:ascii="Arial Bold" w:hAnsi="Arial Bold"/>
          <w:b/>
          <w:caps/>
          <w:kern w:val="14"/>
          <w:sz w:val="20"/>
        </w:rPr>
        <w:t>Explanation of Points</w:t>
      </w:r>
      <w:bookmarkEnd w:id="1530"/>
    </w:p>
    <w:p w:rsidRPr="00DE2B11" w:rsidR="00DE2B11" w:rsidP="000907B6" w:rsidRDefault="00DE2B11" w14:paraId="03DD171E"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 xml:space="preserve">Renewable Resource Setpoint (MW) </w:t>
      </w:r>
    </w:p>
    <w:p w:rsidRPr="00DE2B11" w:rsidR="00DE2B11" w:rsidP="000907B6" w:rsidRDefault="00DE2B11" w14:paraId="53CC81FC" w14:textId="10B0B000">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This will be an integer value that will range from the Operating Low Limit to the Operating High Limit for the Renewable Resource. If not in curtailment, this value will echo either the Operating High Limit or the Potential High Limit (PHL), depending on system conditions. If the setpoint echos the Operating High Limit, the site will operate as-capable.  If curtailment is active, the site output will follow the AGC setpoint below the Potential High Limit. </w:t>
      </w:r>
    </w:p>
    <w:p w:rsidRPr="00DF1F95" w:rsidR="00DE2B11" w:rsidP="000907B6" w:rsidRDefault="00DE2B11" w14:paraId="67A38134" w14:textId="77777777">
      <w:pPr>
        <w:keepNext/>
        <w:numPr>
          <w:ilvl w:val="1"/>
          <w:numId w:val="31"/>
        </w:numPr>
        <w:autoSpaceDE w:val="0"/>
        <w:autoSpaceDN w:val="0"/>
        <w:adjustRightInd w:val="0"/>
        <w:spacing w:before="120" w:after="120" w:line="20" w:lineRule="atLeast"/>
        <w:jc w:val="both"/>
      </w:pPr>
      <w:bookmarkStart w:name="_Toc206673936" w:id="1531"/>
      <w:bookmarkStart w:name="_Hlk115327580" w:id="1532"/>
      <w:r w:rsidRPr="00CA1FF0">
        <w:rPr>
          <w:rFonts w:ascii="Arial Bold" w:hAnsi="Arial Bold"/>
          <w:b/>
          <w:kern w:val="14"/>
          <w:sz w:val="20"/>
        </w:rPr>
        <w:t>BESS Setpoint (MW)</w:t>
      </w:r>
      <w:bookmarkEnd w:id="1531"/>
    </w:p>
    <w:p w:rsidRPr="00DF1F95" w:rsidR="00DE2B11" w:rsidP="000907B6" w:rsidRDefault="00DE2B11" w14:paraId="06A08DDF"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will be a value up to the</w:t>
      </w:r>
      <w:r w:rsidRPr="00CA1FF0">
        <w:t xml:space="preserve"> BESS</w:t>
      </w:r>
      <w:r w:rsidRPr="00CA1FF0">
        <w:rPr>
          <w:rFonts w:ascii="Arial" w:hAnsi="Arial"/>
          <w:kern w:val="14"/>
          <w:sz w:val="20"/>
        </w:rPr>
        <w:t xml:space="preserve"> Discharge Rate for the</w:t>
      </w:r>
      <w:r w:rsidRPr="00CA1FF0">
        <w:t xml:space="preserve"> BESS</w:t>
      </w:r>
      <w:r w:rsidRPr="00CA1FF0">
        <w:rPr>
          <w:rFonts w:ascii="Arial" w:hAnsi="Arial"/>
          <w:kern w:val="14"/>
          <w:sz w:val="20"/>
        </w:rPr>
        <w:t xml:space="preserve"> device in a positive (discharge) direction or to the</w:t>
      </w:r>
      <w:r w:rsidRPr="00CA1FF0">
        <w:t xml:space="preserve"> BESS</w:t>
      </w:r>
      <w:r w:rsidRPr="00CA1FF0">
        <w:rPr>
          <w:rFonts w:ascii="Arial" w:hAnsi="Arial"/>
          <w:kern w:val="14"/>
          <w:sz w:val="20"/>
        </w:rPr>
        <w:t xml:space="preserve"> Charge Rate in a negative (charge) direction. Site to regulate to meet this value at the POI.</w:t>
      </w:r>
    </w:p>
    <w:p w:rsidRPr="00DE2B11" w:rsidR="00DE2B11" w:rsidP="000907B6" w:rsidRDefault="00DE2B11" w14:paraId="586F5FA7"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Renewable Resource Ramp Rate (+/- MW/min)</w:t>
      </w:r>
    </w:p>
    <w:p w:rsidRPr="00DE2B11" w:rsidR="00DE2B11" w:rsidP="000907B6" w:rsidRDefault="00DE2B11" w14:paraId="43B579FC"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This is a plant controller level ramp rate at which the Renewable Resource will ramp up or down, up to the maximum allowable ramp rate specified in the IA. This is not the actual real-time ramp rate, but the rate at which the plant will transition to the next setpoint. The Renewable Resource Ramp Rate will be indicative of the Renewable Resource and indicates the rate at which the Renewable Resource would increase generation after a curtailment is lifted. In all cases, the Renewable Resource Ramp Rate should not exceed the maximum allowable ramp rate in the IA.</w:t>
      </w:r>
    </w:p>
    <w:p w:rsidRPr="00DE2B11" w:rsidR="00DE2B11" w:rsidP="000907B6" w:rsidRDefault="00DE2B11" w14:paraId="24159D1A"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lastRenderedPageBreak/>
        <w:t>Max Renewable Resource Ramp Rate (+/- MW/min)</w:t>
      </w:r>
    </w:p>
    <w:p w:rsidRPr="00DE2B11" w:rsidR="00DE2B11" w:rsidP="000907B6" w:rsidRDefault="00DE2B11" w14:paraId="6C38BF24"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This is the maximum allowable ramp rate per the IA. This is a fixed value and will be the rate at which the Renewable Resource Setpoint could be curtailed by AGC. </w:t>
      </w:r>
    </w:p>
    <w:p w:rsidRPr="00DF1F95" w:rsidR="00DE2B11" w:rsidP="000907B6" w:rsidRDefault="00DE2B11" w14:paraId="5809B9F8" w14:textId="77777777">
      <w:pPr>
        <w:keepNext/>
        <w:numPr>
          <w:ilvl w:val="1"/>
          <w:numId w:val="31"/>
        </w:numPr>
        <w:autoSpaceDE w:val="0"/>
        <w:autoSpaceDN w:val="0"/>
        <w:adjustRightInd w:val="0"/>
        <w:spacing w:before="120" w:after="120" w:line="20" w:lineRule="atLeast"/>
        <w:jc w:val="both"/>
      </w:pPr>
      <w:bookmarkStart w:name="_Toc206673937" w:id="1533"/>
      <w:r w:rsidRPr="00CA1FF0">
        <w:rPr>
          <w:rFonts w:ascii="Arial Bold" w:hAnsi="Arial Bold"/>
          <w:b/>
          <w:kern w:val="14"/>
          <w:sz w:val="20"/>
        </w:rPr>
        <w:t>Facility Voltage Regulation Mode Status (Auto/Manual)</w:t>
      </w:r>
      <w:bookmarkEnd w:id="1533"/>
    </w:p>
    <w:p w:rsidRPr="00DF1F95" w:rsidR="00DE2B11" w:rsidP="000907B6" w:rsidRDefault="00DE2B11" w14:paraId="08303C88"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provides status of the voltage control mode and if the Facility's controller is regulating the POI voltage. Its normal state will be in Auto.</w:t>
      </w:r>
    </w:p>
    <w:p w:rsidRPr="00DF1F95" w:rsidR="00DE2B11" w:rsidP="000907B6" w:rsidRDefault="00DE2B11" w14:paraId="3D8EF44A" w14:textId="77777777">
      <w:pPr>
        <w:keepNext/>
        <w:numPr>
          <w:ilvl w:val="1"/>
          <w:numId w:val="31"/>
        </w:numPr>
        <w:autoSpaceDE w:val="0"/>
        <w:autoSpaceDN w:val="0"/>
        <w:adjustRightInd w:val="0"/>
        <w:spacing w:before="120" w:after="120" w:line="20" w:lineRule="atLeast"/>
        <w:jc w:val="both"/>
      </w:pPr>
      <w:bookmarkStart w:name="_Toc206673938" w:id="1534"/>
      <w:r w:rsidRPr="00CA1FF0">
        <w:rPr>
          <w:rFonts w:ascii="Arial Bold" w:hAnsi="Arial Bold"/>
          <w:b/>
          <w:kern w:val="14"/>
          <w:sz w:val="20"/>
        </w:rPr>
        <w:t>Facility Reactive Su</w:t>
      </w:r>
      <w:r w:rsidRPr="00CA1FF0">
        <w:rPr>
          <w:rFonts w:ascii="Arial Bold" w:hAnsi="Arial Bold"/>
          <w:kern w:val="14"/>
          <w:sz w:val="20"/>
        </w:rPr>
        <w:t>pport (MVAR) at Zero power status (ON/OFF)</w:t>
      </w:r>
      <w:bookmarkEnd w:id="1534"/>
    </w:p>
    <w:p w:rsidRPr="00DF1F95" w:rsidR="00DE2B11" w:rsidP="000907B6" w:rsidRDefault="00DE2B11" w14:paraId="303E8E47"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 xml:space="preserve">This status indicates the Facility’s capability to produce reactive power (MVARs) when at zero active power. Its normal state will be at OFF. </w:t>
      </w:r>
    </w:p>
    <w:p w:rsidRPr="00DF1F95" w:rsidR="00DE2B11" w:rsidP="000907B6" w:rsidRDefault="00DE2B11" w14:paraId="6AE51A00" w14:textId="77777777">
      <w:pPr>
        <w:keepNext/>
        <w:numPr>
          <w:ilvl w:val="1"/>
          <w:numId w:val="31"/>
        </w:numPr>
        <w:autoSpaceDE w:val="0"/>
        <w:autoSpaceDN w:val="0"/>
        <w:adjustRightInd w:val="0"/>
        <w:spacing w:before="120" w:after="120" w:line="20" w:lineRule="atLeast"/>
        <w:jc w:val="both"/>
      </w:pPr>
      <w:bookmarkStart w:name="_Toc206673939" w:id="1535"/>
      <w:r w:rsidRPr="00CA1FF0">
        <w:rPr>
          <w:rFonts w:ascii="Arial Bold" w:hAnsi="Arial Bold"/>
          <w:b/>
          <w:kern w:val="14"/>
          <w:sz w:val="20"/>
        </w:rPr>
        <w:t>Gross BESS DC MW</w:t>
      </w:r>
      <w:bookmarkEnd w:id="1535"/>
    </w:p>
    <w:p w:rsidRPr="00DF1F95" w:rsidR="00DE2B11" w:rsidP="000907B6" w:rsidRDefault="00DE2B11" w14:paraId="72235487"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Aggregated Gross</w:t>
      </w:r>
      <w:r w:rsidRPr="00CA1FF0">
        <w:t xml:space="preserve"> BESS</w:t>
      </w:r>
      <w:r w:rsidRPr="00CA1FF0">
        <w:rPr>
          <w:rFonts w:ascii="Arial" w:hAnsi="Arial"/>
          <w:kern w:val="14"/>
          <w:sz w:val="20"/>
        </w:rPr>
        <w:t xml:space="preserve"> DC MW at the</w:t>
      </w:r>
      <w:r w:rsidRPr="00CA1FF0">
        <w:t xml:space="preserve"> BESS</w:t>
      </w:r>
      <w:r w:rsidRPr="00CA1FF0">
        <w:rPr>
          <w:rFonts w:ascii="Arial" w:hAnsi="Arial"/>
          <w:kern w:val="14"/>
          <w:sz w:val="20"/>
        </w:rPr>
        <w:t>. This is the actual DC MW entering the</w:t>
      </w:r>
      <w:r w:rsidRPr="00CA1FF0">
        <w:t xml:space="preserve"> BESS</w:t>
      </w:r>
      <w:r w:rsidRPr="00CA1FF0">
        <w:rPr>
          <w:rFonts w:ascii="Arial" w:hAnsi="Arial"/>
          <w:kern w:val="14"/>
          <w:sz w:val="20"/>
        </w:rPr>
        <w:t xml:space="preserve"> or being discharged from the</w:t>
      </w:r>
      <w:r w:rsidRPr="00CA1FF0">
        <w:t xml:space="preserve"> BESS</w:t>
      </w:r>
      <w:r w:rsidRPr="00CA1FF0">
        <w:rPr>
          <w:rFonts w:ascii="Arial" w:hAnsi="Arial"/>
          <w:kern w:val="14"/>
          <w:sz w:val="20"/>
        </w:rPr>
        <w:t xml:space="preserve"> to the power conversion station. Positive to indicate discharging, Negative to indicate charging.</w:t>
      </w:r>
    </w:p>
    <w:p w:rsidRPr="00DE2B11" w:rsidR="00DE2B11" w:rsidP="000907B6" w:rsidRDefault="00DE2B11" w14:paraId="506EB9DA"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Renewable Resource AGC Status</w:t>
      </w:r>
    </w:p>
    <w:p w:rsidRPr="00DE2B11" w:rsidR="00DE2B11" w:rsidP="000907B6" w:rsidRDefault="00DE2B11" w14:paraId="42DCAEF2"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This will be an integer value that will range from 0 to 1. A '0' value will indicate the Renewable Resource is on local control and a '1' will indicate the Renewable Resource is available for AGC remote control. </w:t>
      </w:r>
    </w:p>
    <w:p w:rsidRPr="00DE2B11" w:rsidR="00DE2B11" w:rsidP="000907B6" w:rsidRDefault="00DE2B11" w14:paraId="27305015"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Renewable Resource Opera</w:t>
      </w:r>
      <w:r w:rsidRPr="00DE2B11">
        <w:rPr>
          <w:rFonts w:ascii="Arial Bold" w:hAnsi="Arial Bold" w:eastAsia="Times New Roman" w:cs="Arial"/>
          <w:kern w:val="14"/>
          <w:sz w:val="20"/>
          <w:szCs w:val="20"/>
        </w:rPr>
        <w:t>ting High Limit (MW)</w:t>
      </w:r>
    </w:p>
    <w:p w:rsidRPr="00DE2B11" w:rsidR="00DE2B11" w:rsidP="000907B6" w:rsidRDefault="00DE2B11" w14:paraId="037D0B20"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bCs/>
          <w:kern w:val="14"/>
          <w:sz w:val="20"/>
          <w:szCs w:val="20"/>
        </w:rPr>
        <w:t>The current maximum generating capacity of the Renewable Resource.</w:t>
      </w:r>
      <w:r w:rsidRPr="00DE2B11">
        <w:rPr>
          <w:rFonts w:ascii="Arial" w:hAnsi="Arial" w:eastAsia="Times New Roman" w:cs="Arial"/>
          <w:b/>
          <w:kern w:val="14"/>
          <w:sz w:val="20"/>
          <w:szCs w:val="20"/>
        </w:rPr>
        <w:t xml:space="preserve"> </w:t>
      </w:r>
      <w:r w:rsidRPr="00DE2B11">
        <w:rPr>
          <w:rFonts w:ascii="Arial" w:hAnsi="Arial" w:eastAsia="Times New Roman" w:cs="Arial"/>
          <w:kern w:val="14"/>
          <w:sz w:val="20"/>
          <w:szCs w:val="20"/>
        </w:rPr>
        <w:t xml:space="preserve">This is the maximum possible generation of the Renewable Resource including any de-rates, independent of Renewable Resource irradiance. This limit is to be reduced if equipment issues reduce the total Renewable Resource Capacity. If there are no equipment issues or de-rates, this value will be the same as the Renewable Resource Capacity. </w:t>
      </w:r>
    </w:p>
    <w:p w:rsidRPr="00DE2B11" w:rsidR="00DE2B11" w:rsidP="000907B6" w:rsidRDefault="00DE2B11" w14:paraId="6F2087C4"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Renewable Resource Capacity (MW) [High Limit]</w:t>
      </w:r>
    </w:p>
    <w:p w:rsidRPr="00DE2B11" w:rsidR="00DE2B11" w:rsidP="000907B6" w:rsidRDefault="00DE2B11" w14:paraId="4E054C6F"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This is the max design capacity of the Renewable Resource up to the POI limit. This will be a fixed number and is independent of Renewable Resource irradiance or equipment de-rates. </w:t>
      </w:r>
    </w:p>
    <w:p w:rsidRPr="00DE2B11" w:rsidR="00DE2B11" w:rsidP="000907B6" w:rsidRDefault="00DE2B11" w14:paraId="3C521D42"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Renewable Resource High Limit Status</w:t>
      </w:r>
    </w:p>
    <w:p w:rsidRPr="00DE2B11" w:rsidR="00DE2B11" w:rsidP="000907B6" w:rsidRDefault="00DE2B11" w14:paraId="35394C23"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This will be an integer value that will range from 0 to 1. Its normal state will be to a 0. A value of 1 will indicate generation is at the high limit. </w:t>
      </w:r>
    </w:p>
    <w:p w:rsidRPr="00DE2B11" w:rsidR="00DE2B11" w:rsidP="000907B6" w:rsidRDefault="00DE2B11" w14:paraId="722AA86A"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Renew</w:t>
      </w:r>
      <w:r w:rsidRPr="00DE2B11">
        <w:rPr>
          <w:rFonts w:ascii="Arial Bold" w:hAnsi="Arial Bold" w:eastAsia="Times New Roman" w:cs="Arial"/>
          <w:kern w:val="14"/>
          <w:sz w:val="20"/>
          <w:szCs w:val="20"/>
        </w:rPr>
        <w:t xml:space="preserve">able Resource Potential High Limit (MW) </w:t>
      </w:r>
    </w:p>
    <w:p w:rsidRPr="00DE2B11" w:rsidR="00DE2B11" w:rsidP="000907B6" w:rsidRDefault="00DE2B11" w14:paraId="698BD235"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This is the potential real time actual limit of the Renewable Resource inclusive of Renewable Resource irradiance and any equipment issues. This real-time telemetry point will indicate what the Renewable Resource’s output would be if no curtailment is present.  </w:t>
      </w:r>
    </w:p>
    <w:p w:rsidRPr="00DE2B11" w:rsidR="00DE2B11" w:rsidP="000907B6" w:rsidRDefault="00DE2B11" w14:paraId="340C2414"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 xml:space="preserve">Renewable Resource Operating Low Limit (MW) </w:t>
      </w:r>
    </w:p>
    <w:p w:rsidRPr="00DE2B11" w:rsidR="00DE2B11" w:rsidP="000907B6" w:rsidRDefault="00DE2B11" w14:paraId="50D0F186"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bCs/>
          <w:kern w:val="14"/>
          <w:sz w:val="20"/>
          <w:szCs w:val="20"/>
        </w:rPr>
        <w:t xml:space="preserve">The current minimum generating capacity of the Renewable Resource. </w:t>
      </w:r>
      <w:r w:rsidRPr="00DE2B11">
        <w:rPr>
          <w:rFonts w:ascii="Arial" w:hAnsi="Arial" w:eastAsia="Times New Roman" w:cs="Arial"/>
          <w:kern w:val="14"/>
          <w:sz w:val="20"/>
          <w:szCs w:val="20"/>
        </w:rPr>
        <w:t xml:space="preserve">During normal operation, the facility will provide a low limit for available curtailment. Expectation is this would be 0 MW under normal conditions unless an equipment issue exists that prevents the Renewable Resource from returning to full normal output following the full curtailment. </w:t>
      </w:r>
    </w:p>
    <w:p w:rsidRPr="00DE2B11" w:rsidR="00DE2B11" w:rsidP="000907B6" w:rsidRDefault="00DE2B11" w14:paraId="7ACE8ED9"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t>Renewable Resource Low Limit Status</w:t>
      </w:r>
    </w:p>
    <w:p w:rsidRPr="00DE2B11" w:rsidR="00DE2B11" w:rsidP="000907B6" w:rsidRDefault="00DE2B11" w14:paraId="614B0D9F"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This will be an integer value that will range from 0 to 1. Its normal state will be to a 0. A value of 1 will indicate generation is at the Operating Low Limit. </w:t>
      </w:r>
    </w:p>
    <w:p w:rsidRPr="00DE2B11" w:rsidR="00DE2B11" w:rsidP="000907B6" w:rsidRDefault="00DE2B11" w14:paraId="17567118"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lastRenderedPageBreak/>
        <w:t>Renewable Resource Setpoint Feedback (MW)</w:t>
      </w:r>
    </w:p>
    <w:p w:rsidRPr="00DE2B11" w:rsidR="00DE2B11" w:rsidP="000907B6" w:rsidRDefault="00DE2B11" w14:paraId="6A3D6182"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This is an echo of the value received from EMS for the EMS setpoint.</w:t>
      </w:r>
    </w:p>
    <w:p w:rsidRPr="00DF1F95" w:rsidR="00DE2B11" w:rsidP="000907B6" w:rsidRDefault="00DE2B11" w14:paraId="4FD2B67B" w14:textId="77777777">
      <w:pPr>
        <w:keepNext/>
        <w:numPr>
          <w:ilvl w:val="1"/>
          <w:numId w:val="31"/>
        </w:numPr>
        <w:autoSpaceDE w:val="0"/>
        <w:autoSpaceDN w:val="0"/>
        <w:adjustRightInd w:val="0"/>
        <w:spacing w:before="120" w:after="120" w:line="20" w:lineRule="atLeast"/>
        <w:jc w:val="both"/>
      </w:pPr>
      <w:bookmarkStart w:name="_Toc206673940" w:id="1536"/>
      <w:r w:rsidRPr="00CA1FF0">
        <w:rPr>
          <w:rFonts w:ascii="Arial Bold" w:hAnsi="Arial Bold"/>
          <w:b/>
          <w:kern w:val="14"/>
          <w:sz w:val="20"/>
        </w:rPr>
        <w:t>BESS S</w:t>
      </w:r>
      <w:r w:rsidRPr="00CA1FF0">
        <w:rPr>
          <w:rFonts w:ascii="Arial Bold" w:hAnsi="Arial Bold"/>
          <w:kern w:val="14"/>
          <w:sz w:val="20"/>
        </w:rPr>
        <w:t>etpoint Feedback (MW)</w:t>
      </w:r>
      <w:bookmarkEnd w:id="1536"/>
    </w:p>
    <w:p w:rsidRPr="00DF1F95" w:rsidR="00DE2B11" w:rsidP="000907B6" w:rsidRDefault="00DE2B11" w14:paraId="61AF68FE"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is an echo of the value received from EMS for the EMS setpoint.</w:t>
      </w:r>
    </w:p>
    <w:p w:rsidRPr="00DF1F95" w:rsidR="00DE2B11" w:rsidP="000907B6" w:rsidRDefault="00DE2B11" w14:paraId="215BD016" w14:textId="77777777">
      <w:pPr>
        <w:keepNext/>
        <w:numPr>
          <w:ilvl w:val="1"/>
          <w:numId w:val="31"/>
        </w:numPr>
        <w:autoSpaceDE w:val="0"/>
        <w:autoSpaceDN w:val="0"/>
        <w:adjustRightInd w:val="0"/>
        <w:spacing w:before="120" w:after="120" w:line="20" w:lineRule="atLeast"/>
        <w:jc w:val="both"/>
      </w:pPr>
      <w:bookmarkStart w:name="_Toc206673941" w:id="1537"/>
      <w:r w:rsidRPr="00CA1FF0">
        <w:rPr>
          <w:rFonts w:ascii="Arial Bold" w:hAnsi="Arial Bold"/>
          <w:b/>
          <w:kern w:val="14"/>
          <w:sz w:val="20"/>
        </w:rPr>
        <w:t>BESS AGC Status</w:t>
      </w:r>
      <w:bookmarkEnd w:id="1537"/>
    </w:p>
    <w:p w:rsidRPr="00CA1FF0" w:rsidR="00DE2B11" w:rsidP="000907B6" w:rsidRDefault="00DE2B11" w14:paraId="5A4AA07A" w14:textId="77777777">
      <w:pPr>
        <w:numPr>
          <w:ilvl w:val="2"/>
          <w:numId w:val="31"/>
        </w:numPr>
        <w:autoSpaceDE w:val="0"/>
        <w:autoSpaceDN w:val="0"/>
        <w:adjustRightInd w:val="0"/>
        <w:spacing w:before="120" w:after="120" w:line="20" w:lineRule="atLeast"/>
        <w:jc w:val="both"/>
      </w:pPr>
      <w:r w:rsidRPr="00CA1FF0">
        <w:t>This will be an integer value that will range from 0 to 1. A '0' value will indicate the BESS is on local</w:t>
      </w:r>
      <w:r w:rsidRPr="00CA1FF0">
        <w:rPr>
          <w:rFonts w:ascii="Arial" w:hAnsi="Arial"/>
          <w:kern w:val="14"/>
          <w:sz w:val="20"/>
        </w:rPr>
        <w:t xml:space="preserve"> control and a '1' will indicate the</w:t>
      </w:r>
      <w:r w:rsidRPr="00CA1FF0">
        <w:t xml:space="preserve"> BESS</w:t>
      </w:r>
      <w:r w:rsidRPr="00CA1FF0">
        <w:rPr>
          <w:rFonts w:ascii="Arial" w:hAnsi="Arial"/>
          <w:kern w:val="14"/>
          <w:sz w:val="20"/>
        </w:rPr>
        <w:t xml:space="preserve"> is available for AGC remote control. </w:t>
      </w:r>
    </w:p>
    <w:p w:rsidRPr="00DF1F95" w:rsidR="00DE2B11" w:rsidP="000907B6" w:rsidRDefault="00DE2B11" w14:paraId="7BFB42E8" w14:textId="77777777">
      <w:pPr>
        <w:keepNext/>
        <w:numPr>
          <w:ilvl w:val="1"/>
          <w:numId w:val="31"/>
        </w:numPr>
        <w:autoSpaceDE w:val="0"/>
        <w:autoSpaceDN w:val="0"/>
        <w:adjustRightInd w:val="0"/>
        <w:spacing w:before="120" w:after="120" w:line="20" w:lineRule="atLeast"/>
        <w:jc w:val="both"/>
      </w:pPr>
      <w:bookmarkStart w:name="_Toc206673942" w:id="1538"/>
      <w:r w:rsidRPr="00CA1FF0">
        <w:rPr>
          <w:rFonts w:ascii="Arial Bold" w:hAnsi="Arial Bold"/>
          <w:b/>
          <w:kern w:val="14"/>
          <w:sz w:val="20"/>
        </w:rPr>
        <w:t>Present State of Charge (MWh)</w:t>
      </w:r>
      <w:bookmarkEnd w:id="1538"/>
    </w:p>
    <w:p w:rsidRPr="00DF1F95" w:rsidR="00DE2B11" w:rsidP="000907B6" w:rsidRDefault="00DE2B11" w14:paraId="7142AF45"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 xml:space="preserve">This will be a value representing the actual State of Charge and range from 0 to the SDOE for the device. </w:t>
      </w:r>
    </w:p>
    <w:p w:rsidRPr="00DF1F95" w:rsidR="00DE2B11" w:rsidP="000907B6" w:rsidRDefault="00DE2B11" w14:paraId="264AE6F9" w14:textId="77777777">
      <w:pPr>
        <w:keepNext/>
        <w:numPr>
          <w:ilvl w:val="1"/>
          <w:numId w:val="31"/>
        </w:numPr>
        <w:autoSpaceDE w:val="0"/>
        <w:autoSpaceDN w:val="0"/>
        <w:adjustRightInd w:val="0"/>
        <w:spacing w:before="120" w:after="120" w:line="20" w:lineRule="atLeast"/>
        <w:jc w:val="both"/>
      </w:pPr>
      <w:bookmarkStart w:name="_Toc206673943" w:id="1539"/>
      <w:r w:rsidRPr="00CA1FF0">
        <w:rPr>
          <w:rFonts w:ascii="Arial Bold" w:hAnsi="Arial Bold"/>
          <w:b/>
          <w:kern w:val="14"/>
          <w:sz w:val="20"/>
        </w:rPr>
        <w:t>BESS Maximum Operational State of Charge limit (MWh)</w:t>
      </w:r>
      <w:bookmarkEnd w:id="1539"/>
    </w:p>
    <w:p w:rsidRPr="00CA1FF0" w:rsidR="00DE2B11" w:rsidP="000907B6" w:rsidRDefault="00DE2B11" w14:paraId="228BB081" w14:textId="77777777">
      <w:pPr>
        <w:numPr>
          <w:ilvl w:val="2"/>
          <w:numId w:val="31"/>
        </w:numPr>
        <w:autoSpaceDE w:val="0"/>
        <w:autoSpaceDN w:val="0"/>
        <w:adjustRightInd w:val="0"/>
        <w:spacing w:before="120" w:after="120" w:line="20" w:lineRule="atLeast"/>
        <w:jc w:val="both"/>
        <w:rPr>
          <w:b/>
          <w:u w:val="single"/>
        </w:rPr>
      </w:pPr>
      <w:r w:rsidRPr="00CA1FF0">
        <w:rPr>
          <w:rFonts w:ascii="Arial" w:hAnsi="Arial"/>
          <w:kern w:val="14"/>
          <w:sz w:val="20"/>
        </w:rPr>
        <w:t>This will be a value indicating the maximum usable State of Charge capability for the</w:t>
      </w:r>
      <w:r w:rsidRPr="00CA1FF0">
        <w:t xml:space="preserve"> BESS</w:t>
      </w:r>
      <w:r w:rsidRPr="00CA1FF0">
        <w:rPr>
          <w:rFonts w:ascii="Arial" w:hAnsi="Arial"/>
          <w:kern w:val="14"/>
          <w:sz w:val="20"/>
        </w:rPr>
        <w:t>. This is a calculated value inclusive of any de-rates or equipment issues and not the nameplate to give the operating range of the system. This value should indicate the maximum usable energy and indicates the amount of AC MW that can be discharged to the POI. For clarity, this is not the amount of DC MW that is stored in the</w:t>
      </w:r>
      <w:r w:rsidRPr="00CA1FF0">
        <w:t xml:space="preserve"> BESS</w:t>
      </w:r>
      <w:r w:rsidRPr="00CA1FF0">
        <w:rPr>
          <w:rFonts w:ascii="Arial" w:hAnsi="Arial"/>
          <w:kern w:val="14"/>
          <w:sz w:val="20"/>
        </w:rPr>
        <w:t>. AGC should be able to dispatch the</w:t>
      </w:r>
      <w:r w:rsidRPr="00CA1FF0">
        <w:t xml:space="preserve"> BESS</w:t>
      </w:r>
      <w:r w:rsidRPr="00CA1FF0">
        <w:rPr>
          <w:rFonts w:ascii="Arial" w:hAnsi="Arial"/>
          <w:kern w:val="14"/>
          <w:sz w:val="20"/>
        </w:rPr>
        <w:t xml:space="preserve"> from the Maximum Operational State of Charge to the Minimum Operational State of Charge. If there are no operational constraints, this value should be equal to the SDOE.</w:t>
      </w:r>
    </w:p>
    <w:p w:rsidRPr="00DF1F95" w:rsidR="00DE2B11" w:rsidP="000907B6" w:rsidRDefault="00DE2B11" w14:paraId="63FF1ABB" w14:textId="77777777">
      <w:pPr>
        <w:keepNext/>
        <w:numPr>
          <w:ilvl w:val="1"/>
          <w:numId w:val="31"/>
        </w:numPr>
        <w:autoSpaceDE w:val="0"/>
        <w:autoSpaceDN w:val="0"/>
        <w:adjustRightInd w:val="0"/>
        <w:spacing w:before="120" w:after="120" w:line="20" w:lineRule="atLeast"/>
        <w:jc w:val="both"/>
      </w:pPr>
      <w:bookmarkStart w:name="_Toc206673944" w:id="1540"/>
      <w:r w:rsidRPr="00CA1FF0">
        <w:rPr>
          <w:rFonts w:ascii="Arial Bold" w:hAnsi="Arial Bold"/>
          <w:b/>
          <w:kern w:val="14"/>
          <w:sz w:val="20"/>
        </w:rPr>
        <w:t>BESS Minimum Operational State of Charge limit (MWh)</w:t>
      </w:r>
      <w:bookmarkEnd w:id="1540"/>
    </w:p>
    <w:p w:rsidRPr="00DF1F95" w:rsidR="00DE2B11" w:rsidP="000907B6" w:rsidRDefault="00DE2B11" w14:paraId="4CB157EB"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will be a value indicating the minimum usable State of Charge capability for the</w:t>
      </w:r>
      <w:r w:rsidRPr="00CA1FF0">
        <w:t xml:space="preserve"> BESS</w:t>
      </w:r>
      <w:r w:rsidRPr="00CA1FF0">
        <w:rPr>
          <w:rFonts w:ascii="Arial" w:hAnsi="Arial"/>
          <w:kern w:val="14"/>
          <w:sz w:val="20"/>
        </w:rPr>
        <w:t>. This is a calculated value inclusive of any limiting operational issues and not the nameplate to give the operating range of the system. A value of 0 MWh should indicate the bottom range of usable energy, not necessarily the absolute lowest energy level of the</w:t>
      </w:r>
      <w:r w:rsidRPr="00CA1FF0">
        <w:t xml:space="preserve"> BESS</w:t>
      </w:r>
      <w:r w:rsidRPr="00CA1FF0">
        <w:rPr>
          <w:rFonts w:ascii="Arial" w:hAnsi="Arial"/>
          <w:kern w:val="14"/>
          <w:sz w:val="20"/>
        </w:rPr>
        <w:t xml:space="preserve"> device. AGC should be able to dispatch the</w:t>
      </w:r>
      <w:r w:rsidRPr="00CA1FF0">
        <w:t xml:space="preserve"> BESS</w:t>
      </w:r>
      <w:r w:rsidRPr="00CA1FF0">
        <w:rPr>
          <w:rFonts w:ascii="Arial" w:hAnsi="Arial"/>
          <w:kern w:val="14"/>
          <w:sz w:val="20"/>
        </w:rPr>
        <w:t xml:space="preserve"> from the Minimum Operational State of Charge to the Maximum Operational State of Charge. </w:t>
      </w:r>
    </w:p>
    <w:p w:rsidRPr="00DF1F95" w:rsidR="00DE2B11" w:rsidP="000907B6" w:rsidRDefault="00DE2B11" w14:paraId="4A869FFF" w14:textId="77777777">
      <w:pPr>
        <w:keepNext/>
        <w:numPr>
          <w:ilvl w:val="1"/>
          <w:numId w:val="31"/>
        </w:numPr>
        <w:autoSpaceDE w:val="0"/>
        <w:autoSpaceDN w:val="0"/>
        <w:adjustRightInd w:val="0"/>
        <w:spacing w:before="120" w:after="120" w:line="20" w:lineRule="atLeast"/>
        <w:jc w:val="both"/>
      </w:pPr>
      <w:bookmarkStart w:name="_Toc206673945" w:id="1541"/>
      <w:r w:rsidRPr="00CA1FF0">
        <w:rPr>
          <w:rFonts w:ascii="Arial Bold" w:hAnsi="Arial Bold"/>
          <w:b/>
          <w:kern w:val="14"/>
          <w:sz w:val="20"/>
        </w:rPr>
        <w:t>BESS Discharge Time (minutes)</w:t>
      </w:r>
      <w:bookmarkEnd w:id="1541"/>
    </w:p>
    <w:p w:rsidRPr="00DF1F95" w:rsidR="00DE2B11" w:rsidP="000907B6" w:rsidRDefault="00DE2B11" w14:paraId="29B4DA5F"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Estimated time to discharge the</w:t>
      </w:r>
      <w:r w:rsidRPr="00CA1FF0">
        <w:t xml:space="preserve"> BESS</w:t>
      </w:r>
      <w:r w:rsidRPr="00CA1FF0">
        <w:rPr>
          <w:rFonts w:ascii="Arial" w:hAnsi="Arial"/>
          <w:kern w:val="14"/>
          <w:sz w:val="20"/>
        </w:rPr>
        <w:t xml:space="preserve"> to the Minimum Operational State of Charge Limit based on the remaining energy and current discharge rate.</w:t>
      </w:r>
    </w:p>
    <w:p w:rsidRPr="00DF1F95" w:rsidR="00DE2B11" w:rsidP="000907B6" w:rsidRDefault="00DE2B11" w14:paraId="1A2A3519" w14:textId="77777777">
      <w:pPr>
        <w:keepNext/>
        <w:numPr>
          <w:ilvl w:val="1"/>
          <w:numId w:val="31"/>
        </w:numPr>
        <w:autoSpaceDE w:val="0"/>
        <w:autoSpaceDN w:val="0"/>
        <w:adjustRightInd w:val="0"/>
        <w:spacing w:before="120" w:after="120" w:line="20" w:lineRule="atLeast"/>
        <w:jc w:val="both"/>
      </w:pPr>
      <w:bookmarkStart w:name="_Toc206673946" w:id="1542"/>
      <w:r w:rsidRPr="00CA1FF0">
        <w:rPr>
          <w:rFonts w:ascii="Arial Bold" w:hAnsi="Arial Bold"/>
          <w:b/>
          <w:kern w:val="14"/>
          <w:sz w:val="20"/>
        </w:rPr>
        <w:t>BESS Charge Time (minutes)</w:t>
      </w:r>
      <w:bookmarkEnd w:id="1542"/>
    </w:p>
    <w:p w:rsidRPr="00DF1F95" w:rsidR="00DE2B11" w:rsidP="000907B6" w:rsidRDefault="00DE2B11" w14:paraId="6043B79A"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Estimated time to charge the</w:t>
      </w:r>
      <w:r w:rsidRPr="00CA1FF0">
        <w:t xml:space="preserve"> BESS</w:t>
      </w:r>
      <w:r w:rsidRPr="00CA1FF0">
        <w:rPr>
          <w:rFonts w:ascii="Arial" w:hAnsi="Arial"/>
          <w:kern w:val="14"/>
          <w:sz w:val="20"/>
        </w:rPr>
        <w:t xml:space="preserve"> to the Maximum Operational State of Charge Limit based on the remaining energy and current charge rate.</w:t>
      </w:r>
    </w:p>
    <w:p w:rsidRPr="00DF1F95" w:rsidR="00DE2B11" w:rsidP="000907B6" w:rsidRDefault="00DE2B11" w14:paraId="20E77FA4" w14:textId="77777777">
      <w:pPr>
        <w:keepNext/>
        <w:numPr>
          <w:ilvl w:val="1"/>
          <w:numId w:val="31"/>
        </w:numPr>
        <w:autoSpaceDE w:val="0"/>
        <w:autoSpaceDN w:val="0"/>
        <w:adjustRightInd w:val="0"/>
        <w:spacing w:before="120" w:after="120" w:line="20" w:lineRule="atLeast"/>
        <w:jc w:val="both"/>
      </w:pPr>
      <w:bookmarkStart w:name="_Toc206673947" w:id="1543"/>
      <w:r w:rsidRPr="00CA1FF0">
        <w:rPr>
          <w:rFonts w:ascii="Arial Bold" w:hAnsi="Arial Bold"/>
          <w:b/>
          <w:kern w:val="14"/>
          <w:sz w:val="20"/>
        </w:rPr>
        <w:t>BESS Discharge Rate [Operating High Limit (MW)]</w:t>
      </w:r>
      <w:bookmarkEnd w:id="1543"/>
    </w:p>
    <w:p w:rsidRPr="00DF1F95" w:rsidR="00DE2B11" w:rsidP="000907B6" w:rsidRDefault="00DE2B11" w14:paraId="6C18713F" w14:textId="21AA959A">
      <w:pPr>
        <w:numPr>
          <w:ilvl w:val="2"/>
          <w:numId w:val="31"/>
        </w:numPr>
        <w:autoSpaceDE w:val="0"/>
        <w:autoSpaceDN w:val="0"/>
        <w:adjustRightInd w:val="0"/>
        <w:spacing w:before="120" w:after="120" w:line="20" w:lineRule="atLeast"/>
        <w:jc w:val="both"/>
      </w:pPr>
      <w:r w:rsidRPr="00CA1FF0">
        <w:rPr>
          <w:rFonts w:ascii="Arial" w:hAnsi="Arial"/>
          <w:kern w:val="14"/>
          <w:sz w:val="20"/>
        </w:rPr>
        <w:t>This will be a value indicating the real-time maximum rate of power that the</w:t>
      </w:r>
      <w:r w:rsidRPr="00CA1FF0">
        <w:t xml:space="preserve"> BESS</w:t>
      </w:r>
      <w:r w:rsidRPr="00CA1FF0">
        <w:rPr>
          <w:rFonts w:ascii="Arial" w:hAnsi="Arial"/>
          <w:kern w:val="14"/>
          <w:sz w:val="20"/>
        </w:rPr>
        <w:t xml:space="preserve"> device can discharge. Discharged power is provided as a positive (+) value. This value is dependent on the state of the system (inclusive of any derated equipment or abnormal conditions). If the</w:t>
      </w:r>
      <w:r w:rsidRPr="00CA1FF0">
        <w:t xml:space="preserve"> BESS</w:t>
      </w:r>
      <w:r w:rsidRPr="00CA1FF0">
        <w:rPr>
          <w:rFonts w:ascii="Arial" w:hAnsi="Arial"/>
          <w:kern w:val="14"/>
          <w:sz w:val="20"/>
        </w:rPr>
        <w:t xml:space="preserve"> device is part of a co-located Facility, this value will need to take into consideration the Interconnection Limit</w:t>
      </w:r>
      <w:r w:rsidRPr="00DE2B11">
        <w:rPr>
          <w:rFonts w:ascii="Arial" w:hAnsi="Arial" w:eastAsia="Times New Roman" w:cs="Arial"/>
          <w:kern w:val="14"/>
          <w:sz w:val="20"/>
          <w:szCs w:val="20"/>
        </w:rPr>
        <w:t xml:space="preserve"> and the Renewable Resource Potential High Limit.</w:t>
      </w:r>
      <w:r w:rsidRPr="00CA1FF0">
        <w:rPr>
          <w:rFonts w:ascii="Arial" w:hAnsi="Arial"/>
          <w:kern w:val="14"/>
          <w:sz w:val="20"/>
        </w:rPr>
        <w:t xml:space="preserve"> </w:t>
      </w:r>
    </w:p>
    <w:p w:rsidRPr="00DF1F95" w:rsidR="00DE2B11" w:rsidP="000907B6" w:rsidRDefault="00DE2B11" w14:paraId="00BD6059" w14:textId="77777777">
      <w:pPr>
        <w:keepNext/>
        <w:numPr>
          <w:ilvl w:val="1"/>
          <w:numId w:val="31"/>
        </w:numPr>
        <w:autoSpaceDE w:val="0"/>
        <w:autoSpaceDN w:val="0"/>
        <w:adjustRightInd w:val="0"/>
        <w:spacing w:before="120" w:after="120" w:line="20" w:lineRule="atLeast"/>
        <w:jc w:val="both"/>
      </w:pPr>
      <w:bookmarkStart w:name="_Toc206673948" w:id="1544"/>
      <w:r w:rsidRPr="00CA1FF0">
        <w:rPr>
          <w:rFonts w:ascii="Arial Bold" w:hAnsi="Arial Bold"/>
          <w:b/>
          <w:kern w:val="14"/>
          <w:sz w:val="20"/>
        </w:rPr>
        <w:t>BESS SDDC [High Limit (MW)]</w:t>
      </w:r>
      <w:bookmarkEnd w:id="1544"/>
    </w:p>
    <w:p w:rsidRPr="00DF1F95" w:rsidR="00DE2B11" w:rsidP="000907B6" w:rsidRDefault="00DE2B11" w14:paraId="7C25DD84"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The guaranteed amount of</w:t>
      </w:r>
      <w:r w:rsidRPr="00CA1FF0">
        <w:t xml:space="preserve"> BESS</w:t>
      </w:r>
      <w:r w:rsidRPr="00CA1FF0">
        <w:rPr>
          <w:rFonts w:ascii="Arial" w:hAnsi="Arial"/>
          <w:kern w:val="14"/>
          <w:sz w:val="20"/>
        </w:rPr>
        <w:t xml:space="preserve"> storage capacity allocated to GPC under this PPA and that represents the guaranteed continuous discharge capability of the</w:t>
      </w:r>
      <w:r w:rsidRPr="00CA1FF0">
        <w:t xml:space="preserve"> BESS</w:t>
      </w:r>
      <w:r w:rsidRPr="00CA1FF0">
        <w:rPr>
          <w:rFonts w:ascii="Arial" w:hAnsi="Arial"/>
          <w:kern w:val="14"/>
          <w:sz w:val="20"/>
        </w:rPr>
        <w:t xml:space="preserve"> for the Storage Device Discharge Duration. This will be a value indicating the maximum rate of power that the</w:t>
      </w:r>
      <w:r w:rsidRPr="00CA1FF0">
        <w:t xml:space="preserve"> </w:t>
      </w:r>
      <w:r w:rsidRPr="00CA1FF0">
        <w:lastRenderedPageBreak/>
        <w:t>BESS</w:t>
      </w:r>
      <w:r w:rsidRPr="00CA1FF0">
        <w:rPr>
          <w:rFonts w:ascii="Arial" w:hAnsi="Arial"/>
          <w:kern w:val="14"/>
          <w:sz w:val="20"/>
        </w:rPr>
        <w:t xml:space="preserve"> device can discharge provided as a positive (+) value. This is independent of the state of the system or any de-rates.</w:t>
      </w:r>
    </w:p>
    <w:p w:rsidRPr="00DF1F95" w:rsidR="00DE2B11" w:rsidP="000907B6" w:rsidRDefault="00DE2B11" w14:paraId="53B01115" w14:textId="77777777">
      <w:pPr>
        <w:keepNext/>
        <w:numPr>
          <w:ilvl w:val="1"/>
          <w:numId w:val="31"/>
        </w:numPr>
        <w:autoSpaceDE w:val="0"/>
        <w:autoSpaceDN w:val="0"/>
        <w:adjustRightInd w:val="0"/>
        <w:spacing w:before="120" w:after="120" w:line="20" w:lineRule="atLeast"/>
        <w:jc w:val="both"/>
      </w:pPr>
      <w:bookmarkStart w:name="_Toc206673949" w:id="1545"/>
      <w:r w:rsidRPr="00CA1FF0">
        <w:rPr>
          <w:rFonts w:ascii="Arial Bold" w:hAnsi="Arial Bold"/>
          <w:b/>
          <w:kern w:val="14"/>
          <w:sz w:val="20"/>
        </w:rPr>
        <w:t>BESS Charge Rate [Operating Low Limit (MW)]</w:t>
      </w:r>
      <w:bookmarkEnd w:id="1545"/>
    </w:p>
    <w:p w:rsidRPr="00DF1F95" w:rsidR="00DE2B11" w:rsidP="000907B6" w:rsidRDefault="00DE2B11" w14:paraId="248C28E0"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will be a value indicating the real-time minimum rate of power that the</w:t>
      </w:r>
      <w:r w:rsidRPr="00CA1FF0">
        <w:t xml:space="preserve"> BESS</w:t>
      </w:r>
      <w:r w:rsidRPr="00CA1FF0">
        <w:rPr>
          <w:rFonts w:ascii="Arial" w:hAnsi="Arial"/>
          <w:kern w:val="14"/>
          <w:sz w:val="20"/>
        </w:rPr>
        <w:t xml:space="preserve"> device can achieve when charging. This will be provided as a negative (-) value. This value is dependent on the state of the system (inclusive of any derated equipment or abnormal conditions).</w:t>
      </w:r>
    </w:p>
    <w:p w:rsidRPr="00DF1F95" w:rsidR="00DE2B11" w:rsidP="000907B6" w:rsidRDefault="00DE2B11" w14:paraId="3008CF79" w14:textId="77777777">
      <w:pPr>
        <w:keepNext/>
        <w:numPr>
          <w:ilvl w:val="1"/>
          <w:numId w:val="31"/>
        </w:numPr>
        <w:autoSpaceDE w:val="0"/>
        <w:autoSpaceDN w:val="0"/>
        <w:adjustRightInd w:val="0"/>
        <w:spacing w:before="120" w:after="120" w:line="20" w:lineRule="atLeast"/>
        <w:jc w:val="both"/>
      </w:pPr>
      <w:bookmarkStart w:name="_Toc206673950" w:id="1546"/>
      <w:r w:rsidRPr="00CA1FF0">
        <w:rPr>
          <w:rFonts w:ascii="Arial Bold" w:hAnsi="Arial Bold"/>
          <w:b/>
          <w:kern w:val="14"/>
          <w:sz w:val="20"/>
        </w:rPr>
        <w:t>BESS Maximum Rate of Charge [Low Limit (MW)]</w:t>
      </w:r>
      <w:bookmarkEnd w:id="1546"/>
    </w:p>
    <w:p w:rsidRPr="00DF1F95" w:rsidR="00DE2B11" w:rsidP="000907B6" w:rsidRDefault="00DE2B11" w14:paraId="5D0C3457"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The Maximum Rate of Charge of the</w:t>
      </w:r>
      <w:r w:rsidRPr="00CA1FF0">
        <w:t xml:space="preserve"> BESS</w:t>
      </w:r>
      <w:r w:rsidRPr="00CA1FF0">
        <w:rPr>
          <w:rFonts w:ascii="Arial" w:hAnsi="Arial"/>
          <w:kern w:val="14"/>
          <w:sz w:val="20"/>
        </w:rPr>
        <w:t>. This will be a value indicating the maximum rate of power that the</w:t>
      </w:r>
      <w:r w:rsidRPr="00CA1FF0">
        <w:t xml:space="preserve"> BESS</w:t>
      </w:r>
      <w:r w:rsidRPr="00CA1FF0">
        <w:rPr>
          <w:rFonts w:ascii="Arial" w:hAnsi="Arial"/>
          <w:kern w:val="14"/>
          <w:sz w:val="20"/>
        </w:rPr>
        <w:t xml:space="preserve"> device can be charged at, from zero MWh to the SDOE, provided as a negative (-) value. This is independent on the state of the system or any de-rates.</w:t>
      </w:r>
    </w:p>
    <w:p w:rsidRPr="00DF1F95" w:rsidR="00DE2B11" w:rsidP="000907B6" w:rsidRDefault="00DE2B11" w14:paraId="3840D036" w14:textId="77777777">
      <w:pPr>
        <w:keepNext/>
        <w:numPr>
          <w:ilvl w:val="1"/>
          <w:numId w:val="31"/>
        </w:numPr>
        <w:autoSpaceDE w:val="0"/>
        <w:autoSpaceDN w:val="0"/>
        <w:adjustRightInd w:val="0"/>
        <w:spacing w:before="120" w:after="120" w:line="20" w:lineRule="atLeast"/>
        <w:jc w:val="both"/>
      </w:pPr>
      <w:bookmarkStart w:name="_Toc206673951" w:id="1547"/>
      <w:r w:rsidRPr="00CA1FF0">
        <w:rPr>
          <w:rFonts w:ascii="Arial Bold" w:hAnsi="Arial Bold"/>
          <w:b/>
          <w:kern w:val="14"/>
          <w:sz w:val="20"/>
        </w:rPr>
        <w:t>BESS Discharge AGC Ramp Increase (+MW/min)</w:t>
      </w:r>
      <w:bookmarkEnd w:id="1547"/>
    </w:p>
    <w:p w:rsidRPr="00DF1F95" w:rsidR="00DE2B11" w:rsidP="000907B6" w:rsidRDefault="00DE2B11" w14:paraId="298082F5"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will be a value indicating the maximum ramp rate of power the</w:t>
      </w:r>
      <w:r w:rsidRPr="00CA1FF0">
        <w:t xml:space="preserve"> BESS</w:t>
      </w:r>
      <w:r w:rsidRPr="00CA1FF0">
        <w:rPr>
          <w:rFonts w:ascii="Arial" w:hAnsi="Arial"/>
          <w:kern w:val="14"/>
          <w:sz w:val="20"/>
        </w:rPr>
        <w:t xml:space="preserve"> can achieve when increasing output or decreasing the charge setpoint. This will be provided as a positive (+) value. The value should reflect the real-time capability to prevent AGC setpoints from exceeding the tolerance and must not exceed the limits in the IA.</w:t>
      </w:r>
    </w:p>
    <w:p w:rsidRPr="00DF1F95" w:rsidR="00DE2B11" w:rsidP="000907B6" w:rsidRDefault="00DE2B11" w14:paraId="422CB497" w14:textId="77777777">
      <w:pPr>
        <w:keepNext/>
        <w:numPr>
          <w:ilvl w:val="1"/>
          <w:numId w:val="31"/>
        </w:numPr>
        <w:autoSpaceDE w:val="0"/>
        <w:autoSpaceDN w:val="0"/>
        <w:adjustRightInd w:val="0"/>
        <w:spacing w:before="120" w:after="120" w:line="20" w:lineRule="atLeast"/>
        <w:jc w:val="both"/>
      </w:pPr>
      <w:bookmarkStart w:name="_Toc206673952" w:id="1548"/>
      <w:r w:rsidRPr="00CA1FF0">
        <w:rPr>
          <w:rFonts w:ascii="Arial Bold" w:hAnsi="Arial Bold"/>
          <w:b/>
          <w:kern w:val="14"/>
          <w:sz w:val="20"/>
        </w:rPr>
        <w:t>BESS Charge AGC Ramp Decrease (-MW/min)</w:t>
      </w:r>
      <w:bookmarkEnd w:id="1548"/>
    </w:p>
    <w:p w:rsidRPr="00DF1F95" w:rsidR="00DE2B11" w:rsidP="000907B6" w:rsidRDefault="00DE2B11" w14:paraId="4818D88D"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will be a value indicating the maximum ramp rate of power the</w:t>
      </w:r>
      <w:r w:rsidRPr="00CA1FF0">
        <w:t xml:space="preserve"> BESS</w:t>
      </w:r>
      <w:r w:rsidRPr="00CA1FF0">
        <w:rPr>
          <w:rFonts w:ascii="Arial" w:hAnsi="Arial"/>
          <w:kern w:val="14"/>
          <w:sz w:val="20"/>
        </w:rPr>
        <w:t xml:space="preserve"> can be charged or when decreasing output. This will be provided as a negative (-) value. The value should reflect the real-time capability to prevent AGC setpoints from exceeding the tolerance and must not exceed the limits in the IA. Under normal conditions, this value should be the same as the</w:t>
      </w:r>
      <w:r w:rsidRPr="00CA1FF0">
        <w:t xml:space="preserve"> BESS</w:t>
      </w:r>
      <w:r w:rsidRPr="00CA1FF0">
        <w:rPr>
          <w:rFonts w:ascii="Arial" w:hAnsi="Arial"/>
          <w:kern w:val="14"/>
          <w:sz w:val="20"/>
        </w:rPr>
        <w:t xml:space="preserve"> Discharge AGC Ramp Increase.</w:t>
      </w:r>
    </w:p>
    <w:p w:rsidRPr="00DF1F95" w:rsidR="00DE2B11" w:rsidP="000907B6" w:rsidRDefault="00DE2B11" w14:paraId="7C386EF0" w14:textId="77777777">
      <w:pPr>
        <w:keepNext/>
        <w:numPr>
          <w:ilvl w:val="1"/>
          <w:numId w:val="31"/>
        </w:numPr>
        <w:autoSpaceDE w:val="0"/>
        <w:autoSpaceDN w:val="0"/>
        <w:adjustRightInd w:val="0"/>
        <w:spacing w:before="120" w:after="120" w:line="20" w:lineRule="atLeast"/>
        <w:jc w:val="both"/>
      </w:pPr>
      <w:bookmarkStart w:name="_Toc206673953" w:id="1549"/>
      <w:r w:rsidRPr="00CA1FF0">
        <w:rPr>
          <w:rFonts w:ascii="Arial Bold" w:hAnsi="Arial Bold"/>
          <w:b/>
          <w:kern w:val="14"/>
          <w:sz w:val="20"/>
        </w:rPr>
        <w:t>Average Site Cell Temperature, if available (°C)</w:t>
      </w:r>
      <w:bookmarkEnd w:id="1549"/>
    </w:p>
    <w:p w:rsidRPr="00DF1F95" w:rsidR="00DE2B11" w:rsidP="000907B6" w:rsidRDefault="00DE2B11" w14:paraId="1C04E59A" w14:textId="2839FC94">
      <w:pPr>
        <w:numPr>
          <w:ilvl w:val="2"/>
          <w:numId w:val="31"/>
        </w:numPr>
        <w:autoSpaceDE w:val="0"/>
        <w:autoSpaceDN w:val="0"/>
        <w:adjustRightInd w:val="0"/>
        <w:spacing w:before="120" w:after="120" w:line="20" w:lineRule="atLeast"/>
        <w:jc w:val="both"/>
      </w:pPr>
      <w:r w:rsidRPr="00CA1FF0">
        <w:rPr>
          <w:rFonts w:ascii="Arial" w:hAnsi="Arial"/>
          <w:kern w:val="14"/>
          <w:sz w:val="20"/>
        </w:rPr>
        <w:t xml:space="preserve">This will be a value indicating average site cell temperature provided as degrees </w:t>
      </w:r>
      <w:r w:rsidR="00470576">
        <w:rPr>
          <w:rFonts w:ascii="Arial" w:hAnsi="Arial" w:eastAsia="Times New Roman" w:cs="Arial"/>
          <w:kern w:val="14"/>
          <w:sz w:val="20"/>
          <w:szCs w:val="20"/>
        </w:rPr>
        <w:t>Celsius</w:t>
      </w:r>
      <w:r w:rsidRPr="00CA1FF0">
        <w:rPr>
          <w:rFonts w:ascii="Arial" w:hAnsi="Arial"/>
          <w:kern w:val="14"/>
          <w:sz w:val="20"/>
        </w:rPr>
        <w:t>.</w:t>
      </w:r>
    </w:p>
    <w:p w:rsidRPr="00DF1F95" w:rsidR="00DE2B11" w:rsidP="000907B6" w:rsidRDefault="00DE2B11" w14:paraId="02E8F487" w14:textId="77777777">
      <w:pPr>
        <w:keepNext/>
        <w:numPr>
          <w:ilvl w:val="1"/>
          <w:numId w:val="31"/>
        </w:numPr>
        <w:autoSpaceDE w:val="0"/>
        <w:autoSpaceDN w:val="0"/>
        <w:adjustRightInd w:val="0"/>
        <w:spacing w:before="120" w:after="120" w:line="20" w:lineRule="atLeast"/>
        <w:jc w:val="both"/>
      </w:pPr>
      <w:bookmarkStart w:name="_Toc206673954" w:id="1550"/>
      <w:r w:rsidRPr="00CA1FF0">
        <w:rPr>
          <w:rFonts w:ascii="Arial Bold" w:hAnsi="Arial Bold"/>
          <w:b/>
          <w:kern w:val="14"/>
          <w:sz w:val="20"/>
        </w:rPr>
        <w:t>Station Service &amp; Auxiliary Operational Load (MW)</w:t>
      </w:r>
      <w:bookmarkEnd w:id="1550"/>
    </w:p>
    <w:p w:rsidRPr="00DF1F95" w:rsidR="00DE2B11" w:rsidP="000907B6" w:rsidRDefault="00DE2B11" w14:paraId="3DF99FA2"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 xml:space="preserve">These values will be as defined and described in the PPA. </w:t>
      </w:r>
    </w:p>
    <w:p w:rsidRPr="00DF1F95" w:rsidR="00DE2B11" w:rsidP="000907B6" w:rsidRDefault="00DE2B11" w14:paraId="2C6DD35C" w14:textId="77777777">
      <w:pPr>
        <w:keepNext/>
        <w:numPr>
          <w:ilvl w:val="1"/>
          <w:numId w:val="31"/>
        </w:numPr>
        <w:autoSpaceDE w:val="0"/>
        <w:autoSpaceDN w:val="0"/>
        <w:adjustRightInd w:val="0"/>
        <w:spacing w:before="120" w:after="120" w:line="20" w:lineRule="atLeast"/>
        <w:jc w:val="both"/>
      </w:pPr>
      <w:bookmarkStart w:name="_Toc206673955" w:id="1551"/>
      <w:r w:rsidRPr="00CA1FF0">
        <w:rPr>
          <w:rFonts w:ascii="Arial Bold" w:hAnsi="Arial Bold"/>
          <w:b/>
          <w:kern w:val="14"/>
          <w:sz w:val="20"/>
        </w:rPr>
        <w:t>% of stacks in service</w:t>
      </w:r>
      <w:bookmarkEnd w:id="1551"/>
    </w:p>
    <w:p w:rsidRPr="00DF1F95" w:rsidR="00DE2B11" w:rsidP="000907B6" w:rsidRDefault="00DE2B11" w14:paraId="0C52422C"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This will be a value indicating the number of battery stacks/racks in service and expressed as a percentage.</w:t>
      </w:r>
    </w:p>
    <w:p w:rsidRPr="00DF1F95" w:rsidR="00DE2B11" w:rsidP="000907B6" w:rsidRDefault="00DE2B11" w14:paraId="4AC14BFB" w14:textId="77777777">
      <w:pPr>
        <w:keepNext/>
        <w:numPr>
          <w:ilvl w:val="1"/>
          <w:numId w:val="31"/>
        </w:numPr>
        <w:autoSpaceDE w:val="0"/>
        <w:autoSpaceDN w:val="0"/>
        <w:adjustRightInd w:val="0"/>
        <w:spacing w:before="120" w:after="120" w:line="20" w:lineRule="atLeast"/>
        <w:jc w:val="both"/>
      </w:pPr>
      <w:bookmarkStart w:name="_Toc206673956" w:id="1552"/>
      <w:bookmarkEnd w:id="1532"/>
      <w:r w:rsidRPr="00CA1FF0">
        <w:rPr>
          <w:rFonts w:ascii="Arial Bold" w:hAnsi="Arial Bold"/>
          <w:b/>
          <w:kern w:val="14"/>
          <w:sz w:val="20"/>
        </w:rPr>
        <w:t xml:space="preserve">Number/Percentage of inverters </w:t>
      </w:r>
      <w:r w:rsidRPr="00CA1FF0">
        <w:rPr>
          <w:rFonts w:ascii="Arial Bold" w:hAnsi="Arial Bold"/>
          <w:kern w:val="14"/>
          <w:sz w:val="20"/>
        </w:rPr>
        <w:t>producing power</w:t>
      </w:r>
      <w:bookmarkEnd w:id="1552"/>
      <w:r w:rsidRPr="00CA1FF0">
        <w:rPr>
          <w:rFonts w:ascii="Arial Bold" w:hAnsi="Arial Bold"/>
          <w:kern w:val="14"/>
          <w:sz w:val="20"/>
        </w:rPr>
        <w:t xml:space="preserve"> </w:t>
      </w:r>
    </w:p>
    <w:p w:rsidRPr="00DF1F95" w:rsidR="00DE2B11" w:rsidP="000907B6" w:rsidRDefault="00DE2B11" w14:paraId="748CA649"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Total number of inverters producing</w:t>
      </w:r>
      <w:r w:rsidRPr="00DE2B11">
        <w:rPr>
          <w:rFonts w:ascii="Arial" w:hAnsi="Arial" w:eastAsia="Times New Roman" w:cs="Arial"/>
          <w:kern w:val="14"/>
          <w:sz w:val="20"/>
          <w:szCs w:val="20"/>
        </w:rPr>
        <w:t xml:space="preserve"> (for BESS device)</w:t>
      </w:r>
      <w:r w:rsidRPr="00CA1FF0">
        <w:rPr>
          <w:rFonts w:ascii="Arial" w:hAnsi="Arial"/>
          <w:kern w:val="14"/>
          <w:sz w:val="20"/>
        </w:rPr>
        <w:t xml:space="preserve"> power (real or reactive power) to the grid under normal operation.</w:t>
      </w:r>
    </w:p>
    <w:p w:rsidRPr="00DF1F95" w:rsidR="00DE2B11" w:rsidP="000907B6" w:rsidRDefault="00DE2B11" w14:paraId="52D43102" w14:textId="77777777">
      <w:pPr>
        <w:keepNext/>
        <w:numPr>
          <w:ilvl w:val="1"/>
          <w:numId w:val="31"/>
        </w:numPr>
        <w:autoSpaceDE w:val="0"/>
        <w:autoSpaceDN w:val="0"/>
        <w:adjustRightInd w:val="0"/>
        <w:spacing w:before="120" w:after="120" w:line="20" w:lineRule="atLeast"/>
        <w:jc w:val="both"/>
      </w:pPr>
      <w:bookmarkStart w:name="_Toc206673957" w:id="1553"/>
      <w:r w:rsidRPr="00CA1FF0">
        <w:rPr>
          <w:rFonts w:ascii="Arial Bold" w:hAnsi="Arial Bold"/>
          <w:b/>
          <w:kern w:val="14"/>
          <w:sz w:val="20"/>
        </w:rPr>
        <w:t>Number/Percentage of inverters available</w:t>
      </w:r>
      <w:bookmarkEnd w:id="1553"/>
      <w:r w:rsidRPr="00CA1FF0">
        <w:rPr>
          <w:rFonts w:ascii="Arial Bold" w:hAnsi="Arial Bold"/>
          <w:b/>
          <w:kern w:val="14"/>
          <w:sz w:val="20"/>
        </w:rPr>
        <w:t xml:space="preserve"> </w:t>
      </w:r>
    </w:p>
    <w:p w:rsidRPr="00DF1F95" w:rsidR="00DE2B11" w:rsidP="000907B6" w:rsidRDefault="00DE2B11" w14:paraId="3169088C" w14:textId="77777777">
      <w:pPr>
        <w:numPr>
          <w:ilvl w:val="2"/>
          <w:numId w:val="31"/>
        </w:numPr>
        <w:autoSpaceDE w:val="0"/>
        <w:autoSpaceDN w:val="0"/>
        <w:adjustRightInd w:val="0"/>
        <w:spacing w:before="120" w:after="120" w:line="20" w:lineRule="atLeast"/>
        <w:jc w:val="both"/>
      </w:pPr>
      <w:r w:rsidRPr="00CA1FF0">
        <w:rPr>
          <w:rFonts w:ascii="Arial" w:hAnsi="Arial"/>
          <w:kern w:val="14"/>
          <w:sz w:val="20"/>
        </w:rPr>
        <w:t>Total number of inverters available on-line (electrically connected based on inverter’s AC breaker status).</w:t>
      </w:r>
    </w:p>
    <w:p w:rsidRPr="00DF1F95" w:rsidR="00DE2B11" w:rsidP="000907B6" w:rsidRDefault="00DE2B11" w14:paraId="2579AF23" w14:textId="77777777">
      <w:pPr>
        <w:keepNext/>
        <w:numPr>
          <w:ilvl w:val="1"/>
          <w:numId w:val="31"/>
        </w:numPr>
        <w:autoSpaceDE w:val="0"/>
        <w:autoSpaceDN w:val="0"/>
        <w:adjustRightInd w:val="0"/>
        <w:spacing w:before="120" w:after="120" w:line="20" w:lineRule="atLeast"/>
        <w:jc w:val="both"/>
      </w:pPr>
      <w:bookmarkStart w:name="_Toc206673958" w:id="1554"/>
      <w:r w:rsidRPr="00CA1FF0">
        <w:rPr>
          <w:rFonts w:ascii="Arial Bold" w:hAnsi="Arial Bold"/>
          <w:b/>
          <w:kern w:val="14"/>
          <w:sz w:val="20"/>
        </w:rPr>
        <w:t>Number/Perce</w:t>
      </w:r>
      <w:r w:rsidRPr="00CA1FF0">
        <w:rPr>
          <w:rFonts w:ascii="Arial Bold" w:hAnsi="Arial Bold"/>
          <w:kern w:val="14"/>
          <w:sz w:val="20"/>
        </w:rPr>
        <w:t>ntage of inverters offline</w:t>
      </w:r>
      <w:bookmarkEnd w:id="1554"/>
      <w:r w:rsidRPr="00CA1FF0">
        <w:rPr>
          <w:rFonts w:ascii="Arial Bold" w:hAnsi="Arial Bold"/>
          <w:kern w:val="14"/>
          <w:sz w:val="20"/>
        </w:rPr>
        <w:t xml:space="preserve"> </w:t>
      </w:r>
    </w:p>
    <w:p w:rsidRPr="00DF1F95" w:rsidR="00DE2B11" w:rsidP="000907B6" w:rsidRDefault="00DE2B11" w14:paraId="4840A81B" w14:textId="539B861E">
      <w:pPr>
        <w:numPr>
          <w:ilvl w:val="2"/>
          <w:numId w:val="31"/>
        </w:numPr>
        <w:autoSpaceDE w:val="0"/>
        <w:autoSpaceDN w:val="0"/>
        <w:adjustRightInd w:val="0"/>
        <w:spacing w:before="120" w:after="120" w:line="20" w:lineRule="atLeast"/>
        <w:jc w:val="both"/>
      </w:pPr>
      <w:r w:rsidRPr="00CA1FF0">
        <w:rPr>
          <w:rFonts w:ascii="Arial" w:hAnsi="Arial"/>
          <w:kern w:val="14"/>
          <w:sz w:val="20"/>
        </w:rPr>
        <w:t xml:space="preserve">The total number of inverters that have stopped injecting power (real or reactive) to the grid for several reasons including but not limited to protection trip, momentary cessation etc. This may be calculated as a difference between inverters available and inverters </w:t>
      </w:r>
      <w:r w:rsidRPr="00DE2B11">
        <w:rPr>
          <w:rFonts w:ascii="Arial" w:hAnsi="Arial" w:eastAsia="Times New Roman" w:cs="Arial"/>
          <w:kern w:val="14"/>
          <w:sz w:val="20"/>
          <w:szCs w:val="20"/>
        </w:rPr>
        <w:t>producing</w:t>
      </w:r>
      <w:r w:rsidRPr="00CA1FF0">
        <w:rPr>
          <w:rFonts w:ascii="Arial" w:hAnsi="Arial"/>
          <w:kern w:val="14"/>
          <w:sz w:val="20"/>
        </w:rPr>
        <w:t xml:space="preserve"> power.</w:t>
      </w:r>
    </w:p>
    <w:p w:rsidRPr="00DE2B11" w:rsidR="00DE2B11" w:rsidP="000907B6" w:rsidRDefault="00DE2B11" w14:paraId="737DFE34" w14:textId="77777777">
      <w:pPr>
        <w:keepNext/>
        <w:numPr>
          <w:ilvl w:val="1"/>
          <w:numId w:val="31"/>
        </w:numPr>
        <w:autoSpaceDE w:val="0"/>
        <w:autoSpaceDN w:val="0"/>
        <w:adjustRightInd w:val="0"/>
        <w:spacing w:before="120" w:after="120" w:line="20" w:lineRule="atLeast"/>
        <w:jc w:val="both"/>
        <w:rPr>
          <w:rFonts w:ascii="Arial Bold" w:hAnsi="Arial Bold" w:eastAsia="Times New Roman" w:cs="Arial"/>
          <w:kern w:val="14"/>
          <w:sz w:val="20"/>
          <w:szCs w:val="20"/>
        </w:rPr>
      </w:pPr>
      <w:r w:rsidRPr="00DE2B11">
        <w:rPr>
          <w:rFonts w:ascii="Arial Bold" w:hAnsi="Arial Bold" w:eastAsia="Times New Roman" w:cs="Arial"/>
          <w:b/>
          <w:kern w:val="14"/>
          <w:sz w:val="20"/>
          <w:szCs w:val="20"/>
        </w:rPr>
        <w:lastRenderedPageBreak/>
        <w:t xml:space="preserve">Average Site Irradiance </w:t>
      </w:r>
    </w:p>
    <w:p w:rsidRPr="00DE2B11" w:rsidR="00DE2B11" w:rsidP="000907B6" w:rsidRDefault="00DE2B11" w14:paraId="438E0E65" w14:textId="77777777">
      <w:pPr>
        <w:numPr>
          <w:ilvl w:val="2"/>
          <w:numId w:val="31"/>
        </w:numPr>
        <w:autoSpaceDE w:val="0"/>
        <w:autoSpaceDN w:val="0"/>
        <w:adjustRightInd w:val="0"/>
        <w:spacing w:before="120" w:after="120" w:line="20" w:lineRule="atLeast"/>
        <w:jc w:val="both"/>
        <w:rPr>
          <w:rFonts w:ascii="Arial" w:hAnsi="Arial" w:eastAsia="Times New Roman" w:cs="Arial"/>
          <w:kern w:val="14"/>
          <w:sz w:val="20"/>
          <w:szCs w:val="20"/>
        </w:rPr>
      </w:pPr>
      <w:r w:rsidRPr="00DE2B11">
        <w:rPr>
          <w:rFonts w:ascii="Arial" w:hAnsi="Arial" w:eastAsia="Times New Roman" w:cs="Arial"/>
          <w:kern w:val="14"/>
          <w:sz w:val="20"/>
          <w:szCs w:val="20"/>
        </w:rPr>
        <w:t xml:space="preserve">Average irradiance for the solar site based on meteorological stations. </w:t>
      </w:r>
    </w:p>
    <w:p w:rsidRPr="00CA1FF0" w:rsidR="00DE2B11" w:rsidP="000907B6" w:rsidRDefault="00DE2B11" w14:paraId="3BCB1C1F" w14:textId="77777777">
      <w:pPr>
        <w:keepNext/>
        <w:numPr>
          <w:ilvl w:val="1"/>
          <w:numId w:val="31"/>
        </w:numPr>
        <w:autoSpaceDE w:val="0"/>
        <w:autoSpaceDN w:val="0"/>
        <w:adjustRightInd w:val="0"/>
        <w:spacing w:before="360" w:after="120" w:line="240" w:lineRule="auto"/>
        <w:jc w:val="both"/>
        <w:rPr>
          <w:rFonts w:ascii="Arial Bold" w:hAnsi="Arial Bold"/>
        </w:rPr>
      </w:pPr>
      <w:bookmarkStart w:name="_Toc206673959" w:id="1555"/>
      <w:r w:rsidRPr="00CA1FF0">
        <w:rPr>
          <w:rFonts w:ascii="Arial Bold" w:hAnsi="Arial Bold"/>
          <w:b/>
          <w:kern w:val="14"/>
          <w:sz w:val="20"/>
        </w:rPr>
        <w:t>Cycles per Day Counter</w:t>
      </w:r>
      <w:bookmarkEnd w:id="1555"/>
    </w:p>
    <w:p w:rsidRPr="00DF1F95" w:rsidR="00DE2B11" w:rsidP="000907B6" w:rsidRDefault="00DE2B11" w14:paraId="7A02AC85" w14:textId="10750A43">
      <w:pPr>
        <w:numPr>
          <w:ilvl w:val="2"/>
          <w:numId w:val="31"/>
        </w:numPr>
        <w:autoSpaceDE w:val="0"/>
        <w:autoSpaceDN w:val="0"/>
        <w:adjustRightInd w:val="0"/>
        <w:spacing w:before="120" w:after="240" w:line="240" w:lineRule="auto"/>
        <w:jc w:val="both"/>
      </w:pPr>
      <w:r w:rsidRPr="00CA1FF0">
        <w:rPr>
          <w:rFonts w:ascii="Arial" w:hAnsi="Arial"/>
          <w:kern w:val="14"/>
          <w:sz w:val="20"/>
        </w:rPr>
        <w:t>This value will be an equivalent cycles per Day calculated based on: (i) the amount of energy discharged at the POI from the BESS divided by (ii) the max storage capacity of the BESS. This will be reset to 0 at midnight and will be passed to the EMS to ensure the desired number of equivalent cycles per Day is not exceeded.</w:t>
      </w:r>
    </w:p>
    <w:p w:rsidRPr="00CA1FF0" w:rsidR="00DE2B11" w:rsidP="000907B6" w:rsidRDefault="00DE2B11" w14:paraId="53A173A9" w14:textId="77777777">
      <w:pPr>
        <w:keepNext/>
        <w:numPr>
          <w:ilvl w:val="1"/>
          <w:numId w:val="31"/>
        </w:numPr>
        <w:autoSpaceDE w:val="0"/>
        <w:autoSpaceDN w:val="0"/>
        <w:adjustRightInd w:val="0"/>
        <w:spacing w:before="360" w:after="120" w:line="240" w:lineRule="auto"/>
        <w:jc w:val="both"/>
        <w:rPr>
          <w:rFonts w:ascii="Arial Bold" w:hAnsi="Arial Bold"/>
        </w:rPr>
      </w:pPr>
      <w:bookmarkStart w:name="_Toc206673960" w:id="1556"/>
      <w:r w:rsidRPr="00CA1FF0">
        <w:rPr>
          <w:rFonts w:ascii="Arial Bold" w:hAnsi="Arial Bold"/>
          <w:b/>
          <w:kern w:val="14"/>
          <w:sz w:val="20"/>
        </w:rPr>
        <w:t>Cycles per Year Counter</w:t>
      </w:r>
      <w:bookmarkEnd w:id="1556"/>
    </w:p>
    <w:p w:rsidRPr="00CA1FF0" w:rsidR="00DE2B11" w:rsidP="000907B6" w:rsidRDefault="00DE2B11" w14:paraId="73DEF248" w14:textId="77777777">
      <w:pPr>
        <w:numPr>
          <w:ilvl w:val="2"/>
          <w:numId w:val="31"/>
        </w:numPr>
        <w:autoSpaceDE w:val="0"/>
        <w:autoSpaceDN w:val="0"/>
        <w:adjustRightInd w:val="0"/>
        <w:spacing w:before="120" w:after="240" w:line="240" w:lineRule="auto"/>
        <w:jc w:val="both"/>
        <w:rPr>
          <w:rFonts w:ascii="Aptos" w:hAnsi="Aptos"/>
        </w:rPr>
      </w:pPr>
      <w:r w:rsidRPr="00CA1FF0">
        <w:rPr>
          <w:rFonts w:ascii="Arial" w:hAnsi="Arial"/>
          <w:kern w:val="14"/>
          <w:sz w:val="20"/>
        </w:rPr>
        <w:t xml:space="preserve">This value will be an equivalent cycles counter calculated based on 1. the amount of energy discharged at the POI from the BESS divided by 2.  the max storage capacity of the BESS. This will be cumulative for the current year and will be passed to the EMS to ensure the desired number of equivalent cycles per year is not exceeded.  </w:t>
      </w:r>
    </w:p>
    <w:p w:rsidRPr="00347C06" w:rsidR="00347C06" w:rsidRDefault="00347C06" w14:paraId="18A1EB23" w14:textId="77777777">
      <w:pPr>
        <w:pStyle w:val="zGBody3"/>
        <w:spacing w:line="20" w:lineRule="atLeast"/>
        <w:rPr>
          <w:rFonts w:asciiTheme="minorHAnsi" w:hAnsiTheme="minorHAnsi"/>
          <w:sz w:val="22"/>
        </w:rPr>
      </w:pPr>
      <w:bookmarkStart w:name="_Toc174624987" w:id="1557"/>
    </w:p>
    <w:p w:rsidRPr="005C75D2" w:rsidR="002D54C4" w:rsidP="00C243AB" w:rsidRDefault="008B55A2" w14:paraId="16C6631A" w14:textId="3AB3DD31">
      <w:pPr>
        <w:pStyle w:val="zGTitleExhibit"/>
      </w:pPr>
      <w:r>
        <w:rPr>
          <w:rFonts w:cs="Arial"/>
          <w:sz w:val="20"/>
          <w:szCs w:val="20"/>
        </w:rPr>
        <w:br w:type="page"/>
      </w:r>
      <w:bookmarkStart w:name="_Toc160749234" w:id="1558"/>
      <w:bookmarkStart w:name="_Toc194937603" w:id="1559"/>
      <w:bookmarkStart w:name="_Toc227451692" w:id="1560"/>
      <w:r>
        <w:lastRenderedPageBreak/>
        <w:t xml:space="preserve">Exhibit H – </w:t>
      </w:r>
      <w:bookmarkEnd w:id="1557"/>
      <w:r>
        <w:t>Facility One-Line Diagram</w:t>
      </w:r>
      <w:bookmarkEnd w:id="1513"/>
      <w:bookmarkEnd w:id="1514"/>
      <w:bookmarkEnd w:id="1515"/>
      <w:bookmarkEnd w:id="1558"/>
      <w:bookmarkEnd w:id="1559"/>
      <w:bookmarkEnd w:id="1560"/>
    </w:p>
    <w:p w:rsidRPr="00637DE0" w:rsidR="002D54C4" w:rsidP="00637DE0" w:rsidRDefault="002D54C4" w14:paraId="53D49790" w14:textId="77777777">
      <w:pPr>
        <w:widowControl w:val="0"/>
        <w:jc w:val="center"/>
        <w:rPr>
          <w:rFonts w:ascii="Arial" w:hAnsi="Arial" w:cs="Arial"/>
          <w:sz w:val="20"/>
          <w:szCs w:val="20"/>
        </w:rPr>
      </w:pPr>
    </w:p>
    <w:p w:rsidR="008622BA" w:rsidP="008622BA" w:rsidRDefault="008B55A2" w14:paraId="1DC75538" w14:textId="77777777">
      <w:pPr>
        <w:widowControl w:val="0"/>
        <w:spacing w:after="240"/>
        <w:ind w:left="2880" w:hanging="2880"/>
        <w:jc w:val="center"/>
      </w:pPr>
      <w:r>
        <w:rPr>
          <w:rFonts w:ascii="Arial" w:hAnsi="Arial" w:cs="Arial"/>
          <w:sz w:val="20"/>
          <w:szCs w:val="20"/>
          <w:highlight w:val="yellow"/>
        </w:rPr>
        <w:t>[Insert one-line diagram for Facility]</w:t>
      </w:r>
    </w:p>
    <w:p w:rsidR="003C77CE" w:rsidP="00ED2FF2" w:rsidRDefault="003C77CE" w14:paraId="031CFA06" w14:textId="77777777">
      <w:pPr>
        <w:widowControl w:val="0"/>
        <w:spacing w:after="240"/>
        <w:ind w:left="2880" w:hanging="2880"/>
      </w:pPr>
    </w:p>
    <w:p w:rsidRPr="00517474" w:rsidR="002D54C4" w:rsidP="00ED2FF2" w:rsidRDefault="008B55A2" w14:paraId="09B05FE5" w14:textId="77777777">
      <w:pPr>
        <w:widowControl w:val="0"/>
        <w:spacing w:after="240"/>
        <w:ind w:left="2880" w:hanging="2880"/>
        <w:sectPr w:rsidRPr="00517474" w:rsidR="002D54C4" w:rsidSect="00544500">
          <w:headerReference w:type="even" r:id="rId84"/>
          <w:headerReference w:type="default" r:id="rId85"/>
          <w:footerReference w:type="even" r:id="rId86"/>
          <w:footerReference w:type="default" r:id="rId87"/>
          <w:headerReference w:type="first" r:id="rId88"/>
          <w:footerReference w:type="first" r:id="rId89"/>
          <w:type w:val="continuous"/>
          <w:pgSz w:w="12240" w:h="15840" w:code="1"/>
          <w:pgMar w:top="1440" w:right="1440" w:bottom="1440" w:left="1440" w:header="720" w:footer="720" w:gutter="0"/>
          <w:paperSrc w:first="15" w:other="15"/>
          <w:cols w:space="1440"/>
        </w:sectPr>
      </w:pPr>
      <w:r>
        <w:br w:type="page"/>
      </w:r>
    </w:p>
    <w:p w:rsidRPr="001608E6" w:rsidR="002D54C4" w:rsidP="00292634" w:rsidRDefault="008B55A2" w14:paraId="4E5B9202" w14:textId="7A600ED3">
      <w:pPr>
        <w:pStyle w:val="zGTitleExhibit"/>
        <w:spacing w:before="120"/>
      </w:pPr>
      <w:bookmarkStart w:name="_Toc160749235" w:id="1561"/>
      <w:bookmarkStart w:name="_Toc194937604" w:id="1562"/>
      <w:bookmarkStart w:name="_Toc174624988" w:id="1563"/>
      <w:bookmarkStart w:name="_Toc227451693" w:id="1564"/>
      <w:r>
        <w:lastRenderedPageBreak/>
        <w:t>Exhibit I – Requirements for PPA Facility</w:t>
      </w:r>
      <w:bookmarkEnd w:id="1561"/>
      <w:bookmarkEnd w:id="1562"/>
      <w:bookmarkEnd w:id="1563"/>
      <w:bookmarkEnd w:id="1564"/>
    </w:p>
    <w:p w:rsidRPr="002D2A8F" w:rsidR="00954D84" w:rsidP="00292634" w:rsidRDefault="008B55A2" w14:paraId="29FD41F1" w14:textId="77777777">
      <w:pPr>
        <w:spacing w:before="120" w:after="120" w:line="240" w:lineRule="auto"/>
        <w:jc w:val="both"/>
        <w:rPr>
          <w:rFonts w:ascii="Arial" w:hAnsi="Arial" w:eastAsia="DengXian" w:cs="Arial"/>
          <w:sz w:val="20"/>
          <w:szCs w:val="20"/>
        </w:rPr>
      </w:pPr>
      <w:r>
        <w:rPr>
          <w:rFonts w:ascii="Arial" w:hAnsi="Arial" w:eastAsia="DengXian" w:cs="Arial"/>
          <w:sz w:val="20"/>
          <w:szCs w:val="20"/>
        </w:rPr>
        <w:t>This document describes GPC’s required characteristics for the Facility. This document does not include all the legal, regulatory, and technical requirements for the Facility but outlines certain minimum requirements. Seller is required to execute this document acknowledging the following:</w:t>
      </w:r>
    </w:p>
    <w:p w:rsidR="00954D84" w:rsidP="000907B6" w:rsidRDefault="008B55A2" w14:paraId="73D78254" w14:textId="2C3DF450">
      <w:pPr>
        <w:pStyle w:val="zGBody1"/>
        <w:numPr>
          <w:ilvl w:val="0"/>
          <w:numId w:val="25"/>
        </w:numPr>
        <w:spacing w:before="120" w:after="120"/>
        <w:rPr>
          <w:lang w:eastAsia="zh-CN"/>
        </w:rPr>
      </w:pPr>
      <w:bookmarkStart w:name="_Toc206673963" w:id="1565"/>
      <w:bookmarkStart w:name="_Toc227451694" w:id="1566"/>
      <w:r>
        <w:rPr>
          <w:lang w:eastAsia="zh-CN"/>
        </w:rPr>
        <w:t>BESS</w:t>
      </w:r>
      <w:bookmarkEnd w:id="1565"/>
      <w:bookmarkEnd w:id="1566"/>
    </w:p>
    <w:p w:rsidRPr="004B0BBF" w:rsidR="002225B2" w:rsidP="000907B6" w:rsidRDefault="0091009F" w14:paraId="06ADE63B" w14:textId="64955CF4">
      <w:pPr>
        <w:pStyle w:val="zGBody2"/>
        <w:numPr>
          <w:ilvl w:val="1"/>
          <w:numId w:val="31"/>
        </w:numPr>
        <w:spacing w:before="120"/>
        <w:rPr>
          <w:u w:val="single"/>
        </w:rPr>
      </w:pPr>
      <w:bookmarkStart w:name="_Toc206673964" w:id="1567"/>
      <w:bookmarkStart w:name="_Toc227451695" w:id="1568"/>
      <w:r w:rsidRPr="002D2A8F">
        <w:rPr>
          <w:lang w:eastAsia="zh-CN"/>
        </w:rPr>
        <w:t>Battery Energy Storage System (BESS)</w:t>
      </w:r>
      <w:bookmarkEnd w:id="1567"/>
      <w:bookmarkEnd w:id="1568"/>
    </w:p>
    <w:p w:rsidRPr="002D2A8F" w:rsidR="00953ED7" w:rsidP="000907B6" w:rsidRDefault="00953ED7" w14:paraId="08EC153A" w14:textId="319EA34E">
      <w:pPr>
        <w:pStyle w:val="zGBody3"/>
        <w:numPr>
          <w:ilvl w:val="2"/>
          <w:numId w:val="31"/>
        </w:numPr>
        <w:spacing w:after="120"/>
        <w:rPr>
          <w:rFonts w:eastAsia="DengXian"/>
          <w:lang w:eastAsia="zh-CN"/>
        </w:rPr>
      </w:pPr>
      <w:r w:rsidRPr="002D2A8F">
        <w:rPr>
          <w:lang w:eastAsia="zh-CN"/>
        </w:rPr>
        <w:t xml:space="preserve">Units listed to </w:t>
      </w:r>
      <w:r w:rsidRPr="00FB7823">
        <w:rPr>
          <w:lang w:eastAsia="zh-CN"/>
        </w:rPr>
        <w:t>ANSI/VAN/UL UL 9540 Standard for Safety for Energy Storage Systems and Equipment</w:t>
      </w:r>
      <w:r w:rsidRPr="002D2A8F">
        <w:rPr>
          <w:rFonts w:eastAsia="DengXian"/>
          <w:lang w:eastAsia="zh-CN"/>
        </w:rPr>
        <w:t>.</w:t>
      </w:r>
    </w:p>
    <w:p w:rsidRPr="00952F06" w:rsidR="00953ED7" w:rsidP="000907B6" w:rsidRDefault="00953ED7" w14:paraId="63F70DC9" w14:textId="7D741D54">
      <w:pPr>
        <w:pStyle w:val="zGBody3"/>
        <w:numPr>
          <w:ilvl w:val="2"/>
          <w:numId w:val="31"/>
        </w:numPr>
        <w:spacing w:after="120"/>
        <w:rPr>
          <w:lang w:eastAsia="zh-CN"/>
        </w:rPr>
      </w:pPr>
      <w:r w:rsidRPr="00952F06">
        <w:rPr>
          <w:lang w:eastAsia="zh-CN"/>
        </w:rPr>
        <w:t xml:space="preserve">Battery and battery enclosures </w:t>
      </w:r>
      <w:r>
        <w:rPr>
          <w:lang w:eastAsia="zh-CN"/>
        </w:rPr>
        <w:t>must</w:t>
      </w:r>
      <w:r w:rsidRPr="00952F06">
        <w:rPr>
          <w:lang w:eastAsia="zh-CN"/>
        </w:rPr>
        <w:t xml:space="preserve"> be tested in accordance with ANSI/CAN/UL 9540A Standard for Safety for Test Method Evaluating Thermal Runaway Fire Propagation in Battery Energy Storage Systems. The test report shall be accompanied by a supplemental report prepared by a registered design professional with expertise in fire protection engineering that provides interpretation of the test data in relation to the installation requirements for the energy storage system.</w:t>
      </w:r>
      <w:r w:rsidR="009C7C1C">
        <w:rPr>
          <w:lang w:eastAsia="zh-CN"/>
        </w:rPr>
        <w:t xml:space="preserve"> </w:t>
      </w:r>
      <w:r w:rsidR="009C7C1C">
        <w:t>GPC must have been provided with the required</w:t>
      </w:r>
      <w:r w:rsidRPr="00C85F34" w:rsidR="009C7C1C">
        <w:t xml:space="preserve"> UL 9540A</w:t>
      </w:r>
      <w:r w:rsidR="009C7C1C">
        <w:t xml:space="preserve"> reports before any BESS component is delivered to the Site.</w:t>
      </w:r>
    </w:p>
    <w:p w:rsidRPr="002D2A8F" w:rsidR="00953ED7" w:rsidP="000907B6" w:rsidRDefault="00953ED7" w14:paraId="17D8CF4F" w14:textId="77777777">
      <w:pPr>
        <w:pStyle w:val="zGBody3"/>
        <w:numPr>
          <w:ilvl w:val="2"/>
          <w:numId w:val="31"/>
        </w:numPr>
        <w:spacing w:after="120"/>
        <w:rPr>
          <w:rFonts w:eastAsia="DengXian"/>
          <w:lang w:eastAsia="zh-CN"/>
        </w:rPr>
      </w:pPr>
      <w:r>
        <w:rPr>
          <w:lang w:eastAsia="zh-CN"/>
        </w:rPr>
        <w:t>The Facility</w:t>
      </w:r>
      <w:r w:rsidRPr="002D2A8F">
        <w:rPr>
          <w:lang w:eastAsia="zh-CN"/>
        </w:rPr>
        <w:t xml:space="preserve"> complies with </w:t>
      </w:r>
      <w:r w:rsidRPr="002D2A8F">
        <w:rPr>
          <w:rFonts w:eastAsia="DengXian"/>
          <w:lang w:eastAsia="zh-CN"/>
        </w:rPr>
        <w:t>the version of NFPA 855 in effect at the time of Commercial Operation</w:t>
      </w:r>
      <w:r>
        <w:rPr>
          <w:rFonts w:eastAsia="DengXian"/>
          <w:lang w:eastAsia="zh-CN"/>
        </w:rPr>
        <w:t xml:space="preserve"> in addition to state and local fire codes</w:t>
      </w:r>
      <w:r w:rsidRPr="002D2A8F">
        <w:rPr>
          <w:rFonts w:eastAsia="DengXian"/>
          <w:lang w:eastAsia="zh-CN"/>
        </w:rPr>
        <w:t>.</w:t>
      </w:r>
    </w:p>
    <w:p w:rsidRPr="002D2A8F" w:rsidR="00953ED7" w:rsidP="000907B6" w:rsidRDefault="00953ED7" w14:paraId="7395C3C4" w14:textId="6A961B72">
      <w:pPr>
        <w:pStyle w:val="zGBody3"/>
        <w:numPr>
          <w:ilvl w:val="2"/>
          <w:numId w:val="31"/>
        </w:numPr>
        <w:spacing w:after="120"/>
        <w:rPr>
          <w:rFonts w:eastAsia="DengXian"/>
          <w:lang w:eastAsia="zh-CN"/>
        </w:rPr>
      </w:pPr>
      <w:r>
        <w:rPr>
          <w:rFonts w:eastAsia="DengXian"/>
          <w:lang w:eastAsia="zh-CN"/>
        </w:rPr>
        <w:t>A permanent source of water for fire protection must be provided</w:t>
      </w:r>
      <w:r w:rsidRPr="002D2A8F">
        <w:rPr>
          <w:rFonts w:eastAsia="DengXian"/>
          <w:lang w:eastAsia="zh-CN"/>
        </w:rPr>
        <w:t>.</w:t>
      </w:r>
    </w:p>
    <w:p w:rsidR="00953ED7" w:rsidP="000907B6" w:rsidRDefault="00953ED7" w14:paraId="53842DA3" w14:textId="57900DCB">
      <w:pPr>
        <w:pStyle w:val="zGBody3"/>
        <w:numPr>
          <w:ilvl w:val="2"/>
          <w:numId w:val="31"/>
        </w:numPr>
        <w:spacing w:after="120"/>
        <w:rPr>
          <w:lang w:eastAsia="zh-CN"/>
        </w:rPr>
      </w:pPr>
      <w:r>
        <w:rPr>
          <w:lang w:eastAsia="zh-CN"/>
        </w:rPr>
        <w:t xml:space="preserve">Identify any redundancy, operational margins, and contingency modes within the ESS thermal management system (TMS). All operational constraints should be specified in the event of a partial or complete TMS outage. The TMS design should include redundancy and/or contingency plans for TMS component failures (e.g., HVAC systems, fans, or the ability to operate in a reduced capacity if a TMS component fails). </w:t>
      </w:r>
    </w:p>
    <w:p w:rsidR="00953ED7" w:rsidP="000907B6" w:rsidRDefault="00953ED7" w14:paraId="10D7B4BD" w14:textId="7F2F3B6A">
      <w:pPr>
        <w:pStyle w:val="zGBody3"/>
        <w:numPr>
          <w:ilvl w:val="2"/>
          <w:numId w:val="31"/>
        </w:numPr>
        <w:spacing w:after="120"/>
        <w:rPr>
          <w:lang w:eastAsia="zh-CN"/>
        </w:rPr>
      </w:pPr>
      <w:r>
        <w:rPr>
          <w:lang w:eastAsia="zh-CN"/>
        </w:rPr>
        <w:t xml:space="preserve">Provide all documentation and training materials required by the relevant standards. This includes, but is not limited to, the Hazard Mitigation Analysis (HMA), and Failure Mode and Effects Analysis (FMEA). The development of a site specific HMA shall require the participation of the Supplier, the Company, the OEM of the inverter, and the EPC contractor, if applicable. </w:t>
      </w:r>
    </w:p>
    <w:p w:rsidR="00953ED7" w:rsidP="000907B6" w:rsidRDefault="00953ED7" w14:paraId="3E3D6710" w14:textId="7FB68F57">
      <w:pPr>
        <w:pStyle w:val="zGBody3"/>
        <w:numPr>
          <w:ilvl w:val="2"/>
          <w:numId w:val="31"/>
        </w:numPr>
        <w:spacing w:after="120"/>
        <w:rPr>
          <w:lang w:eastAsia="zh-CN"/>
        </w:rPr>
      </w:pPr>
      <w:r>
        <w:rPr>
          <w:lang w:eastAsia="zh-CN"/>
        </w:rPr>
        <w:t>Provide detailed augmentation plan for the Facility over the PPA Term.</w:t>
      </w:r>
    </w:p>
    <w:p w:rsidR="00953ED7" w:rsidP="000907B6" w:rsidRDefault="00953ED7" w14:paraId="54A7B7B0" w14:textId="0C7F29F4">
      <w:pPr>
        <w:pStyle w:val="zGBody3"/>
        <w:numPr>
          <w:ilvl w:val="2"/>
          <w:numId w:val="31"/>
        </w:numPr>
        <w:spacing w:after="120"/>
        <w:rPr>
          <w:lang w:eastAsia="zh-CN"/>
        </w:rPr>
      </w:pPr>
      <w:r>
        <w:rPr>
          <w:lang w:eastAsia="zh-CN"/>
        </w:rPr>
        <w:t>ESS must be appropriately sized and configured to ensure that it consistently maintains its rated nameplate instantaneous energy output capacity at the designated POI, thereby guaranteeing that the system can reliably meet the specified energy demands and operational requirements without any degradation in performance or efficiency. ESS must be sized to maintain rated nameplate instantaneous Energy output capacity at the POI.</w:t>
      </w:r>
    </w:p>
    <w:p w:rsidRPr="004B0BBF" w:rsidR="00953ED7" w:rsidP="000907B6" w:rsidRDefault="00953ED7" w14:paraId="413EC3D6" w14:textId="77777777">
      <w:pPr>
        <w:pStyle w:val="zGBody2"/>
        <w:numPr>
          <w:ilvl w:val="1"/>
          <w:numId w:val="31"/>
        </w:numPr>
        <w:spacing w:before="120"/>
        <w:rPr>
          <w:u w:val="single"/>
        </w:rPr>
      </w:pPr>
      <w:bookmarkStart w:name="_Toc206673965" w:id="1569"/>
      <w:bookmarkStart w:name="_Toc227451696" w:id="1570"/>
      <w:r w:rsidRPr="002D2A8F">
        <w:rPr>
          <w:lang w:eastAsia="zh-CN"/>
        </w:rPr>
        <w:t>Inverter</w:t>
      </w:r>
      <w:bookmarkEnd w:id="1569"/>
      <w:bookmarkEnd w:id="1570"/>
    </w:p>
    <w:p w:rsidR="00953ED7" w:rsidP="000907B6" w:rsidRDefault="00953ED7" w14:paraId="1FEBCDF9" w14:textId="22980A9E">
      <w:pPr>
        <w:pStyle w:val="zGBody3"/>
        <w:numPr>
          <w:ilvl w:val="2"/>
          <w:numId w:val="31"/>
        </w:numPr>
        <w:spacing w:after="120"/>
        <w:rPr>
          <w:lang w:eastAsia="zh-CN"/>
        </w:rPr>
      </w:pPr>
      <w:r>
        <w:rPr>
          <w:lang w:eastAsia="zh-CN"/>
        </w:rPr>
        <w:t>BESS inverters must be specified to be grid forming capable. Seller must provide documentation demonstrating the inverter is specified with grid forming capability.</w:t>
      </w:r>
    </w:p>
    <w:p w:rsidR="00953ED7" w:rsidP="000907B6" w:rsidRDefault="00953ED7" w14:paraId="34498C25" w14:textId="77777777">
      <w:pPr>
        <w:pStyle w:val="zGBody3"/>
        <w:numPr>
          <w:ilvl w:val="2"/>
          <w:numId w:val="31"/>
        </w:numPr>
        <w:spacing w:after="120"/>
        <w:rPr>
          <w:lang w:eastAsia="zh-CN"/>
        </w:rPr>
      </w:pPr>
      <w:r>
        <w:rPr>
          <w:lang w:eastAsia="zh-CN"/>
        </w:rPr>
        <w:t>Unless the inverter is fully integrated as part of the battery supplier’s product offering, proven integration experience must be provided between the inverter OEM and the battery supplier.</w:t>
      </w:r>
    </w:p>
    <w:p w:rsidR="00953ED7" w:rsidP="000907B6" w:rsidRDefault="00953ED7" w14:paraId="0492343F" w14:textId="25673235">
      <w:pPr>
        <w:pStyle w:val="zGBody3"/>
        <w:numPr>
          <w:ilvl w:val="2"/>
          <w:numId w:val="31"/>
        </w:numPr>
        <w:spacing w:after="120"/>
        <w:rPr>
          <w:lang w:eastAsia="zh-CN"/>
        </w:rPr>
      </w:pPr>
      <w:r>
        <w:rPr>
          <w:lang w:eastAsia="zh-CN"/>
        </w:rPr>
        <w:t>Inverter grid forming control points must be integrated into the Facility site control scheme, such that only controls change and site tuning will be required when GPC decides to enable grid forming features.</w:t>
      </w:r>
    </w:p>
    <w:p w:rsidR="00953ED7" w:rsidP="000907B6" w:rsidRDefault="00953ED7" w14:paraId="77EB0F54" w14:textId="77777777">
      <w:pPr>
        <w:pStyle w:val="zGBody3"/>
        <w:numPr>
          <w:ilvl w:val="2"/>
          <w:numId w:val="31"/>
        </w:numPr>
        <w:spacing w:after="120"/>
        <w:rPr>
          <w:lang w:eastAsia="zh-CN"/>
        </w:rPr>
      </w:pPr>
      <w:r>
        <w:rPr>
          <w:lang w:eastAsia="zh-CN"/>
        </w:rPr>
        <w:t>Inverter must be capable of providing reactive power support at zero active power, without reducing the state of charge of the battery (additional auxiliary power consumption shall be from the grid).</w:t>
      </w:r>
    </w:p>
    <w:p w:rsidRPr="004B0BBF" w:rsidR="00953ED7" w:rsidP="000907B6" w:rsidRDefault="00953ED7" w14:paraId="0FB7FD6F" w14:textId="77777777">
      <w:pPr>
        <w:pStyle w:val="zGBody2"/>
        <w:numPr>
          <w:ilvl w:val="1"/>
          <w:numId w:val="31"/>
        </w:numPr>
        <w:spacing w:before="120"/>
        <w:rPr>
          <w:u w:val="single"/>
        </w:rPr>
      </w:pPr>
      <w:bookmarkStart w:name="_Toc206673966" w:id="1571"/>
      <w:bookmarkStart w:name="_Toc227451697" w:id="1572"/>
      <w:r w:rsidRPr="002D2A8F">
        <w:rPr>
          <w:lang w:eastAsia="zh-CN"/>
        </w:rPr>
        <w:lastRenderedPageBreak/>
        <w:t>Facility Design</w:t>
      </w:r>
      <w:bookmarkEnd w:id="1571"/>
      <w:bookmarkEnd w:id="1572"/>
    </w:p>
    <w:p w:rsidRPr="002D2A8F" w:rsidR="00953ED7" w:rsidP="000907B6" w:rsidRDefault="00953ED7" w14:paraId="20823ECD" w14:textId="77777777">
      <w:pPr>
        <w:pStyle w:val="zGBody3"/>
        <w:numPr>
          <w:ilvl w:val="2"/>
          <w:numId w:val="31"/>
        </w:numPr>
        <w:spacing w:after="120"/>
        <w:rPr>
          <w:rFonts w:eastAsia="DengXian"/>
          <w:lang w:eastAsia="zh-CN"/>
        </w:rPr>
      </w:pPr>
      <w:r w:rsidRPr="002D2A8F">
        <w:rPr>
          <w:lang w:eastAsia="zh-CN"/>
        </w:rPr>
        <w:t xml:space="preserve">Facility engineering and design must account for BESS augmentation plan, including but not limited to site layout, </w:t>
      </w:r>
      <w:r w:rsidRPr="002D2A8F">
        <w:rPr>
          <w:rFonts w:eastAsia="DengXian"/>
          <w:lang w:eastAsia="zh-CN"/>
        </w:rPr>
        <w:t>block design, collection system design, aux power design, and controls design.</w:t>
      </w:r>
    </w:p>
    <w:p w:rsidRPr="002D2A8F" w:rsidR="00953ED7" w:rsidP="000907B6" w:rsidRDefault="00953ED7" w14:paraId="3FB01025" w14:textId="77777777">
      <w:pPr>
        <w:pStyle w:val="zGBody3"/>
        <w:numPr>
          <w:ilvl w:val="2"/>
          <w:numId w:val="31"/>
        </w:numPr>
        <w:spacing w:after="120"/>
        <w:rPr>
          <w:rFonts w:eastAsia="DengXian"/>
          <w:lang w:eastAsia="zh-CN"/>
        </w:rPr>
      </w:pPr>
      <w:r w:rsidRPr="002D2A8F">
        <w:rPr>
          <w:lang w:eastAsia="zh-CN"/>
        </w:rPr>
        <w:t xml:space="preserve">Battery enclosures must be spaced per </w:t>
      </w:r>
      <w:r>
        <w:rPr>
          <w:lang w:eastAsia="zh-CN"/>
        </w:rPr>
        <w:t xml:space="preserve">NFPA 855, </w:t>
      </w:r>
      <w:r>
        <w:rPr>
          <w:rFonts w:eastAsia="DengXian"/>
          <w:lang w:eastAsia="zh-CN"/>
        </w:rPr>
        <w:t>UL9540A testing results, state and local code, and AHJ requirements</w:t>
      </w:r>
      <w:r w:rsidRPr="002D2A8F">
        <w:rPr>
          <w:rFonts w:eastAsia="DengXian"/>
          <w:lang w:eastAsia="zh-CN"/>
        </w:rPr>
        <w:t>.</w:t>
      </w:r>
    </w:p>
    <w:p w:rsidRPr="002D2A8F" w:rsidR="00953ED7" w:rsidP="000907B6" w:rsidRDefault="00953ED7" w14:paraId="606834D4" w14:textId="77777777">
      <w:pPr>
        <w:pStyle w:val="zGBody3"/>
        <w:numPr>
          <w:ilvl w:val="2"/>
          <w:numId w:val="31"/>
        </w:numPr>
        <w:spacing w:after="120"/>
        <w:rPr>
          <w:rFonts w:eastAsia="DengXian"/>
          <w:lang w:eastAsia="zh-CN"/>
        </w:rPr>
      </w:pPr>
      <w:r w:rsidRPr="002D2A8F">
        <w:rPr>
          <w:lang w:eastAsia="zh-CN"/>
        </w:rPr>
        <w:t xml:space="preserve">Backup source must be provided for the BESS auxiliary power in case of extended grid outage to maintain </w:t>
      </w:r>
      <w:r w:rsidRPr="002D2A8F">
        <w:rPr>
          <w:rFonts w:eastAsia="DengXian"/>
          <w:lang w:eastAsia="zh-CN"/>
        </w:rPr>
        <w:t>power to the BESS BMS, EMS, fire protection system, and thermal management system (if required</w:t>
      </w:r>
      <w:r>
        <w:rPr>
          <w:rFonts w:eastAsia="DengXian"/>
          <w:lang w:eastAsia="zh-CN"/>
        </w:rPr>
        <w:t xml:space="preserve"> by BESS vendor</w:t>
      </w:r>
      <w:r w:rsidRPr="002D2A8F">
        <w:rPr>
          <w:rFonts w:eastAsia="DengXian"/>
          <w:lang w:eastAsia="zh-CN"/>
        </w:rPr>
        <w:t>).</w:t>
      </w:r>
    </w:p>
    <w:p w:rsidRPr="00D32A19" w:rsidR="00953ED7" w:rsidP="000907B6" w:rsidRDefault="00953ED7" w14:paraId="18BF9D9B" w14:textId="77777777">
      <w:pPr>
        <w:pStyle w:val="zGBody2"/>
        <w:numPr>
          <w:ilvl w:val="1"/>
          <w:numId w:val="31"/>
        </w:numPr>
        <w:spacing w:before="120"/>
      </w:pPr>
      <w:bookmarkStart w:name="_Toc206673967" w:id="1573"/>
      <w:bookmarkStart w:name="_Toc227451698" w:id="1574"/>
      <w:r w:rsidRPr="00D32A19">
        <w:t>Testing</w:t>
      </w:r>
      <w:bookmarkEnd w:id="1573"/>
      <w:bookmarkEnd w:id="1574"/>
    </w:p>
    <w:p w:rsidRPr="004D2BF6" w:rsidR="00953ED7" w:rsidP="000907B6" w:rsidRDefault="00953ED7" w14:paraId="0A0E0F11" w14:textId="569E7315">
      <w:pPr>
        <w:pStyle w:val="zGBody3"/>
        <w:numPr>
          <w:ilvl w:val="2"/>
          <w:numId w:val="31"/>
        </w:numPr>
        <w:spacing w:after="120"/>
      </w:pPr>
      <w:r w:rsidRPr="004D2BF6">
        <w:t xml:space="preserve">Continuous </w:t>
      </w:r>
      <w:r>
        <w:t>p</w:t>
      </w:r>
      <w:r w:rsidRPr="004D2BF6">
        <w:t xml:space="preserve">ower </w:t>
      </w:r>
      <w:r>
        <w:t>t</w:t>
      </w:r>
      <w:r w:rsidRPr="004D2BF6">
        <w:t xml:space="preserve">est, </w:t>
      </w:r>
      <w:r>
        <w:t>e</w:t>
      </w:r>
      <w:r w:rsidRPr="004D2BF6">
        <w:t xml:space="preserve">nergy </w:t>
      </w:r>
      <w:r>
        <w:t>c</w:t>
      </w:r>
      <w:r w:rsidRPr="004D2BF6">
        <w:t xml:space="preserve">apacity </w:t>
      </w:r>
      <w:r>
        <w:t>t</w:t>
      </w:r>
      <w:r w:rsidRPr="004D2BF6">
        <w:t xml:space="preserve">est, and RTE </w:t>
      </w:r>
      <w:r>
        <w:t>t</w:t>
      </w:r>
      <w:r w:rsidRPr="004D2BF6">
        <w:t xml:space="preserve">est must be performed for the </w:t>
      </w:r>
      <w:r>
        <w:t>BESS</w:t>
      </w:r>
      <w:r w:rsidRPr="004D2BF6">
        <w:t>.</w:t>
      </w:r>
    </w:p>
    <w:p w:rsidRPr="004D2BF6" w:rsidR="00953ED7" w:rsidP="000907B6" w:rsidRDefault="00953ED7" w14:paraId="5864A4CA" w14:textId="77777777">
      <w:pPr>
        <w:pStyle w:val="zGBody3"/>
        <w:numPr>
          <w:ilvl w:val="2"/>
          <w:numId w:val="31"/>
        </w:numPr>
        <w:spacing w:after="120"/>
      </w:pPr>
      <w:r w:rsidRPr="004D2BF6">
        <w:t xml:space="preserve">Testing must be performed to demonstrate the combined output of </w:t>
      </w:r>
      <w:r>
        <w:t>B</w:t>
      </w:r>
      <w:r w:rsidRPr="004D2BF6">
        <w:t>ESS and the Renewable Resource are controlled to mitigate equipment overload.</w:t>
      </w:r>
    </w:p>
    <w:p w:rsidRPr="004D2BF6" w:rsidR="00953ED7" w:rsidP="000907B6" w:rsidRDefault="00953ED7" w14:paraId="2812BA44" w14:textId="19AD600E">
      <w:pPr>
        <w:pStyle w:val="zGBody3"/>
        <w:numPr>
          <w:ilvl w:val="2"/>
          <w:numId w:val="31"/>
        </w:numPr>
        <w:spacing w:after="120"/>
      </w:pPr>
      <w:r w:rsidRPr="004D2BF6">
        <w:t>Technology specific characterization testing must be performed. (e.g., ramp rate testing) as per interconnection testing requirements.</w:t>
      </w:r>
    </w:p>
    <w:p w:rsidRPr="004D2BF6" w:rsidR="00953ED7" w:rsidP="000907B6" w:rsidRDefault="00953ED7" w14:paraId="71809738" w14:textId="6A944470">
      <w:pPr>
        <w:pStyle w:val="zGBody3"/>
        <w:numPr>
          <w:ilvl w:val="2"/>
          <w:numId w:val="31"/>
        </w:numPr>
        <w:spacing w:after="120"/>
      </w:pPr>
      <w:r w:rsidRPr="004D2BF6">
        <w:t>Additional testing must be performed as required by any applicable interconnection testing requirement and to demonstrate the Facility complies with the operational requirements set forth in the PPA (e.g., AGC testing).</w:t>
      </w:r>
    </w:p>
    <w:p w:rsidRPr="004B0BBF" w:rsidR="00953ED7" w:rsidP="000907B6" w:rsidRDefault="00953ED7" w14:paraId="6D363B59" w14:textId="77777777">
      <w:pPr>
        <w:pStyle w:val="zGBody2"/>
        <w:numPr>
          <w:ilvl w:val="1"/>
          <w:numId w:val="31"/>
        </w:numPr>
        <w:spacing w:before="120"/>
        <w:rPr>
          <w:u w:val="single"/>
        </w:rPr>
      </w:pPr>
      <w:bookmarkStart w:name="_Toc206673968" w:id="1575"/>
      <w:bookmarkStart w:name="_Toc227451699" w:id="1576"/>
      <w:r w:rsidRPr="002D2A8F">
        <w:rPr>
          <w:lang w:eastAsia="zh-CN"/>
        </w:rPr>
        <w:t xml:space="preserve">End-of Life Disposal </w:t>
      </w:r>
      <w:r w:rsidRPr="00A455E9">
        <w:t>/ Demolition</w:t>
      </w:r>
      <w:bookmarkEnd w:id="1575"/>
      <w:bookmarkEnd w:id="1576"/>
      <w:r w:rsidRPr="004B0BBF">
        <w:rPr>
          <w:u w:val="single"/>
        </w:rPr>
        <w:t xml:space="preserve"> </w:t>
      </w:r>
    </w:p>
    <w:p w:rsidRPr="001E5670" w:rsidR="00953ED7" w:rsidP="000907B6" w:rsidRDefault="00953ED7" w14:paraId="548FB6D9" w14:textId="77777777">
      <w:pPr>
        <w:pStyle w:val="zGBody3"/>
        <w:numPr>
          <w:ilvl w:val="2"/>
          <w:numId w:val="31"/>
        </w:numPr>
        <w:spacing w:after="120"/>
        <w:rPr>
          <w:rFonts w:eastAsia="DengXian"/>
          <w:lang w:eastAsia="zh-CN"/>
        </w:rPr>
      </w:pPr>
      <w:r w:rsidRPr="002D2A8F">
        <w:rPr>
          <w:lang w:eastAsia="zh-CN"/>
        </w:rPr>
        <w:t>Description of the end-of-life disposal/recycling plan to be included in the bid form.</w:t>
      </w:r>
    </w:p>
    <w:p w:rsidR="0091009F" w:rsidP="000907B6" w:rsidRDefault="002901C5" w14:paraId="314F87B7" w14:textId="3E2EB3AF">
      <w:pPr>
        <w:pStyle w:val="zGBody2"/>
        <w:numPr>
          <w:ilvl w:val="1"/>
          <w:numId w:val="31"/>
        </w:numPr>
        <w:spacing w:before="120"/>
      </w:pPr>
      <w:bookmarkStart w:name="_Toc206673969" w:id="1577"/>
      <w:bookmarkStart w:name="_Toc227451700" w:id="1578"/>
      <w:r>
        <w:t>Sourcing Restrictions</w:t>
      </w:r>
      <w:bookmarkEnd w:id="1577"/>
      <w:bookmarkEnd w:id="1578"/>
      <w:r>
        <w:t xml:space="preserve"> </w:t>
      </w:r>
    </w:p>
    <w:p w:rsidRPr="0091009F" w:rsidR="002901C5" w:rsidP="000907B6" w:rsidRDefault="00194F99" w14:paraId="46750EBF" w14:textId="613E1822">
      <w:pPr>
        <w:pStyle w:val="zGBody3"/>
        <w:numPr>
          <w:ilvl w:val="2"/>
          <w:numId w:val="31"/>
        </w:numPr>
        <w:spacing w:after="120"/>
      </w:pPr>
      <w:bookmarkStart w:name="_Hlk206671044" w:id="1579"/>
      <w:r>
        <w:rPr>
          <w:lang w:eastAsia="zh-CN"/>
        </w:rPr>
        <w:t>Programmable electronic components of the (i) BMS, (ii) BESS Controller, and (iii) Site Controller (including controls, hardware</w:t>
      </w:r>
      <w:r w:rsidR="008D1159">
        <w:rPr>
          <w:lang w:eastAsia="zh-CN"/>
        </w:rPr>
        <w:t>,</w:t>
      </w:r>
      <w:r>
        <w:rPr>
          <w:lang w:eastAsia="zh-CN"/>
        </w:rPr>
        <w:t xml:space="preserve"> and software) must not be sourced from or manufactured by Foreign Entities of Concern or other restricted countries, as further described in PPA Section 10.13.1 (Sourcing Restrictions).  </w:t>
      </w:r>
      <w:bookmarkEnd w:id="1579"/>
    </w:p>
    <w:p w:rsidRPr="00637DE0" w:rsidR="002D54C4" w:rsidP="0020198A" w:rsidRDefault="008B55A2" w14:paraId="27CAB8AE" w14:textId="77777777">
      <w:pPr>
        <w:pStyle w:val="zGBody1"/>
        <w:rPr>
          <w:rFonts w:ascii="Arial" w:hAnsi="Arial" w:eastAsia="DengXian"/>
          <w:b w:val="0"/>
          <w:lang w:eastAsia="zh-CN"/>
        </w:rPr>
      </w:pPr>
      <w:bookmarkStart w:name="_Toc206673970" w:id="1580"/>
      <w:bookmarkStart w:name="_Toc227451701" w:id="1581"/>
      <w:r>
        <w:rPr>
          <w:lang w:eastAsia="zh-CN"/>
        </w:rPr>
        <w:t>Acknowledgment</w:t>
      </w:r>
      <w:r>
        <w:rPr>
          <w:rFonts w:ascii="Arial" w:hAnsi="Arial" w:eastAsia="DengXian"/>
          <w:b w:val="0"/>
          <w:lang w:eastAsia="zh-CN"/>
        </w:rPr>
        <w:t>:</w:t>
      </w:r>
      <w:bookmarkEnd w:id="1580"/>
      <w:bookmarkEnd w:id="1581"/>
      <w:r>
        <w:rPr>
          <w:rFonts w:ascii="Arial" w:hAnsi="Arial" w:eastAsia="DengXian"/>
          <w:b w:val="0"/>
          <w:lang w:eastAsia="zh-CN"/>
        </w:rPr>
        <w:t xml:space="preserve"> </w:t>
      </w:r>
    </w:p>
    <w:p w:rsidRPr="00637DE0" w:rsidR="002D54C4" w:rsidP="002D54C4" w:rsidRDefault="008B55A2" w14:paraId="271BC0C8" w14:textId="77777777">
      <w:pPr>
        <w:suppressAutoHyphens/>
        <w:spacing w:after="240"/>
        <w:rPr>
          <w:rFonts w:ascii="Arial" w:hAnsi="Arial" w:eastAsia="DengXian" w:cs="Arial"/>
          <w:sz w:val="20"/>
          <w:szCs w:val="20"/>
          <w:lang w:eastAsia="zh-CN"/>
        </w:rPr>
      </w:pPr>
      <w:r>
        <w:rPr>
          <w:rFonts w:ascii="Arial" w:hAnsi="Arial" w:eastAsia="DengXian" w:cs="Arial"/>
          <w:sz w:val="20"/>
          <w:szCs w:val="20"/>
          <w:lang w:eastAsia="zh-CN"/>
        </w:rPr>
        <w:t>Seller hereby confirms that it will meet these requirements and provide evidence of Seller’s compliance with all referenced information to GPC upon request.</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00AE51F9" w14:paraId="43224950" w14:textId="77777777">
        <w:trPr>
          <w:cantSplit/>
          <w:trHeight w:val="432"/>
        </w:trPr>
        <w:tc>
          <w:tcPr>
            <w:tcW w:w="5130" w:type="dxa"/>
            <w:gridSpan w:val="3"/>
          </w:tcPr>
          <w:p w:rsidRPr="0020198A" w:rsidR="002D54C4" w:rsidRDefault="008B55A2" w14:paraId="6EBF7CC3" w14:textId="77777777">
            <w:pPr>
              <w:keepNext/>
              <w:keepLines/>
              <w:widowControl w:val="0"/>
              <w:autoSpaceDE w:val="0"/>
              <w:autoSpaceDN w:val="0"/>
              <w:adjustRightInd w:val="0"/>
              <w:rPr>
                <w:rFonts w:ascii="Arial" w:hAnsi="Arial" w:eastAsia="Yu Mincho" w:cs="Arial"/>
                <w:b/>
                <w:spacing w:val="-6"/>
                <w:kern w:val="14"/>
                <w:sz w:val="24"/>
                <w:szCs w:val="24"/>
              </w:rPr>
            </w:pPr>
            <w:r>
              <w:rPr>
                <w:rFonts w:ascii="Arial" w:hAnsi="Arial" w:eastAsia="Yu Mincho" w:cs="Arial"/>
                <w:b/>
                <w:spacing w:val="-6"/>
                <w:kern w:val="14"/>
                <w:sz w:val="24"/>
                <w:szCs w:val="24"/>
                <w:highlight w:val="yellow"/>
              </w:rPr>
              <w:t>#SellerLegalName#</w:t>
            </w:r>
          </w:p>
        </w:tc>
      </w:tr>
      <w:tr w:rsidR="00AE51F9" w14:paraId="13D80860" w14:textId="77777777">
        <w:trPr>
          <w:gridAfter w:val="1"/>
          <w:wAfter w:w="29" w:type="dxa"/>
          <w:cantSplit/>
          <w:trHeight w:val="504"/>
        </w:trPr>
        <w:tc>
          <w:tcPr>
            <w:tcW w:w="1008" w:type="dxa"/>
            <w:vAlign w:val="bottom"/>
          </w:tcPr>
          <w:p w:rsidRPr="00637DE0" w:rsidR="002D54C4" w:rsidRDefault="008B55A2" w14:paraId="1563614D"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By:</w:t>
            </w:r>
          </w:p>
        </w:tc>
        <w:tc>
          <w:tcPr>
            <w:tcW w:w="4093" w:type="dxa"/>
            <w:tcBorders>
              <w:bottom w:val="single" w:color="auto" w:sz="4" w:space="0"/>
            </w:tcBorders>
            <w:vAlign w:val="bottom"/>
          </w:tcPr>
          <w:p w:rsidRPr="00637DE0" w:rsidR="002D54C4" w:rsidRDefault="002D54C4" w14:paraId="20987548" w14:textId="77777777">
            <w:pPr>
              <w:keepLines/>
              <w:rPr>
                <w:rFonts w:ascii="Arial" w:hAnsi="Arial" w:eastAsia="Calibri" w:cs="Arial"/>
                <w:sz w:val="20"/>
                <w:szCs w:val="20"/>
              </w:rPr>
            </w:pPr>
          </w:p>
        </w:tc>
      </w:tr>
      <w:tr w:rsidR="00AE51F9" w14:paraId="6E0BBCEC" w14:textId="77777777">
        <w:trPr>
          <w:gridAfter w:val="1"/>
          <w:wAfter w:w="29" w:type="dxa"/>
          <w:cantSplit/>
          <w:trHeight w:val="504"/>
        </w:trPr>
        <w:tc>
          <w:tcPr>
            <w:tcW w:w="1008" w:type="dxa"/>
            <w:vAlign w:val="bottom"/>
          </w:tcPr>
          <w:p w:rsidRPr="00637DE0" w:rsidR="002D54C4" w:rsidRDefault="008B55A2" w14:paraId="61C60DB6"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Name</w:t>
            </w:r>
          </w:p>
          <w:p w:rsidRPr="00637DE0" w:rsidR="002D54C4" w:rsidRDefault="008B55A2" w14:paraId="0608D9DC"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Printed:</w:t>
            </w:r>
          </w:p>
        </w:tc>
        <w:tc>
          <w:tcPr>
            <w:tcW w:w="4093" w:type="dxa"/>
            <w:tcBorders>
              <w:top w:val="single" w:color="auto" w:sz="4" w:space="0"/>
              <w:bottom w:val="single" w:color="auto" w:sz="4" w:space="0"/>
            </w:tcBorders>
            <w:vAlign w:val="bottom"/>
          </w:tcPr>
          <w:p w:rsidRPr="00637DE0" w:rsidR="002D54C4" w:rsidRDefault="002D54C4" w14:paraId="1C9A7F20" w14:textId="77777777">
            <w:pPr>
              <w:keepLines/>
              <w:rPr>
                <w:rFonts w:ascii="Arial" w:hAnsi="Arial" w:eastAsia="Calibri" w:cs="Arial"/>
                <w:sz w:val="20"/>
                <w:szCs w:val="20"/>
              </w:rPr>
            </w:pPr>
          </w:p>
        </w:tc>
      </w:tr>
      <w:tr w:rsidR="00AE51F9" w14:paraId="0331DEB4" w14:textId="77777777">
        <w:trPr>
          <w:gridAfter w:val="1"/>
          <w:wAfter w:w="29" w:type="dxa"/>
          <w:cantSplit/>
          <w:trHeight w:val="504"/>
        </w:trPr>
        <w:tc>
          <w:tcPr>
            <w:tcW w:w="1008" w:type="dxa"/>
            <w:vAlign w:val="bottom"/>
          </w:tcPr>
          <w:p w:rsidRPr="00637DE0" w:rsidR="002D54C4" w:rsidRDefault="008B55A2" w14:paraId="535BA2D1"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Title:</w:t>
            </w:r>
          </w:p>
        </w:tc>
        <w:tc>
          <w:tcPr>
            <w:tcW w:w="4093" w:type="dxa"/>
            <w:tcBorders>
              <w:top w:val="single" w:color="auto" w:sz="4" w:space="0"/>
              <w:bottom w:val="single" w:color="auto" w:sz="4" w:space="0"/>
            </w:tcBorders>
            <w:vAlign w:val="bottom"/>
          </w:tcPr>
          <w:p w:rsidRPr="00637DE0" w:rsidR="002D54C4" w:rsidRDefault="002D54C4" w14:paraId="7D821A24" w14:textId="77777777">
            <w:pPr>
              <w:keepLines/>
              <w:rPr>
                <w:rFonts w:ascii="Arial" w:hAnsi="Arial" w:eastAsia="Calibri" w:cs="Arial"/>
                <w:sz w:val="20"/>
                <w:szCs w:val="20"/>
              </w:rPr>
            </w:pPr>
          </w:p>
        </w:tc>
      </w:tr>
      <w:tr w:rsidR="00AE51F9" w14:paraId="49BE9EDD" w14:textId="77777777">
        <w:trPr>
          <w:gridAfter w:val="1"/>
          <w:wAfter w:w="29" w:type="dxa"/>
          <w:cantSplit/>
          <w:trHeight w:val="504"/>
        </w:trPr>
        <w:tc>
          <w:tcPr>
            <w:tcW w:w="1008" w:type="dxa"/>
            <w:vAlign w:val="bottom"/>
          </w:tcPr>
          <w:p w:rsidRPr="00637DE0" w:rsidR="002D54C4" w:rsidRDefault="008B55A2" w14:paraId="2B394A2D"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Date:</w:t>
            </w:r>
          </w:p>
        </w:tc>
        <w:tc>
          <w:tcPr>
            <w:tcW w:w="4093" w:type="dxa"/>
            <w:tcBorders>
              <w:top w:val="single" w:color="auto" w:sz="4" w:space="0"/>
              <w:bottom w:val="single" w:color="auto" w:sz="4" w:space="0"/>
            </w:tcBorders>
            <w:vAlign w:val="bottom"/>
          </w:tcPr>
          <w:p w:rsidRPr="00637DE0" w:rsidR="002D54C4" w:rsidRDefault="002D54C4" w14:paraId="4FDF6F53" w14:textId="77777777">
            <w:pPr>
              <w:keepLines/>
              <w:rPr>
                <w:rFonts w:ascii="Arial" w:hAnsi="Arial" w:eastAsia="Calibri" w:cs="Arial"/>
                <w:sz w:val="20"/>
                <w:szCs w:val="20"/>
              </w:rPr>
            </w:pPr>
          </w:p>
        </w:tc>
      </w:tr>
    </w:tbl>
    <w:p w:rsidR="0020198A" w:rsidRDefault="008B55A2" w14:paraId="30E16AB7" w14:textId="77777777">
      <w:pPr>
        <w:rPr>
          <w:highlight w:val="yellow"/>
        </w:rPr>
        <w:sectPr w:rsidR="0020198A" w:rsidSect="00226062">
          <w:headerReference w:type="even" r:id="rId90"/>
          <w:headerReference w:type="default" r:id="rId91"/>
          <w:footerReference w:type="even" r:id="rId92"/>
          <w:footerReference w:type="default" r:id="rId93"/>
          <w:headerReference w:type="first" r:id="rId94"/>
          <w:footerReference w:type="first" r:id="rId95"/>
          <w:pgSz w:w="12240" w:h="15840" w:code="1"/>
          <w:pgMar w:top="1440" w:right="1440" w:bottom="1440" w:left="1440" w:header="720" w:footer="720" w:gutter="0"/>
          <w:paperSrc w:first="15" w:other="15"/>
          <w:cols w:space="1440"/>
        </w:sectPr>
      </w:pPr>
      <w:bookmarkStart w:name="_Toc153987178" w:id="1582"/>
      <w:bookmarkStart w:name="_Hlk140686690" w:id="1583"/>
      <w:r>
        <w:rPr>
          <w:highlight w:val="yellow"/>
        </w:rPr>
        <w:br w:type="page"/>
      </w:r>
    </w:p>
    <w:p w:rsidR="00050A04" w:rsidP="004B0BBF" w:rsidRDefault="00050A04" w14:paraId="52C7AD92" w14:textId="77777777">
      <w:pPr>
        <w:pStyle w:val="zGTitleExhibit"/>
      </w:pPr>
      <w:bookmarkStart w:name="_Toc160749236" w:id="1584"/>
    </w:p>
    <w:p w:rsidRPr="008837F5" w:rsidR="002D54C4" w:rsidP="00C243AB" w:rsidRDefault="008B55A2" w14:paraId="515A91A1" w14:textId="607EE220">
      <w:pPr>
        <w:pStyle w:val="zGTitleExhibit"/>
      </w:pPr>
      <w:bookmarkStart w:name="_Toc174624989" w:id="1585"/>
      <w:bookmarkStart w:name="_Toc194937605" w:id="1586"/>
      <w:bookmarkStart w:name="_Toc227451702" w:id="1587"/>
      <w:r>
        <w:t xml:space="preserve">Exhibit J – </w:t>
      </w:r>
      <w:bookmarkEnd w:id="1585"/>
      <w:r>
        <w:t>Form of Commercial Operation Completion Certificate</w:t>
      </w:r>
      <w:bookmarkStart w:name="_DV_M340" w:id="1588"/>
      <w:bookmarkEnd w:id="1582"/>
      <w:bookmarkEnd w:id="1583"/>
      <w:bookmarkEnd w:id="1584"/>
      <w:bookmarkEnd w:id="1586"/>
      <w:bookmarkEnd w:id="1587"/>
      <w:bookmarkEnd w:id="1588"/>
    </w:p>
    <w:p w:rsidRPr="002D2A8F" w:rsidR="00545554" w:rsidP="004B0BBF" w:rsidRDefault="008B55A2" w14:paraId="62BE5CD0" w14:textId="77777777">
      <w:pPr>
        <w:spacing w:before="120" w:after="0"/>
        <w:rPr>
          <w:rFonts w:ascii="Arial" w:hAnsi="Arial" w:eastAsia="Times New Roman" w:cs="Arial"/>
          <w:sz w:val="20"/>
          <w:szCs w:val="20"/>
        </w:rPr>
      </w:pPr>
      <w:r>
        <w:rPr>
          <w:rFonts w:ascii="Arial" w:hAnsi="Arial" w:eastAsia="Times New Roman" w:cs="Arial"/>
          <w:sz w:val="20"/>
          <w:szCs w:val="20"/>
        </w:rPr>
        <w:t>Georgia Power Company</w:t>
      </w:r>
    </w:p>
    <w:p w:rsidRPr="003C7374" w:rsidR="00545554" w:rsidP="003C7374" w:rsidRDefault="008B55A2" w14:paraId="3BFB80EA" w14:textId="77777777">
      <w:pPr>
        <w:pStyle w:val="zGTableTxt10"/>
        <w:widowControl/>
        <w:autoSpaceDE/>
        <w:autoSpaceDN/>
        <w:adjustRightInd/>
        <w:spacing w:line="276" w:lineRule="auto"/>
        <w:rPr>
          <w:rFonts w:eastAsia="Times New Roman"/>
        </w:rPr>
      </w:pPr>
      <w:bookmarkStart w:name="_DV_M341" w:id="1589"/>
      <w:bookmarkEnd w:id="1589"/>
      <w:r>
        <w:rPr>
          <w:rFonts w:eastAsia="Times New Roman"/>
          <w:spacing w:val="0"/>
          <w:kern w:val="0"/>
        </w:rPr>
        <w:t>Resource Planning Director/</w:t>
      </w:r>
      <w:r>
        <w:rPr>
          <w:rFonts w:eastAsia="Times New Roman"/>
        </w:rPr>
        <w:t>Capacity Procurement Manager</w:t>
      </w:r>
    </w:p>
    <w:p w:rsidRPr="002D2A8F" w:rsidR="00545554" w:rsidP="00545554" w:rsidRDefault="008B55A2" w14:paraId="3A8D5352" w14:textId="77777777">
      <w:pPr>
        <w:spacing w:after="0"/>
        <w:rPr>
          <w:rFonts w:ascii="Arial" w:hAnsi="Arial" w:eastAsia="Times New Roman" w:cs="Arial"/>
          <w:sz w:val="20"/>
          <w:szCs w:val="20"/>
        </w:rPr>
      </w:pPr>
      <w:bookmarkStart w:name="_DV_M342" w:id="1590"/>
      <w:bookmarkEnd w:id="1590"/>
      <w:r>
        <w:rPr>
          <w:rFonts w:ascii="Arial" w:hAnsi="Arial" w:eastAsia="Times New Roman" w:cs="Arial"/>
          <w:sz w:val="20"/>
          <w:szCs w:val="20"/>
        </w:rPr>
        <w:t>Bin 10196</w:t>
      </w:r>
    </w:p>
    <w:p w:rsidRPr="002D2A8F" w:rsidR="00545554" w:rsidP="00545554" w:rsidRDefault="008B55A2" w14:paraId="5AC2411C" w14:textId="77777777">
      <w:pPr>
        <w:spacing w:after="0"/>
        <w:rPr>
          <w:rFonts w:ascii="Arial" w:hAnsi="Arial" w:eastAsia="Times New Roman" w:cs="Arial"/>
          <w:sz w:val="20"/>
          <w:szCs w:val="20"/>
        </w:rPr>
      </w:pPr>
      <w:bookmarkStart w:name="_DV_M343" w:id="1591"/>
      <w:bookmarkEnd w:id="1591"/>
      <w:r>
        <w:rPr>
          <w:rFonts w:ascii="Arial" w:hAnsi="Arial" w:eastAsia="Times New Roman" w:cs="Arial"/>
          <w:sz w:val="20"/>
          <w:szCs w:val="20"/>
        </w:rPr>
        <w:t>241 Ralph McGill Blvd.</w:t>
      </w:r>
      <w:bookmarkStart w:name="_DV_M344" w:id="1592"/>
      <w:bookmarkEnd w:id="1592"/>
    </w:p>
    <w:p w:rsidRPr="005B048C" w:rsidR="00545554" w:rsidP="005B048C" w:rsidRDefault="008B55A2" w14:paraId="6948C495" w14:textId="77777777">
      <w:pPr>
        <w:pStyle w:val="zGTableTxt10"/>
        <w:widowControl/>
        <w:autoSpaceDE/>
        <w:autoSpaceDN/>
        <w:adjustRightInd/>
        <w:spacing w:line="276" w:lineRule="auto"/>
        <w:rPr>
          <w:rFonts w:eastAsia="Times New Roman"/>
        </w:rPr>
      </w:pPr>
      <w:r>
        <w:rPr>
          <w:rFonts w:eastAsia="Times New Roman"/>
          <w:spacing w:val="0"/>
          <w:kern w:val="0"/>
        </w:rPr>
        <w:t>Atlanta, Georgia 30308</w:t>
      </w:r>
    </w:p>
    <w:p w:rsidRPr="00B85D87" w:rsidR="00545554" w:rsidP="00B85D87" w:rsidRDefault="00545554" w14:paraId="27AA7A2C" w14:textId="77777777">
      <w:pPr>
        <w:pStyle w:val="zGTableTxt10"/>
        <w:widowControl/>
        <w:autoSpaceDE/>
        <w:autoSpaceDN/>
        <w:adjustRightInd/>
        <w:spacing w:line="276" w:lineRule="auto"/>
        <w:rPr>
          <w:rFonts w:eastAsia="Times New Roman"/>
          <w:spacing w:val="0"/>
          <w:kern w:val="0"/>
        </w:rPr>
      </w:pPr>
    </w:p>
    <w:p w:rsidRPr="002D2A8F" w:rsidR="00545554" w:rsidP="00545554" w:rsidRDefault="008B55A2" w14:paraId="521DAEFE" w14:textId="44953637">
      <w:pPr>
        <w:jc w:val="both"/>
        <w:rPr>
          <w:rFonts w:ascii="Arial" w:hAnsi="Arial" w:eastAsia="Times New Roman" w:cs="Arial"/>
          <w:sz w:val="20"/>
          <w:szCs w:val="20"/>
        </w:rPr>
      </w:pPr>
      <w:bookmarkStart w:name="_DV_M345" w:id="1593"/>
      <w:bookmarkStart w:name="_DV_M346" w:id="1594"/>
      <w:bookmarkEnd w:id="1593"/>
      <w:bookmarkEnd w:id="1594"/>
      <w:r>
        <w:rPr>
          <w:rFonts w:ascii="Arial" w:hAnsi="Arial" w:eastAsia="Times New Roman" w:cs="Arial"/>
          <w:sz w:val="20"/>
          <w:szCs w:val="20"/>
        </w:rPr>
        <w:t>Re:</w:t>
      </w:r>
      <w:r>
        <w:rPr>
          <w:rFonts w:ascii="Arial" w:hAnsi="Arial" w:eastAsia="Times New Roman" w:cs="Arial"/>
          <w:b/>
          <w:sz w:val="20"/>
          <w:szCs w:val="20"/>
        </w:rPr>
        <w:t xml:space="preserve"> </w:t>
      </w:r>
      <w:r>
        <w:rPr>
          <w:rFonts w:ascii="Arial" w:hAnsi="Arial" w:eastAsia="Times New Roman" w:cs="Arial"/>
          <w:sz w:val="20"/>
          <w:szCs w:val="20"/>
        </w:rPr>
        <w:t xml:space="preserve">Commercial Operation Completion Certificate – Power </w:t>
      </w:r>
      <w:r>
        <w:rPr>
          <w:rFonts w:ascii="Arial" w:hAnsi="Arial" w:cs="Arial"/>
          <w:bCs/>
          <w:sz w:val="20"/>
          <w:szCs w:val="20"/>
        </w:rPr>
        <w:t>Purchase Agreement for Firm Capacity, Energy Storage Services, and Ancillary Services from a Battery Energy Storage System</w:t>
      </w:r>
      <w:r w:rsidR="00AF431C">
        <w:rPr>
          <w:rFonts w:ascii="Arial" w:hAnsi="Arial" w:cs="Arial"/>
          <w:bCs/>
          <w:sz w:val="20"/>
          <w:szCs w:val="20"/>
        </w:rPr>
        <w:t xml:space="preserve"> [</w:t>
      </w:r>
      <w:r w:rsidRPr="00AF431C" w:rsidR="00AF431C">
        <w:rPr>
          <w:rFonts w:ascii="Arial" w:hAnsi="Arial" w:cs="Arial"/>
          <w:bCs/>
          <w:sz w:val="20"/>
          <w:szCs w:val="20"/>
          <w:highlight w:val="yellow"/>
        </w:rPr>
        <w:t>Paired with a Renewable Resource</w:t>
      </w:r>
      <w:r w:rsidR="00AF431C">
        <w:rPr>
          <w:rFonts w:ascii="Arial" w:hAnsi="Arial" w:cs="Arial"/>
          <w:bCs/>
          <w:sz w:val="20"/>
          <w:szCs w:val="20"/>
        </w:rPr>
        <w:t>]</w:t>
      </w:r>
      <w:r>
        <w:rPr>
          <w:rFonts w:ascii="Arial" w:hAnsi="Arial" w:cs="Arial"/>
          <w:bCs/>
          <w:sz w:val="20"/>
          <w:szCs w:val="20"/>
        </w:rPr>
        <w:t xml:space="preserve"> </w:t>
      </w:r>
      <w:r w:rsidR="00E6499E">
        <w:rPr>
          <w:rFonts w:ascii="Arial" w:hAnsi="Arial" w:cs="Arial"/>
          <w:bCs/>
          <w:sz w:val="20"/>
          <w:szCs w:val="20"/>
        </w:rPr>
        <w:t xml:space="preserve">for </w:t>
      </w:r>
      <w:r w:rsidR="0049725F">
        <w:rPr>
          <w:rFonts w:ascii="Arial" w:hAnsi="Arial" w:cs="Arial"/>
          <w:bCs/>
          <w:sz w:val="20"/>
          <w:szCs w:val="20"/>
        </w:rPr>
        <w:t>2026 All-Source Capacity Request for Proposals for Need Years 2032</w:t>
      </w:r>
      <w:r w:rsidR="000F49F2">
        <w:rPr>
          <w:rFonts w:ascii="Arial" w:hAnsi="Arial" w:cs="Arial"/>
          <w:bCs/>
          <w:sz w:val="20"/>
          <w:szCs w:val="20"/>
        </w:rPr>
        <w:t>-</w:t>
      </w:r>
      <w:r w:rsidR="0049725F">
        <w:rPr>
          <w:rFonts w:ascii="Arial" w:hAnsi="Arial" w:cs="Arial"/>
          <w:bCs/>
          <w:sz w:val="20"/>
          <w:szCs w:val="20"/>
        </w:rPr>
        <w:t>2033</w:t>
      </w:r>
      <w:r w:rsidR="00E6499E">
        <w:rPr>
          <w:rFonts w:ascii="Arial" w:hAnsi="Arial" w:cs="Arial"/>
          <w:bCs/>
          <w:sz w:val="20"/>
          <w:szCs w:val="20"/>
        </w:rPr>
        <w:t xml:space="preserve"> </w:t>
      </w:r>
      <w:r>
        <w:rPr>
          <w:rFonts w:ascii="Arial" w:hAnsi="Arial" w:cs="Arial"/>
          <w:bCs/>
          <w:sz w:val="20"/>
          <w:szCs w:val="20"/>
        </w:rPr>
        <w:t>at</w:t>
      </w:r>
      <w:r>
        <w:rPr>
          <w:rFonts w:ascii="Arial" w:hAnsi="Arial" w:cs="Arial"/>
          <w:b/>
          <w:sz w:val="20"/>
          <w:szCs w:val="20"/>
        </w:rPr>
        <w:t xml:space="preserve"> </w:t>
      </w:r>
      <w:r>
        <w:rPr>
          <w:rFonts w:ascii="Arial" w:hAnsi="Arial" w:cs="Arial"/>
          <w:b/>
          <w:sz w:val="20"/>
          <w:szCs w:val="20"/>
          <w:highlight w:val="yellow"/>
        </w:rPr>
        <w:t>#FacilityName#</w:t>
      </w:r>
      <w:r>
        <w:rPr>
          <w:rFonts w:ascii="Arial" w:hAnsi="Arial" w:cs="Arial"/>
          <w:sz w:val="20"/>
          <w:szCs w:val="20"/>
        </w:rPr>
        <w:t xml:space="preserve"> dated as of </w:t>
      </w:r>
      <w:r>
        <w:rPr>
          <w:rFonts w:ascii="Arial" w:hAnsi="Arial" w:cs="Arial"/>
          <w:color w:val="000000" w:themeColor="text1"/>
          <w:sz w:val="20"/>
          <w:szCs w:val="20"/>
        </w:rPr>
        <w:t xml:space="preserve">______ ___, </w:t>
      </w:r>
      <w:r>
        <w:rPr>
          <w:rFonts w:ascii="Arial" w:hAnsi="Arial" w:cs="Arial"/>
          <w:sz w:val="20"/>
          <w:szCs w:val="20"/>
        </w:rPr>
        <w:t>20__</w:t>
      </w:r>
      <w:r>
        <w:rPr>
          <w:rFonts w:ascii="Arial" w:hAnsi="Arial" w:eastAsia="Times New Roman" w:cs="Arial"/>
          <w:sz w:val="20"/>
          <w:szCs w:val="20"/>
        </w:rPr>
        <w:t xml:space="preserve"> between </w:t>
      </w:r>
      <w:r>
        <w:rPr>
          <w:rFonts w:ascii="Arial" w:hAnsi="Arial" w:eastAsia="Times New Roman" w:cs="Arial"/>
          <w:b/>
          <w:sz w:val="20"/>
          <w:szCs w:val="20"/>
        </w:rPr>
        <w:t>Georgia Power Company</w:t>
      </w:r>
      <w:r>
        <w:rPr>
          <w:rFonts w:ascii="Arial" w:hAnsi="Arial" w:eastAsia="Times New Roman" w:cs="Arial"/>
          <w:sz w:val="20"/>
          <w:szCs w:val="20"/>
        </w:rPr>
        <w:t xml:space="preserve"> (“</w:t>
      </w:r>
      <w:r>
        <w:rPr>
          <w:rFonts w:ascii="Arial" w:hAnsi="Arial" w:eastAsia="Times New Roman" w:cs="Arial"/>
          <w:b/>
          <w:sz w:val="20"/>
          <w:szCs w:val="20"/>
        </w:rPr>
        <w:t>GPC</w:t>
      </w:r>
      <w:r>
        <w:rPr>
          <w:rFonts w:ascii="Arial" w:hAnsi="Arial" w:eastAsia="Times New Roman" w:cs="Arial"/>
          <w:sz w:val="20"/>
          <w:szCs w:val="20"/>
        </w:rPr>
        <w:t xml:space="preserve">”) and </w:t>
      </w:r>
      <w:r>
        <w:rPr>
          <w:rFonts w:ascii="Arial" w:hAnsi="Arial" w:eastAsia="Calibri" w:cs="Arial"/>
          <w:b/>
          <w:color w:val="000000"/>
          <w:sz w:val="20"/>
          <w:szCs w:val="20"/>
          <w:highlight w:val="yellow"/>
        </w:rPr>
        <w:t>#SellerLegalName#</w:t>
      </w:r>
      <w:r>
        <w:rPr>
          <w:rFonts w:ascii="Arial" w:hAnsi="Arial" w:eastAsia="Times New Roman" w:cs="Arial"/>
          <w:sz w:val="20"/>
          <w:szCs w:val="20"/>
        </w:rPr>
        <w:t xml:space="preserve"> (“</w:t>
      </w:r>
      <w:r>
        <w:rPr>
          <w:rFonts w:ascii="Arial" w:hAnsi="Arial" w:eastAsia="Times New Roman" w:cs="Arial"/>
          <w:b/>
          <w:sz w:val="20"/>
          <w:szCs w:val="20"/>
        </w:rPr>
        <w:t>Seller</w:t>
      </w:r>
      <w:r>
        <w:rPr>
          <w:rFonts w:ascii="Arial" w:hAnsi="Arial" w:eastAsia="Times New Roman" w:cs="Arial"/>
          <w:sz w:val="20"/>
          <w:szCs w:val="20"/>
        </w:rPr>
        <w:t xml:space="preserve">”) </w:t>
      </w:r>
      <w:r>
        <w:rPr>
          <w:rFonts w:ascii="Arial" w:hAnsi="Arial" w:cs="Arial"/>
          <w:sz w:val="20"/>
          <w:szCs w:val="20"/>
        </w:rPr>
        <w:t>(“</w:t>
      </w:r>
      <w:r>
        <w:rPr>
          <w:rFonts w:ascii="Arial" w:hAnsi="Arial" w:cs="Arial"/>
          <w:b/>
          <w:sz w:val="20"/>
          <w:szCs w:val="20"/>
        </w:rPr>
        <w:t>PPA</w:t>
      </w:r>
      <w:r>
        <w:rPr>
          <w:rFonts w:ascii="Arial" w:hAnsi="Arial" w:cs="Arial"/>
          <w:sz w:val="20"/>
          <w:szCs w:val="20"/>
        </w:rPr>
        <w:t>”).</w:t>
      </w:r>
    </w:p>
    <w:p w:rsidRPr="004B0BBF" w:rsidR="00545554" w:rsidP="00AF179B" w:rsidRDefault="008B55A2" w14:paraId="57CF2B47" w14:textId="61B35C6A">
      <w:pPr>
        <w:spacing w:after="240"/>
        <w:jc w:val="both"/>
      </w:pPr>
      <w:bookmarkStart w:name="_DV_M347" w:id="1595"/>
      <w:bookmarkEnd w:id="1595"/>
      <w:r>
        <w:rPr>
          <w:rFonts w:ascii="Arial" w:hAnsi="Arial" w:eastAsia="Times New Roman" w:cs="Arial"/>
          <w:sz w:val="20"/>
          <w:szCs w:val="20"/>
        </w:rPr>
        <w:t>In accordance with PPA Section 7.1.5 (</w:t>
      </w:r>
      <w:r>
        <w:rPr>
          <w:rFonts w:ascii="Arial" w:hAnsi="Arial" w:eastAsia="Times New Roman" w:cs="Arial"/>
          <w:i/>
          <w:sz w:val="20"/>
          <w:szCs w:val="20"/>
        </w:rPr>
        <w:t>Commercial Operation</w:t>
      </w:r>
      <w:r>
        <w:rPr>
          <w:rFonts w:ascii="Arial" w:hAnsi="Arial" w:eastAsia="Times New Roman" w:cs="Arial"/>
          <w:sz w:val="20"/>
          <w:szCs w:val="20"/>
        </w:rPr>
        <w:t>), Seller certifies to GPC that Seller fully satisfied the criteria for Commercial Operation of the Facility</w:t>
      </w:r>
      <w:r w:rsidR="00660992">
        <w:rPr>
          <w:rFonts w:ascii="Arial" w:hAnsi="Arial" w:eastAsia="Times New Roman" w:cs="Arial"/>
          <w:sz w:val="20"/>
          <w:szCs w:val="20"/>
        </w:rPr>
        <w:t>, including the following</w:t>
      </w:r>
      <w:r>
        <w:rPr>
          <w:rFonts w:ascii="Arial" w:hAnsi="Arial" w:eastAsia="Times New Roman" w:cs="Arial"/>
          <w:sz w:val="20"/>
          <w:szCs w:val="20"/>
        </w:rPr>
        <w:t>:</w:t>
      </w:r>
      <w:bookmarkStart w:name="_DV_M348" w:id="1596"/>
      <w:bookmarkStart w:name="_DV_M349" w:id="1597"/>
      <w:bookmarkEnd w:id="1596"/>
      <w:bookmarkEnd w:id="1597"/>
    </w:p>
    <w:p w:rsidRPr="00F40F9C" w:rsidR="00AF179B" w:rsidP="004B0BBF" w:rsidRDefault="008B55A2" w14:paraId="41BC16F0" w14:textId="7D964B79">
      <w:pPr>
        <w:pStyle w:val="zGListi"/>
      </w:pPr>
      <w:r>
        <w:t>Seller has demonstrated to GPC’s reasonable satisfaction that the Facility is capable of receiving and delivering energy obligated to be received or delivered pursuant to this PPA at or to the POI on a reliable basis in accordance with the Interconnection Agreement and Prudent Industry Practices;</w:t>
      </w:r>
    </w:p>
    <w:p w:rsidRPr="002D2A8F" w:rsidR="00545554" w:rsidP="00495813" w:rsidRDefault="008B55A2" w14:paraId="67C8CE5A" w14:textId="349DC900">
      <w:pPr>
        <w:pStyle w:val="zGListi"/>
      </w:pPr>
      <w:r>
        <w:t>The Facility’s AGC equipment and system control and communications systems, as approved by GPC under PPA Section 10.8 (</w:t>
      </w:r>
      <w:r>
        <w:rPr>
          <w:i/>
        </w:rPr>
        <w:t>AGC</w:t>
      </w:r>
      <w:r>
        <w:t xml:space="preserve">) are completely installed and fully operational, and Seller has </w:t>
      </w:r>
      <w:r w:rsidR="004934D2">
        <w:t xml:space="preserve">demonstrated </w:t>
      </w:r>
      <w:r>
        <w:t>that the these systems are operational and capable of responding to GPC’s AGC Setpoint signals to effectively dispatch energy both into and out of the</w:t>
      </w:r>
      <w:r w:rsidRPr="004B0BBF">
        <w:rPr>
          <w:rStyle w:val="normaltextrun"/>
        </w:rPr>
        <w:t xml:space="preserve"> </w:t>
      </w:r>
      <w:r>
        <w:rPr>
          <w:rStyle w:val="normaltextrun"/>
        </w:rPr>
        <w:t>BESS</w:t>
      </w:r>
      <w:r>
        <w:t xml:space="preserve"> and to the POI, in real-time. Further, Seller confirms that GPC has real-time electronic access to all Facility data GPC requests in order to manage and control these energy flows as well as to retain data and calculate all Performance Metrics; </w:t>
      </w:r>
    </w:p>
    <w:p w:rsidRPr="002D2A8F" w:rsidR="00545554" w:rsidP="00495813" w:rsidRDefault="008B55A2" w14:paraId="1DA13262" w14:textId="77777777">
      <w:pPr>
        <w:pStyle w:val="zGListi"/>
      </w:pPr>
      <w:r>
        <w:t xml:space="preserve">GPC is able to receive or deliver such energy at the POI on a reliable basis in accordance with Prudent Industry Practices; </w:t>
      </w:r>
    </w:p>
    <w:p w:rsidRPr="002D2A8F" w:rsidR="00545554" w:rsidP="00495813" w:rsidRDefault="008B55A2" w14:paraId="4C168B5B" w14:textId="1AFC93CA">
      <w:pPr>
        <w:pStyle w:val="zGListi"/>
      </w:pPr>
      <w:r>
        <w:t xml:space="preserve">Seller has delivered to GPC a certificate from a responsible officer of Seller that is reasonably acceptable to GPC, stating that the Facility has been designed, engineered, constructed, and tested in accordance with Prudent Industry Practices and the terms of the PPA, including the Facility </w:t>
      </w:r>
      <w:r w:rsidR="008431E8">
        <w:t>t</w:t>
      </w:r>
      <w:r>
        <w:t xml:space="preserve">echnical and </w:t>
      </w:r>
      <w:r w:rsidR="008431E8">
        <w:t>d</w:t>
      </w:r>
      <w:r>
        <w:t xml:space="preserve">esign </w:t>
      </w:r>
      <w:r w:rsidR="008431E8">
        <w:t>r</w:t>
      </w:r>
      <w:r>
        <w:t>equirements;</w:t>
      </w:r>
    </w:p>
    <w:p w:rsidRPr="002D2A8F" w:rsidR="00545554" w:rsidP="00495813" w:rsidRDefault="008B55A2" w14:paraId="17ECECEA" w14:textId="130F25C6">
      <w:pPr>
        <w:pStyle w:val="zGListi"/>
      </w:pPr>
      <w:r>
        <w:t>Seller has delivered to GPC a</w:t>
      </w:r>
      <w:r w:rsidR="00724E2B">
        <w:t>ny</w:t>
      </w:r>
      <w:r>
        <w:t xml:space="preserve"> as-built drawings with respect to the Facility, as may be requested by GPC; and</w:t>
      </w:r>
    </w:p>
    <w:p w:rsidR="00546FF5" w:rsidP="00495813" w:rsidRDefault="008B55A2" w14:paraId="77499217" w14:textId="77777777">
      <w:pPr>
        <w:pStyle w:val="zGListi"/>
      </w:pPr>
      <w:r>
        <w:t>Seller has delivered to GPC a certificate from a responsible officer of Seller that is reasonably acceptable to GPC certifying that Seller is in compliance with the Interconnection Agreement and Seller has obtained all applicable Consents required under applicable law to be obtained by Seller at the time of Commercial Operation of the Facility for the construction, ownership, operation and maintenance of the Facility in accordance with this PPA.</w:t>
      </w:r>
    </w:p>
    <w:p w:rsidRPr="00244480" w:rsidR="002D54C4" w:rsidP="004B0BBF" w:rsidRDefault="008B55A2" w14:paraId="458D2E9D" w14:textId="77777777">
      <w:pPr>
        <w:pStyle w:val="zGNormal"/>
        <w:spacing w:before="120"/>
        <w:rPr>
          <w:rFonts w:eastAsia="Calibri"/>
        </w:rPr>
      </w:pPr>
      <w:bookmarkStart w:name="_DV_M354" w:id="1598"/>
      <w:bookmarkEnd w:id="1598"/>
      <w:r>
        <w:t xml:space="preserve">Seller certifies that Commercial Operation of the Facility was achieved as of </w:t>
      </w:r>
      <w:r>
        <w:rPr>
          <w:b/>
          <w:highlight w:val="yellow"/>
        </w:rPr>
        <w:t>#CommercialOperationDate#</w:t>
      </w:r>
      <w:r>
        <w:t xml:space="preserve">. Seller agrees to provide photographs of the Facility and Site at GPC’s request. The electrical inspection documentation in support of Seller’s certification of Commercial Operation is attached. Seller </w:t>
      </w:r>
      <w:r>
        <w:rPr>
          <w:rFonts w:eastAsia="Calibri"/>
        </w:rPr>
        <w:t xml:space="preserve">grants to GPC </w:t>
      </w:r>
      <w:r>
        <w:rPr>
          <w:rFonts w:eastAsia="Calibri"/>
          <w:spacing w:val="-1"/>
        </w:rPr>
        <w:t>an</w:t>
      </w:r>
      <w:r>
        <w:rPr>
          <w:rFonts w:eastAsia="Calibri"/>
        </w:rPr>
        <w:t xml:space="preserve">d </w:t>
      </w:r>
      <w:r>
        <w:rPr>
          <w:rFonts w:eastAsia="Calibri"/>
          <w:spacing w:val="-1"/>
        </w:rPr>
        <w:t>i</w:t>
      </w:r>
      <w:r>
        <w:rPr>
          <w:rFonts w:eastAsia="Calibri"/>
        </w:rPr>
        <w:t xml:space="preserve">ts </w:t>
      </w:r>
      <w:r>
        <w:rPr>
          <w:rFonts w:eastAsia="Calibri"/>
          <w:spacing w:val="-1"/>
        </w:rPr>
        <w:t>agen</w:t>
      </w:r>
      <w:r>
        <w:rPr>
          <w:rFonts w:eastAsia="Calibri"/>
        </w:rPr>
        <w:t>ts,</w:t>
      </w:r>
      <w:r>
        <w:rPr>
          <w:rFonts w:eastAsia="Calibri"/>
          <w:spacing w:val="1"/>
        </w:rPr>
        <w:t xml:space="preserve"> affiliates, </w:t>
      </w:r>
      <w:r>
        <w:rPr>
          <w:rFonts w:eastAsia="Calibri"/>
        </w:rPr>
        <w:t>s</w:t>
      </w:r>
      <w:r>
        <w:rPr>
          <w:rFonts w:eastAsia="Calibri"/>
          <w:spacing w:val="-1"/>
        </w:rPr>
        <w:t>u</w:t>
      </w:r>
      <w:r>
        <w:rPr>
          <w:rFonts w:eastAsia="Calibri"/>
        </w:rPr>
        <w:t>cc</w:t>
      </w:r>
      <w:r>
        <w:rPr>
          <w:rFonts w:eastAsia="Calibri"/>
          <w:spacing w:val="-1"/>
        </w:rPr>
        <w:t>e</w:t>
      </w:r>
      <w:r>
        <w:rPr>
          <w:rFonts w:eastAsia="Calibri"/>
        </w:rPr>
        <w:t>s</w:t>
      </w:r>
      <w:r>
        <w:rPr>
          <w:rFonts w:eastAsia="Calibri"/>
          <w:spacing w:val="2"/>
        </w:rPr>
        <w:t>s</w:t>
      </w:r>
      <w:r>
        <w:rPr>
          <w:rFonts w:eastAsia="Calibri"/>
          <w:spacing w:val="-1"/>
        </w:rPr>
        <w:t>o</w:t>
      </w:r>
      <w:r>
        <w:rPr>
          <w:rFonts w:eastAsia="Calibri"/>
        </w:rPr>
        <w:t>rs,</w:t>
      </w:r>
      <w:r>
        <w:rPr>
          <w:rFonts w:eastAsia="Calibri"/>
          <w:spacing w:val="1"/>
        </w:rPr>
        <w:t xml:space="preserve"> </w:t>
      </w:r>
      <w:r>
        <w:rPr>
          <w:rFonts w:eastAsia="Calibri"/>
          <w:spacing w:val="-1"/>
        </w:rPr>
        <w:t>an</w:t>
      </w:r>
      <w:r>
        <w:rPr>
          <w:rFonts w:eastAsia="Calibri"/>
        </w:rPr>
        <w:t xml:space="preserve">d </w:t>
      </w:r>
      <w:r>
        <w:rPr>
          <w:rFonts w:eastAsia="Calibri"/>
          <w:spacing w:val="-1"/>
        </w:rPr>
        <w:t>a</w:t>
      </w:r>
      <w:r>
        <w:rPr>
          <w:rFonts w:eastAsia="Calibri"/>
        </w:rPr>
        <w:t>ss</w:t>
      </w:r>
      <w:r>
        <w:rPr>
          <w:rFonts w:eastAsia="Calibri"/>
          <w:spacing w:val="-1"/>
        </w:rPr>
        <w:t>ign</w:t>
      </w:r>
      <w:r>
        <w:rPr>
          <w:rFonts w:eastAsia="Calibri"/>
        </w:rPr>
        <w:t>s an irrevocable, worldwide, royalty-free, and unrestricted right and license to use, duplicate, modify, sublicense, distribute, display, and otherwise engage the photographs and related intellectual property, including the creation of derivative works. Seller represents and warrants that it has the exclusive right to grant the license to GPC for the purposes stated in the PPA.</w:t>
      </w:r>
    </w:p>
    <w:p w:rsidRPr="00D81774" w:rsidR="002D54C4" w:rsidP="002D54C4" w:rsidRDefault="002D54C4" w14:paraId="54421D8B" w14:textId="77777777">
      <w:pPr>
        <w:keepNext/>
        <w:rPr>
          <w:rFonts w:ascii="Arial" w:hAnsi="Arial" w:eastAsia="Calibri" w:cs="Arial"/>
          <w:b/>
          <w:sz w:val="20"/>
          <w:szCs w:val="20"/>
          <w:u w:val="single"/>
        </w:rPr>
      </w:pP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00AE51F9" w14:paraId="1036B305" w14:textId="77777777">
        <w:trPr>
          <w:cantSplit/>
          <w:trHeight w:val="432"/>
        </w:trPr>
        <w:tc>
          <w:tcPr>
            <w:tcW w:w="5130" w:type="dxa"/>
            <w:gridSpan w:val="3"/>
          </w:tcPr>
          <w:p w:rsidRPr="00D01138" w:rsidR="002D54C4" w:rsidRDefault="008B55A2" w14:paraId="0774358A" w14:textId="77777777">
            <w:pPr>
              <w:keepNext/>
              <w:keepLines/>
              <w:widowControl w:val="0"/>
              <w:autoSpaceDE w:val="0"/>
              <w:autoSpaceDN w:val="0"/>
              <w:adjustRightInd w:val="0"/>
              <w:rPr>
                <w:rFonts w:ascii="Arial" w:hAnsi="Arial" w:eastAsia="Yu Mincho" w:cs="Arial"/>
                <w:b/>
                <w:spacing w:val="-6"/>
                <w:kern w:val="14"/>
                <w:sz w:val="24"/>
                <w:szCs w:val="24"/>
              </w:rPr>
            </w:pPr>
            <w:bookmarkStart w:name="_DV_M360" w:id="1599"/>
            <w:bookmarkEnd w:id="1599"/>
            <w:r>
              <w:rPr>
                <w:rFonts w:ascii="Arial" w:hAnsi="Arial" w:eastAsia="Yu Mincho" w:cs="Arial"/>
                <w:b/>
                <w:spacing w:val="-6"/>
                <w:kern w:val="14"/>
                <w:sz w:val="24"/>
                <w:szCs w:val="24"/>
                <w:highlight w:val="yellow"/>
              </w:rPr>
              <w:t>#SellerLegalName#</w:t>
            </w:r>
          </w:p>
        </w:tc>
      </w:tr>
      <w:tr w:rsidR="00AE51F9" w14:paraId="7F24E50D" w14:textId="77777777">
        <w:trPr>
          <w:gridAfter w:val="1"/>
          <w:wAfter w:w="29" w:type="dxa"/>
          <w:cantSplit/>
          <w:trHeight w:val="504"/>
        </w:trPr>
        <w:tc>
          <w:tcPr>
            <w:tcW w:w="1008" w:type="dxa"/>
            <w:vAlign w:val="bottom"/>
          </w:tcPr>
          <w:p w:rsidRPr="00D81774" w:rsidR="002D54C4" w:rsidP="004B0BBF" w:rsidRDefault="008B55A2" w14:paraId="1D7E9006" w14:textId="77777777">
            <w:pPr>
              <w:autoSpaceDE w:val="0"/>
              <w:autoSpaceDN w:val="0"/>
              <w:adjustRightInd w:val="0"/>
              <w:spacing w:after="60" w:line="240" w:lineRule="auto"/>
              <w:rPr>
                <w:rFonts w:ascii="Arial" w:hAnsi="Arial" w:eastAsia="Yu Mincho" w:cs="Arial"/>
                <w:kern w:val="14"/>
                <w:sz w:val="20"/>
                <w:szCs w:val="20"/>
              </w:rPr>
            </w:pPr>
            <w:r>
              <w:rPr>
                <w:rFonts w:ascii="Arial" w:hAnsi="Arial" w:eastAsia="Yu Mincho" w:cs="Arial"/>
                <w:kern w:val="14"/>
                <w:sz w:val="20"/>
                <w:szCs w:val="20"/>
              </w:rPr>
              <w:t>By:</w:t>
            </w:r>
          </w:p>
        </w:tc>
        <w:tc>
          <w:tcPr>
            <w:tcW w:w="4093" w:type="dxa"/>
            <w:tcBorders>
              <w:bottom w:val="single" w:color="auto" w:sz="4" w:space="0"/>
            </w:tcBorders>
            <w:vAlign w:val="bottom"/>
          </w:tcPr>
          <w:p w:rsidRPr="00D81774" w:rsidR="002D54C4" w:rsidP="004B0BBF" w:rsidRDefault="002D54C4" w14:paraId="1B67FB6A" w14:textId="77777777">
            <w:pPr>
              <w:keepLines/>
              <w:spacing w:after="60" w:line="240" w:lineRule="auto"/>
              <w:rPr>
                <w:rFonts w:ascii="Arial" w:hAnsi="Arial" w:eastAsia="Calibri" w:cs="Arial"/>
                <w:sz w:val="20"/>
                <w:szCs w:val="20"/>
              </w:rPr>
            </w:pPr>
          </w:p>
        </w:tc>
      </w:tr>
      <w:tr w:rsidR="00AE51F9" w14:paraId="678F6A24" w14:textId="77777777">
        <w:trPr>
          <w:gridAfter w:val="1"/>
          <w:wAfter w:w="29" w:type="dxa"/>
          <w:cantSplit/>
          <w:trHeight w:val="504"/>
        </w:trPr>
        <w:tc>
          <w:tcPr>
            <w:tcW w:w="1008" w:type="dxa"/>
            <w:vAlign w:val="bottom"/>
          </w:tcPr>
          <w:p w:rsidRPr="00D81774" w:rsidR="002D54C4" w:rsidP="004B0BBF" w:rsidRDefault="008B55A2" w14:paraId="457411DE" w14:textId="77777777">
            <w:pPr>
              <w:autoSpaceDE w:val="0"/>
              <w:autoSpaceDN w:val="0"/>
              <w:adjustRightInd w:val="0"/>
              <w:spacing w:after="60" w:line="240" w:lineRule="auto"/>
              <w:rPr>
                <w:rFonts w:ascii="Arial" w:hAnsi="Arial" w:eastAsia="Yu Mincho" w:cs="Arial"/>
                <w:kern w:val="14"/>
                <w:sz w:val="20"/>
                <w:szCs w:val="20"/>
              </w:rPr>
            </w:pPr>
            <w:r>
              <w:rPr>
                <w:rFonts w:ascii="Arial" w:hAnsi="Arial" w:eastAsia="Yu Mincho" w:cs="Arial"/>
                <w:kern w:val="14"/>
                <w:sz w:val="20"/>
                <w:szCs w:val="20"/>
              </w:rPr>
              <w:t>Name</w:t>
            </w:r>
          </w:p>
          <w:p w:rsidRPr="00D81774" w:rsidR="002D54C4" w:rsidP="004B0BBF" w:rsidRDefault="008B55A2" w14:paraId="10DE4C17" w14:textId="77777777">
            <w:pPr>
              <w:autoSpaceDE w:val="0"/>
              <w:autoSpaceDN w:val="0"/>
              <w:adjustRightInd w:val="0"/>
              <w:spacing w:after="60" w:line="240" w:lineRule="auto"/>
              <w:rPr>
                <w:rFonts w:ascii="Arial" w:hAnsi="Arial" w:eastAsia="Yu Mincho" w:cs="Arial"/>
                <w:kern w:val="14"/>
                <w:sz w:val="20"/>
                <w:szCs w:val="20"/>
              </w:rPr>
            </w:pPr>
            <w:r>
              <w:rPr>
                <w:rFonts w:ascii="Arial" w:hAnsi="Arial" w:eastAsia="Yu Mincho" w:cs="Arial"/>
                <w:kern w:val="14"/>
                <w:sz w:val="20"/>
                <w:szCs w:val="20"/>
              </w:rPr>
              <w:t>Printed:</w:t>
            </w:r>
          </w:p>
        </w:tc>
        <w:tc>
          <w:tcPr>
            <w:tcW w:w="4093" w:type="dxa"/>
            <w:tcBorders>
              <w:top w:val="single" w:color="auto" w:sz="4" w:space="0"/>
              <w:bottom w:val="single" w:color="auto" w:sz="4" w:space="0"/>
            </w:tcBorders>
            <w:vAlign w:val="bottom"/>
          </w:tcPr>
          <w:p w:rsidRPr="00D81774" w:rsidR="002D54C4" w:rsidP="004B0BBF" w:rsidRDefault="002D54C4" w14:paraId="3B19CB0C" w14:textId="77777777">
            <w:pPr>
              <w:keepLines/>
              <w:spacing w:after="60" w:line="240" w:lineRule="auto"/>
              <w:rPr>
                <w:rFonts w:ascii="Arial" w:hAnsi="Arial" w:eastAsia="Calibri" w:cs="Arial"/>
                <w:sz w:val="20"/>
                <w:szCs w:val="20"/>
              </w:rPr>
            </w:pPr>
          </w:p>
        </w:tc>
      </w:tr>
      <w:tr w:rsidR="00AE51F9" w14:paraId="09BFBAFC" w14:textId="77777777">
        <w:trPr>
          <w:gridAfter w:val="1"/>
          <w:wAfter w:w="29" w:type="dxa"/>
          <w:cantSplit/>
          <w:trHeight w:val="504"/>
        </w:trPr>
        <w:tc>
          <w:tcPr>
            <w:tcW w:w="1008" w:type="dxa"/>
            <w:vAlign w:val="bottom"/>
          </w:tcPr>
          <w:p w:rsidRPr="00D81774" w:rsidR="002D54C4" w:rsidP="004B0BBF" w:rsidRDefault="008B55A2" w14:paraId="03E7DEAB" w14:textId="77777777">
            <w:pPr>
              <w:autoSpaceDE w:val="0"/>
              <w:autoSpaceDN w:val="0"/>
              <w:adjustRightInd w:val="0"/>
              <w:spacing w:after="60" w:line="240" w:lineRule="auto"/>
              <w:rPr>
                <w:rFonts w:ascii="Arial" w:hAnsi="Arial" w:eastAsia="Yu Mincho" w:cs="Arial"/>
                <w:kern w:val="14"/>
                <w:sz w:val="20"/>
                <w:szCs w:val="20"/>
              </w:rPr>
            </w:pPr>
            <w:r>
              <w:rPr>
                <w:rFonts w:ascii="Arial" w:hAnsi="Arial" w:eastAsia="Yu Mincho" w:cs="Arial"/>
                <w:kern w:val="14"/>
                <w:sz w:val="20"/>
                <w:szCs w:val="20"/>
              </w:rPr>
              <w:t>Title:</w:t>
            </w:r>
          </w:p>
        </w:tc>
        <w:tc>
          <w:tcPr>
            <w:tcW w:w="4093" w:type="dxa"/>
            <w:tcBorders>
              <w:top w:val="single" w:color="auto" w:sz="4" w:space="0"/>
              <w:bottom w:val="single" w:color="auto" w:sz="4" w:space="0"/>
            </w:tcBorders>
            <w:vAlign w:val="bottom"/>
          </w:tcPr>
          <w:p w:rsidRPr="00D81774" w:rsidR="002D54C4" w:rsidP="004B0BBF" w:rsidRDefault="002D54C4" w14:paraId="7155F5B3" w14:textId="77777777">
            <w:pPr>
              <w:keepLines/>
              <w:spacing w:after="60" w:line="240" w:lineRule="auto"/>
              <w:rPr>
                <w:rFonts w:ascii="Arial" w:hAnsi="Arial" w:eastAsia="Calibri" w:cs="Arial"/>
                <w:sz w:val="20"/>
                <w:szCs w:val="20"/>
              </w:rPr>
            </w:pPr>
          </w:p>
        </w:tc>
      </w:tr>
      <w:tr w:rsidR="00AE51F9" w14:paraId="1A72B834" w14:textId="77777777">
        <w:trPr>
          <w:gridAfter w:val="1"/>
          <w:wAfter w:w="29" w:type="dxa"/>
          <w:cantSplit/>
          <w:trHeight w:val="504"/>
        </w:trPr>
        <w:tc>
          <w:tcPr>
            <w:tcW w:w="1008" w:type="dxa"/>
            <w:vAlign w:val="bottom"/>
          </w:tcPr>
          <w:p w:rsidRPr="00D81774" w:rsidR="002D54C4" w:rsidP="004B0BBF" w:rsidRDefault="008B55A2" w14:paraId="1B74F8D7" w14:textId="77777777">
            <w:pPr>
              <w:autoSpaceDE w:val="0"/>
              <w:autoSpaceDN w:val="0"/>
              <w:adjustRightInd w:val="0"/>
              <w:spacing w:after="60" w:line="240" w:lineRule="auto"/>
              <w:rPr>
                <w:rFonts w:ascii="Arial" w:hAnsi="Arial" w:eastAsia="Yu Mincho" w:cs="Arial"/>
                <w:kern w:val="14"/>
                <w:sz w:val="20"/>
                <w:szCs w:val="20"/>
              </w:rPr>
            </w:pPr>
            <w:r>
              <w:rPr>
                <w:rFonts w:ascii="Arial" w:hAnsi="Arial" w:eastAsia="Yu Mincho" w:cs="Arial"/>
                <w:kern w:val="14"/>
                <w:sz w:val="20"/>
                <w:szCs w:val="20"/>
              </w:rPr>
              <w:t>Date:</w:t>
            </w:r>
          </w:p>
        </w:tc>
        <w:tc>
          <w:tcPr>
            <w:tcW w:w="4093" w:type="dxa"/>
            <w:tcBorders>
              <w:top w:val="single" w:color="auto" w:sz="4" w:space="0"/>
              <w:bottom w:val="single" w:color="auto" w:sz="4" w:space="0"/>
            </w:tcBorders>
            <w:vAlign w:val="bottom"/>
          </w:tcPr>
          <w:p w:rsidRPr="00D81774" w:rsidR="002D54C4" w:rsidP="004B0BBF" w:rsidRDefault="002D54C4" w14:paraId="717B18C9" w14:textId="77777777">
            <w:pPr>
              <w:keepLines/>
              <w:spacing w:after="60" w:line="240" w:lineRule="auto"/>
              <w:rPr>
                <w:rFonts w:ascii="Arial" w:hAnsi="Arial" w:eastAsia="Calibri" w:cs="Arial"/>
                <w:sz w:val="20"/>
                <w:szCs w:val="20"/>
              </w:rPr>
            </w:pPr>
          </w:p>
        </w:tc>
      </w:tr>
    </w:tbl>
    <w:p w:rsidRPr="00D81774" w:rsidR="002D54C4" w:rsidP="002D54C4" w:rsidRDefault="002D54C4" w14:paraId="3E116CFF" w14:textId="77777777">
      <w:pPr>
        <w:rPr>
          <w:rFonts w:ascii="Arial" w:hAnsi="Arial" w:eastAsia="Calibri" w:cs="Arial"/>
          <w:sz w:val="20"/>
          <w:szCs w:val="20"/>
        </w:rPr>
      </w:pPr>
    </w:p>
    <w:p w:rsidRPr="007A7342" w:rsidR="002D54C4" w:rsidP="002D54C4" w:rsidRDefault="002D54C4" w14:paraId="3D8F3EC4" w14:textId="77777777">
      <w:pPr>
        <w:suppressAutoHyphens/>
        <w:spacing w:after="240"/>
        <w:rPr>
          <w:rFonts w:eastAsia="DengXian" w:cs="Arial"/>
          <w:lang w:eastAsia="zh-CN"/>
        </w:rPr>
      </w:pPr>
    </w:p>
    <w:p w:rsidR="002D54C4" w:rsidP="002D54C4" w:rsidRDefault="008B55A2" w14:paraId="3B67ADA9" w14:textId="77777777">
      <w:pPr>
        <w:rPr>
          <w:rFonts w:eastAsia="Times New Roman" w:cs="Arial"/>
        </w:rPr>
      </w:pPr>
      <w:r>
        <w:rPr>
          <w:rFonts w:eastAsia="Times New Roman" w:cs="Arial"/>
        </w:rPr>
        <w:br w:type="page"/>
      </w:r>
    </w:p>
    <w:p w:rsidRPr="007C2CBA" w:rsidR="002D54C4" w:rsidP="00506657" w:rsidRDefault="002D54C4" w14:paraId="137DF8AD" w14:textId="77777777">
      <w:pPr>
        <w:adjustRightInd w:val="0"/>
        <w:spacing w:after="240" w:line="480" w:lineRule="auto"/>
        <w:textAlignment w:val="baseline"/>
        <w:rPr>
          <w:rFonts w:eastAsia="Times New Roman" w:cs="Arial"/>
        </w:rPr>
        <w:sectPr w:rsidRPr="007C2CBA" w:rsidR="002D54C4" w:rsidSect="00226062">
          <w:headerReference w:type="even" r:id="rId96"/>
          <w:headerReference w:type="default" r:id="rId97"/>
          <w:footerReference w:type="even" r:id="rId98"/>
          <w:footerReference w:type="default" r:id="rId99"/>
          <w:headerReference w:type="first" r:id="rId100"/>
          <w:footerReference w:type="first" r:id="rId101"/>
          <w:pgSz w:w="12240" w:h="15840" w:code="1"/>
          <w:pgMar w:top="1440" w:right="1440" w:bottom="1440" w:left="1440" w:header="720" w:footer="720" w:gutter="0"/>
          <w:paperSrc w:first="15" w:other="15"/>
          <w:cols w:space="1440"/>
        </w:sectPr>
      </w:pPr>
    </w:p>
    <w:p w:rsidR="00050A04" w:rsidP="002D54C4" w:rsidRDefault="00050A04" w14:paraId="62B9B4E0" w14:textId="77777777">
      <w:pPr>
        <w:pStyle w:val="zGTitleExhibit"/>
        <w:rPr>
          <w:rFonts w:cs="Arial"/>
        </w:rPr>
      </w:pPr>
      <w:bookmarkStart w:name="_Toc160749237" w:id="1600"/>
    </w:p>
    <w:p w:rsidRPr="00F10071" w:rsidR="002D54C4" w:rsidP="002D54C4" w:rsidRDefault="008B55A2" w14:paraId="095CDFC7" w14:textId="77777777">
      <w:pPr>
        <w:pStyle w:val="zGTitleExhibit"/>
        <w:rPr>
          <w:rFonts w:cs="Arial"/>
        </w:rPr>
      </w:pPr>
      <w:bookmarkStart w:name="_Toc194937606" w:id="1601"/>
      <w:bookmarkStart w:name="_Toc174624990" w:id="1602"/>
      <w:bookmarkStart w:name="_Toc227451703" w:id="1603"/>
      <w:r>
        <w:rPr>
          <w:rFonts w:cs="Arial"/>
        </w:rPr>
        <w:t xml:space="preserve">Exhibit </w:t>
      </w:r>
      <w:bookmarkStart w:name="_Hlk39149545" w:id="1604"/>
      <w:r>
        <w:rPr>
          <w:rFonts w:cs="Arial"/>
        </w:rPr>
        <w:t>K – Form of Standby Letter of Credit</w:t>
      </w:r>
      <w:bookmarkEnd w:id="1600"/>
      <w:bookmarkEnd w:id="1601"/>
      <w:bookmarkEnd w:id="1602"/>
      <w:bookmarkEnd w:id="1603"/>
    </w:p>
    <w:bookmarkEnd w:id="1604"/>
    <w:p w:rsidRPr="00D81774" w:rsidR="002D54C4" w:rsidP="00777BBC" w:rsidRDefault="008B55A2" w14:paraId="4B018612" w14:textId="77777777">
      <w:pPr>
        <w:spacing w:after="0" w:line="20" w:lineRule="atLeast"/>
        <w:rPr>
          <w:rFonts w:ascii="Arial" w:hAnsi="Arial" w:eastAsia="Times New Roman" w:cs="Arial"/>
          <w:sz w:val="20"/>
          <w:szCs w:val="20"/>
        </w:rPr>
      </w:pPr>
      <w:r>
        <w:rPr>
          <w:rFonts w:ascii="Arial" w:hAnsi="Arial" w:eastAsia="Times New Roman" w:cs="Arial"/>
          <w:sz w:val="20"/>
          <w:szCs w:val="20"/>
        </w:rPr>
        <w:t>[</w:t>
      </w:r>
      <w:r>
        <w:rPr>
          <w:rFonts w:ascii="Arial" w:hAnsi="Arial" w:eastAsia="Times New Roman" w:cs="Arial"/>
          <w:sz w:val="20"/>
          <w:szCs w:val="20"/>
          <w:highlight w:val="yellow"/>
        </w:rPr>
        <w:t>Bank Letterhead</w:t>
      </w:r>
      <w:r>
        <w:rPr>
          <w:rFonts w:ascii="Arial" w:hAnsi="Arial" w:eastAsia="Times New Roman" w:cs="Arial"/>
          <w:sz w:val="20"/>
          <w:szCs w:val="20"/>
        </w:rPr>
        <w:t>]</w:t>
      </w:r>
    </w:p>
    <w:p w:rsidRPr="00D81774" w:rsidR="002D54C4" w:rsidP="00777BBC" w:rsidRDefault="008B55A2" w14:paraId="148143E6" w14:textId="77777777">
      <w:pPr>
        <w:spacing w:after="0" w:line="20" w:lineRule="atLeast"/>
        <w:rPr>
          <w:rFonts w:ascii="Arial" w:hAnsi="Arial" w:eastAsia="Times New Roman" w:cs="Arial"/>
          <w:sz w:val="20"/>
          <w:szCs w:val="20"/>
        </w:rPr>
      </w:pPr>
      <w:bookmarkStart w:name="_DV_M750" w:id="1605"/>
      <w:bookmarkEnd w:id="1605"/>
      <w:r>
        <w:rPr>
          <w:rFonts w:ascii="Arial" w:hAnsi="Arial" w:eastAsia="Times New Roman" w:cs="Arial"/>
          <w:sz w:val="20"/>
          <w:szCs w:val="20"/>
        </w:rPr>
        <w:t>Date of issuance:</w:t>
      </w:r>
      <w:r>
        <w:rPr>
          <w:rFonts w:ascii="Arial" w:hAnsi="Arial" w:eastAsia="Times New Roman" w:cs="Arial"/>
          <w:sz w:val="20"/>
          <w:szCs w:val="20"/>
        </w:rPr>
        <w:tab/>
        <w:t>________, 20__</w:t>
      </w:r>
    </w:p>
    <w:p w:rsidR="002D54C4" w:rsidP="00777BBC" w:rsidRDefault="002D54C4" w14:paraId="3E167C7C" w14:textId="77777777">
      <w:pPr>
        <w:spacing w:after="0" w:line="20" w:lineRule="atLeast"/>
        <w:rPr>
          <w:rFonts w:ascii="Arial" w:hAnsi="Arial" w:eastAsia="Times New Roman" w:cs="Arial"/>
          <w:sz w:val="20"/>
          <w:szCs w:val="20"/>
        </w:rPr>
      </w:pPr>
    </w:p>
    <w:p w:rsidR="007E2E0C" w:rsidP="00777BBC" w:rsidRDefault="007E2E0C" w14:paraId="7FB28825" w14:textId="77777777">
      <w:pPr>
        <w:spacing w:after="0" w:line="20" w:lineRule="atLeast"/>
        <w:rPr>
          <w:rFonts w:ascii="Arial" w:hAnsi="Arial" w:eastAsia="Times New Roman" w:cs="Arial"/>
          <w:sz w:val="20"/>
          <w:szCs w:val="20"/>
        </w:rPr>
      </w:pPr>
      <w:bookmarkStart w:name="_DV_M751" w:id="1606"/>
      <w:bookmarkEnd w:id="1606"/>
    </w:p>
    <w:p w:rsidRPr="00D81774" w:rsidR="007E2E0C" w:rsidP="00777BBC" w:rsidRDefault="007E2E0C" w14:paraId="7F1DF13E" w14:textId="77777777">
      <w:pPr>
        <w:spacing w:after="0" w:line="20" w:lineRule="atLeast"/>
        <w:rPr>
          <w:rFonts w:ascii="Arial" w:hAnsi="Arial" w:eastAsia="Times New Roman" w:cs="Arial"/>
          <w:sz w:val="20"/>
          <w:szCs w:val="20"/>
        </w:rPr>
      </w:pPr>
    </w:p>
    <w:p w:rsidRPr="00D81774" w:rsidR="002D54C4" w:rsidP="00777BBC" w:rsidRDefault="008B55A2" w14:paraId="3ABCD6D4" w14:textId="77777777">
      <w:pPr>
        <w:spacing w:after="0" w:line="20" w:lineRule="atLeast"/>
        <w:rPr>
          <w:rFonts w:ascii="Arial" w:hAnsi="Arial" w:eastAsia="Times New Roman" w:cs="Arial"/>
          <w:sz w:val="20"/>
          <w:szCs w:val="20"/>
        </w:rPr>
      </w:pPr>
      <w:r>
        <w:rPr>
          <w:rFonts w:ascii="Arial" w:hAnsi="Arial" w:eastAsia="Times New Roman" w:cs="Arial"/>
          <w:sz w:val="20"/>
          <w:szCs w:val="20"/>
        </w:rPr>
        <w:t>Irrevocable Standby Letter of Credit No:_____________________</w:t>
      </w:r>
    </w:p>
    <w:p w:rsidRPr="00D81774" w:rsidR="002D54C4" w:rsidP="00777BBC" w:rsidRDefault="002D54C4" w14:paraId="798A4DDE" w14:textId="77777777">
      <w:pPr>
        <w:spacing w:after="0" w:line="20" w:lineRule="atLeast"/>
        <w:rPr>
          <w:rFonts w:ascii="Arial" w:hAnsi="Arial" w:eastAsia="Times New Roman" w:cs="Arial"/>
          <w:sz w:val="20"/>
          <w:szCs w:val="20"/>
        </w:rPr>
      </w:pPr>
    </w:p>
    <w:p w:rsidRPr="00D81774" w:rsidR="002D54C4" w:rsidP="00777BBC" w:rsidRDefault="008B55A2" w14:paraId="49DA2918" w14:textId="77777777">
      <w:pPr>
        <w:tabs>
          <w:tab w:val="left" w:pos="2160"/>
        </w:tabs>
        <w:spacing w:after="0" w:line="20" w:lineRule="atLeast"/>
        <w:rPr>
          <w:rFonts w:ascii="Arial" w:hAnsi="Arial" w:eastAsia="Times New Roman" w:cs="Arial"/>
          <w:sz w:val="20"/>
          <w:szCs w:val="20"/>
          <w:u w:val="single"/>
        </w:rPr>
      </w:pPr>
      <w:bookmarkStart w:name="_DV_M752" w:id="1607"/>
      <w:bookmarkEnd w:id="1607"/>
      <w:r>
        <w:rPr>
          <w:rFonts w:ascii="Arial" w:hAnsi="Arial" w:eastAsia="Times New Roman" w:cs="Arial"/>
          <w:sz w:val="20"/>
          <w:szCs w:val="20"/>
        </w:rPr>
        <w:t>“Issuer”:</w:t>
      </w:r>
      <w:r>
        <w:rPr>
          <w:rFonts w:ascii="Arial" w:hAnsi="Arial" w:eastAsia="Times New Roman" w:cs="Arial"/>
          <w:sz w:val="20"/>
          <w:szCs w:val="20"/>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p>
    <w:p w:rsidRPr="00D81774" w:rsidR="002D54C4" w:rsidP="00777BBC" w:rsidRDefault="002D54C4" w14:paraId="516769D7" w14:textId="77777777">
      <w:pPr>
        <w:tabs>
          <w:tab w:val="left" w:pos="2160"/>
        </w:tabs>
        <w:spacing w:after="0" w:line="20" w:lineRule="atLeast"/>
        <w:rPr>
          <w:rFonts w:ascii="Arial" w:hAnsi="Arial" w:eastAsia="Times New Roman" w:cs="Arial"/>
          <w:sz w:val="20"/>
          <w:szCs w:val="20"/>
        </w:rPr>
      </w:pPr>
      <w:bookmarkStart w:name="_DV_M753" w:id="1608"/>
      <w:bookmarkEnd w:id="1608"/>
    </w:p>
    <w:p w:rsidRPr="00D81774" w:rsidR="002D54C4" w:rsidP="00777BBC" w:rsidRDefault="008B55A2" w14:paraId="07543B12" w14:textId="77777777">
      <w:pPr>
        <w:tabs>
          <w:tab w:val="left" w:pos="2160"/>
        </w:tabs>
        <w:spacing w:after="0" w:line="20" w:lineRule="atLeast"/>
        <w:rPr>
          <w:rFonts w:ascii="Arial" w:hAnsi="Arial" w:eastAsia="Times New Roman" w:cs="Arial"/>
          <w:sz w:val="20"/>
          <w:szCs w:val="20"/>
          <w:u w:val="single"/>
        </w:rPr>
      </w:pPr>
      <w:r>
        <w:rPr>
          <w:rFonts w:ascii="Arial" w:hAnsi="Arial" w:eastAsia="Times New Roman" w:cs="Arial"/>
          <w:sz w:val="20"/>
          <w:szCs w:val="20"/>
        </w:rPr>
        <w:t>Address:</w:t>
      </w:r>
      <w:r>
        <w:rPr>
          <w:rFonts w:ascii="Arial" w:hAnsi="Arial" w:eastAsia="Times New Roman" w:cs="Arial"/>
          <w:sz w:val="20"/>
          <w:szCs w:val="20"/>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p>
    <w:p w:rsidRPr="00D81774" w:rsidR="002D54C4" w:rsidP="00777BBC" w:rsidRDefault="002D54C4" w14:paraId="456ACC79" w14:textId="77777777">
      <w:pPr>
        <w:spacing w:after="0" w:line="20" w:lineRule="atLeast"/>
        <w:rPr>
          <w:rFonts w:ascii="Arial" w:hAnsi="Arial" w:eastAsia="Times New Roman" w:cs="Arial"/>
          <w:sz w:val="20"/>
          <w:szCs w:val="20"/>
        </w:rPr>
      </w:pPr>
    </w:p>
    <w:p w:rsidRPr="00D81774" w:rsidR="002D54C4" w:rsidP="00777BBC" w:rsidRDefault="008B55A2" w14:paraId="2D331ADF" w14:textId="77777777">
      <w:pPr>
        <w:tabs>
          <w:tab w:val="left" w:pos="2160"/>
        </w:tabs>
        <w:spacing w:after="0" w:line="20" w:lineRule="atLeast"/>
        <w:rPr>
          <w:rFonts w:ascii="Arial" w:hAnsi="Arial" w:eastAsia="Times New Roman" w:cs="Arial"/>
          <w:sz w:val="20"/>
          <w:szCs w:val="20"/>
        </w:rPr>
      </w:pPr>
      <w:bookmarkStart w:name="_DV_M754" w:id="1609"/>
      <w:bookmarkEnd w:id="1609"/>
      <w:r>
        <w:rPr>
          <w:rFonts w:ascii="Arial" w:hAnsi="Arial" w:eastAsia="Times New Roman" w:cs="Arial"/>
          <w:sz w:val="20"/>
          <w:szCs w:val="20"/>
        </w:rPr>
        <w:t>“Beneficiary”:</w:t>
      </w:r>
      <w:r>
        <w:rPr>
          <w:rFonts w:ascii="Arial" w:hAnsi="Arial" w:eastAsia="Times New Roman" w:cs="Arial"/>
          <w:sz w:val="20"/>
          <w:szCs w:val="20"/>
        </w:rPr>
        <w:tab/>
        <w:t>Georgia Power Company</w:t>
      </w:r>
    </w:p>
    <w:p w:rsidRPr="00D81774" w:rsidR="002D54C4" w:rsidP="00777BBC" w:rsidRDefault="002D54C4" w14:paraId="1C9A997B" w14:textId="77777777">
      <w:pPr>
        <w:tabs>
          <w:tab w:val="left" w:pos="2160"/>
        </w:tabs>
        <w:spacing w:after="0" w:line="20" w:lineRule="atLeast"/>
        <w:rPr>
          <w:rFonts w:ascii="Arial" w:hAnsi="Arial" w:eastAsia="Times New Roman" w:cs="Arial"/>
          <w:sz w:val="20"/>
          <w:szCs w:val="20"/>
        </w:rPr>
      </w:pPr>
    </w:p>
    <w:p w:rsidRPr="00D81774" w:rsidR="002D54C4" w:rsidP="00777BBC" w:rsidRDefault="008B55A2" w14:paraId="71FECD8F" w14:textId="77777777">
      <w:pPr>
        <w:tabs>
          <w:tab w:val="left" w:pos="2160"/>
        </w:tabs>
        <w:spacing w:after="0" w:line="20" w:lineRule="atLeast"/>
        <w:rPr>
          <w:rFonts w:ascii="Arial" w:hAnsi="Arial" w:eastAsia="Times New Roman" w:cs="Arial"/>
          <w:sz w:val="20"/>
          <w:szCs w:val="20"/>
        </w:rPr>
      </w:pPr>
      <w:bookmarkStart w:name="_DV_M755" w:id="1610"/>
      <w:bookmarkEnd w:id="1610"/>
      <w:r>
        <w:rPr>
          <w:rFonts w:ascii="Arial" w:hAnsi="Arial" w:eastAsia="Times New Roman" w:cs="Arial"/>
          <w:sz w:val="20"/>
          <w:szCs w:val="20"/>
        </w:rPr>
        <w:t xml:space="preserve">Address: </w:t>
      </w:r>
      <w:r>
        <w:rPr>
          <w:rFonts w:ascii="Arial" w:hAnsi="Arial" w:eastAsia="Times New Roman" w:cs="Arial"/>
          <w:sz w:val="20"/>
          <w:szCs w:val="20"/>
        </w:rPr>
        <w:tab/>
        <w:t>c/o Southern Company Services, Inc.</w:t>
      </w:r>
    </w:p>
    <w:p w:rsidRPr="00D81774" w:rsidR="002D54C4" w:rsidP="00777BBC" w:rsidRDefault="008B55A2" w14:paraId="5720EAE6" w14:textId="77777777">
      <w:pPr>
        <w:tabs>
          <w:tab w:val="left" w:pos="2160"/>
        </w:tabs>
        <w:spacing w:after="0" w:line="20" w:lineRule="atLeast"/>
        <w:rPr>
          <w:rFonts w:ascii="Arial" w:hAnsi="Arial" w:eastAsia="Times New Roman" w:cs="Arial"/>
          <w:sz w:val="20"/>
          <w:szCs w:val="20"/>
        </w:rPr>
      </w:pPr>
      <w:bookmarkStart w:name="_DV_M756" w:id="1611"/>
      <w:bookmarkEnd w:id="1611"/>
      <w:r>
        <w:rPr>
          <w:rFonts w:ascii="Arial" w:hAnsi="Arial" w:eastAsia="Times New Roman" w:cs="Arial"/>
          <w:sz w:val="20"/>
          <w:szCs w:val="20"/>
        </w:rPr>
        <w:tab/>
        <w:t xml:space="preserve">Attn: Assistant Treasurer </w:t>
      </w:r>
    </w:p>
    <w:p w:rsidRPr="00D81774" w:rsidR="002D54C4" w:rsidP="00777BBC" w:rsidRDefault="008B55A2" w14:paraId="24E04E73" w14:textId="77777777">
      <w:pPr>
        <w:tabs>
          <w:tab w:val="left" w:pos="2160"/>
        </w:tabs>
        <w:spacing w:after="0" w:line="20" w:lineRule="atLeast"/>
        <w:rPr>
          <w:rFonts w:ascii="Arial" w:hAnsi="Arial" w:eastAsia="Times New Roman" w:cs="Arial"/>
          <w:sz w:val="20"/>
          <w:szCs w:val="20"/>
        </w:rPr>
      </w:pPr>
      <w:r>
        <w:rPr>
          <w:rFonts w:ascii="Arial" w:hAnsi="Arial" w:eastAsia="Times New Roman" w:cs="Arial"/>
          <w:sz w:val="20"/>
          <w:szCs w:val="20"/>
        </w:rPr>
        <w:tab/>
        <w:t>BIN SC1407</w:t>
      </w:r>
    </w:p>
    <w:p w:rsidRPr="00D81774" w:rsidR="002D54C4" w:rsidP="00777BBC" w:rsidRDefault="008B55A2" w14:paraId="4C2E63E6" w14:textId="77777777">
      <w:pPr>
        <w:tabs>
          <w:tab w:val="left" w:pos="2160"/>
        </w:tabs>
        <w:spacing w:after="0" w:line="20" w:lineRule="atLeast"/>
        <w:rPr>
          <w:rFonts w:ascii="Arial" w:hAnsi="Arial" w:eastAsia="Times New Roman" w:cs="Arial"/>
          <w:sz w:val="20"/>
          <w:szCs w:val="20"/>
        </w:rPr>
      </w:pPr>
      <w:r>
        <w:rPr>
          <w:rFonts w:ascii="Arial" w:hAnsi="Arial" w:eastAsia="Times New Roman" w:cs="Arial"/>
          <w:sz w:val="20"/>
          <w:szCs w:val="20"/>
        </w:rPr>
        <w:tab/>
        <w:t>30 Ivan Allen Jr. Blvd., NW</w:t>
      </w:r>
    </w:p>
    <w:p w:rsidRPr="00D81774" w:rsidR="002D54C4" w:rsidP="00777BBC" w:rsidRDefault="008B55A2" w14:paraId="2ABB4B64" w14:textId="68B9C65F">
      <w:pPr>
        <w:tabs>
          <w:tab w:val="left" w:pos="2160"/>
        </w:tabs>
        <w:spacing w:after="0" w:line="20" w:lineRule="atLeast"/>
        <w:rPr>
          <w:rFonts w:ascii="Arial" w:hAnsi="Arial" w:eastAsia="Times New Roman" w:cs="Arial"/>
          <w:sz w:val="20"/>
          <w:szCs w:val="20"/>
        </w:rPr>
      </w:pPr>
      <w:bookmarkStart w:name="_DV_M757" w:id="1612"/>
      <w:bookmarkEnd w:id="1612"/>
      <w:r>
        <w:rPr>
          <w:rFonts w:ascii="Arial" w:hAnsi="Arial" w:eastAsia="Times New Roman" w:cs="Arial"/>
          <w:sz w:val="20"/>
          <w:szCs w:val="20"/>
        </w:rPr>
        <w:tab/>
      </w:r>
      <w:bookmarkStart w:name="_DV_M758" w:id="1613"/>
      <w:bookmarkStart w:name="_DV_M759" w:id="1614"/>
      <w:bookmarkEnd w:id="1613"/>
      <w:bookmarkEnd w:id="1614"/>
      <w:r>
        <w:rPr>
          <w:rFonts w:ascii="Arial" w:hAnsi="Arial" w:eastAsia="Times New Roman" w:cs="Arial"/>
          <w:sz w:val="20"/>
          <w:szCs w:val="20"/>
        </w:rPr>
        <w:t>Atlanta, GA 30308</w:t>
      </w:r>
    </w:p>
    <w:p w:rsidRPr="00D81774" w:rsidR="002D54C4" w:rsidP="00777BBC" w:rsidRDefault="008B55A2" w14:paraId="6E481730" w14:textId="77777777">
      <w:pPr>
        <w:spacing w:after="0" w:line="20" w:lineRule="atLeast"/>
        <w:rPr>
          <w:rFonts w:ascii="Arial" w:hAnsi="Arial" w:eastAsia="Times New Roman" w:cs="Arial"/>
          <w:sz w:val="20"/>
          <w:szCs w:val="20"/>
        </w:rPr>
      </w:pPr>
      <w:bookmarkStart w:name="_DV_M760" w:id="1615"/>
      <w:bookmarkEnd w:id="1615"/>
      <w:r>
        <w:rPr>
          <w:rFonts w:ascii="Arial" w:hAnsi="Arial" w:eastAsia="Times New Roman" w:cs="Arial"/>
          <w:sz w:val="20"/>
          <w:szCs w:val="20"/>
        </w:rPr>
        <w:t xml:space="preserve"> </w:t>
      </w:r>
    </w:p>
    <w:p w:rsidRPr="00D81774" w:rsidR="002D54C4" w:rsidP="00777BBC" w:rsidRDefault="002D54C4" w14:paraId="679015C2" w14:textId="77777777">
      <w:pPr>
        <w:tabs>
          <w:tab w:val="left" w:pos="2160"/>
        </w:tabs>
        <w:spacing w:after="0" w:line="20" w:lineRule="atLeast"/>
        <w:rPr>
          <w:rFonts w:ascii="Arial" w:hAnsi="Arial" w:eastAsia="Times New Roman" w:cs="Arial"/>
          <w:sz w:val="20"/>
          <w:szCs w:val="20"/>
        </w:rPr>
      </w:pPr>
      <w:bookmarkStart w:name="_DV_M761" w:id="1616"/>
      <w:bookmarkEnd w:id="1616"/>
    </w:p>
    <w:p w:rsidRPr="00D81774" w:rsidR="002D54C4" w:rsidP="00777BBC" w:rsidRDefault="008B55A2" w14:paraId="0DCF04A9" w14:textId="77777777">
      <w:pPr>
        <w:tabs>
          <w:tab w:val="left" w:pos="2160"/>
        </w:tabs>
        <w:spacing w:after="0" w:line="20" w:lineRule="atLeast"/>
        <w:rPr>
          <w:rFonts w:ascii="Arial" w:hAnsi="Arial" w:eastAsia="Times New Roman" w:cs="Arial"/>
          <w:sz w:val="20"/>
          <w:szCs w:val="20"/>
          <w:u w:val="single"/>
        </w:rPr>
      </w:pPr>
      <w:r>
        <w:rPr>
          <w:rFonts w:ascii="Arial" w:hAnsi="Arial" w:eastAsia="Times New Roman" w:cs="Arial"/>
          <w:sz w:val="20"/>
          <w:szCs w:val="20"/>
        </w:rPr>
        <w:t xml:space="preserve">“Account Party”: </w:t>
      </w:r>
      <w:r>
        <w:rPr>
          <w:rFonts w:ascii="Arial" w:hAnsi="Arial" w:eastAsia="Times New Roman" w:cs="Arial"/>
          <w:sz w:val="20"/>
          <w:szCs w:val="20"/>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p>
    <w:p w:rsidRPr="00D81774" w:rsidR="002D54C4" w:rsidP="00777BBC" w:rsidRDefault="002D54C4" w14:paraId="59F2807D" w14:textId="77777777">
      <w:pPr>
        <w:tabs>
          <w:tab w:val="left" w:pos="2160"/>
        </w:tabs>
        <w:spacing w:after="0" w:line="20" w:lineRule="atLeast"/>
        <w:rPr>
          <w:rFonts w:ascii="Arial" w:hAnsi="Arial" w:eastAsia="Times New Roman" w:cs="Arial"/>
          <w:sz w:val="20"/>
          <w:szCs w:val="20"/>
        </w:rPr>
      </w:pPr>
      <w:bookmarkStart w:name="_DV_M762" w:id="1617"/>
      <w:bookmarkEnd w:id="1617"/>
    </w:p>
    <w:p w:rsidRPr="00D81774" w:rsidR="002D54C4" w:rsidP="00777BBC" w:rsidRDefault="008B55A2" w14:paraId="473824FC" w14:textId="77777777">
      <w:pPr>
        <w:tabs>
          <w:tab w:val="left" w:pos="2160"/>
        </w:tabs>
        <w:spacing w:after="0" w:line="20" w:lineRule="atLeast"/>
        <w:rPr>
          <w:rFonts w:ascii="Arial" w:hAnsi="Arial" w:eastAsia="Times New Roman" w:cs="Arial"/>
          <w:sz w:val="20"/>
          <w:szCs w:val="20"/>
        </w:rPr>
      </w:pPr>
      <w:r>
        <w:rPr>
          <w:rFonts w:ascii="Arial" w:hAnsi="Arial" w:eastAsia="Times New Roman" w:cs="Arial"/>
          <w:sz w:val="20"/>
          <w:szCs w:val="20"/>
        </w:rPr>
        <w:t>Address:</w:t>
      </w:r>
      <w:r>
        <w:rPr>
          <w:rFonts w:ascii="Arial" w:hAnsi="Arial" w:eastAsia="Times New Roman" w:cs="Arial"/>
          <w:sz w:val="20"/>
          <w:szCs w:val="20"/>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u w:val="single"/>
        </w:rPr>
        <w:tab/>
      </w:r>
    </w:p>
    <w:p w:rsidRPr="00D81774" w:rsidR="002D54C4" w:rsidP="00777BBC" w:rsidRDefault="002D54C4" w14:paraId="4FEFAEC3" w14:textId="77777777">
      <w:pPr>
        <w:spacing w:after="0" w:line="20" w:lineRule="atLeast"/>
        <w:rPr>
          <w:rFonts w:ascii="Arial" w:hAnsi="Arial" w:eastAsia="Times New Roman" w:cs="Arial"/>
          <w:sz w:val="20"/>
          <w:szCs w:val="20"/>
        </w:rPr>
      </w:pPr>
    </w:p>
    <w:p w:rsidRPr="00D81774" w:rsidR="002D54C4" w:rsidP="00777BBC" w:rsidRDefault="008B55A2" w14:paraId="3910592A" w14:textId="77777777">
      <w:pPr>
        <w:spacing w:after="0" w:line="20" w:lineRule="atLeast"/>
        <w:ind w:left="2160" w:hanging="2160"/>
        <w:rPr>
          <w:rFonts w:ascii="Arial" w:hAnsi="Arial" w:eastAsia="Times New Roman" w:cs="Arial"/>
          <w:sz w:val="20"/>
          <w:szCs w:val="20"/>
        </w:rPr>
      </w:pPr>
      <w:bookmarkStart w:name="_DV_M763" w:id="1618"/>
      <w:bookmarkEnd w:id="1618"/>
      <w:r>
        <w:rPr>
          <w:rFonts w:ascii="Arial" w:hAnsi="Arial" w:eastAsia="Times New Roman" w:cs="Arial"/>
          <w:sz w:val="20"/>
          <w:szCs w:val="20"/>
        </w:rPr>
        <w:t>“Expiry Date”:</w:t>
      </w:r>
      <w:r>
        <w:rPr>
          <w:rFonts w:ascii="Arial" w:hAnsi="Arial" w:eastAsia="Times New Roman" w:cs="Arial"/>
          <w:sz w:val="20"/>
          <w:szCs w:val="20"/>
        </w:rPr>
        <w:tab/>
        <w:t>______________, 20__, and any automatically extended date, as herein provided [(</w:t>
      </w:r>
      <w:r>
        <w:rPr>
          <w:rFonts w:ascii="Arial" w:hAnsi="Arial" w:eastAsia="Times New Roman" w:cs="Arial"/>
          <w:sz w:val="20"/>
          <w:szCs w:val="20"/>
          <w:highlight w:val="yellow"/>
        </w:rPr>
        <w:t>but in no event later than _____________, 20__)</w:t>
      </w:r>
      <w:r>
        <w:rPr>
          <w:rFonts w:ascii="Arial" w:hAnsi="Arial" w:eastAsia="Times New Roman" w:cs="Arial"/>
          <w:sz w:val="20"/>
          <w:szCs w:val="20"/>
        </w:rPr>
        <w:t>]</w:t>
      </w:r>
    </w:p>
    <w:p w:rsidRPr="00D81774" w:rsidR="002D54C4" w:rsidP="00777BBC" w:rsidRDefault="002D54C4" w14:paraId="4339706E" w14:textId="77777777">
      <w:pPr>
        <w:spacing w:after="0" w:line="20" w:lineRule="atLeast"/>
        <w:rPr>
          <w:rFonts w:ascii="Arial" w:hAnsi="Arial" w:eastAsia="Times New Roman" w:cs="Arial"/>
          <w:sz w:val="20"/>
          <w:szCs w:val="20"/>
        </w:rPr>
      </w:pPr>
    </w:p>
    <w:p w:rsidRPr="00D81774" w:rsidR="002D54C4" w:rsidP="00777BBC" w:rsidRDefault="008B55A2" w14:paraId="0D9B1371" w14:textId="77777777">
      <w:pPr>
        <w:tabs>
          <w:tab w:val="left" w:pos="2160"/>
        </w:tabs>
        <w:spacing w:after="0" w:line="20" w:lineRule="atLeast"/>
        <w:rPr>
          <w:rFonts w:ascii="Arial" w:hAnsi="Arial" w:eastAsia="Times New Roman" w:cs="Arial"/>
          <w:sz w:val="20"/>
          <w:szCs w:val="20"/>
        </w:rPr>
      </w:pPr>
      <w:bookmarkStart w:name="_DV_M764" w:id="1619"/>
      <w:bookmarkEnd w:id="1619"/>
      <w:r>
        <w:rPr>
          <w:rFonts w:ascii="Arial" w:hAnsi="Arial" w:eastAsia="Times New Roman" w:cs="Arial"/>
          <w:sz w:val="20"/>
          <w:szCs w:val="20"/>
        </w:rPr>
        <w:t>“Total Amount”:</w:t>
      </w:r>
      <w:r>
        <w:rPr>
          <w:rFonts w:ascii="Arial" w:hAnsi="Arial" w:eastAsia="Times New Roman" w:cs="Arial"/>
          <w:sz w:val="20"/>
          <w:szCs w:val="20"/>
        </w:rPr>
        <w:tab/>
      </w:r>
      <w:r>
        <w:rPr>
          <w:rFonts w:ascii="Arial" w:hAnsi="Arial" w:eastAsia="Times New Roman" w:cs="Arial"/>
          <w:sz w:val="20"/>
          <w:szCs w:val="20"/>
          <w:u w:val="single"/>
        </w:rPr>
        <w:tab/>
      </w:r>
      <w:r>
        <w:rPr>
          <w:rFonts w:ascii="Arial" w:hAnsi="Arial" w:eastAsia="Times New Roman" w:cs="Arial"/>
          <w:sz w:val="20"/>
          <w:szCs w:val="20"/>
          <w:u w:val="single"/>
        </w:rPr>
        <w:tab/>
      </w:r>
      <w:r>
        <w:rPr>
          <w:rFonts w:ascii="Arial" w:hAnsi="Arial" w:eastAsia="Times New Roman" w:cs="Arial"/>
          <w:sz w:val="20"/>
          <w:szCs w:val="20"/>
        </w:rPr>
        <w:t>United States Dollars (U.S. $_____________)</w:t>
      </w:r>
    </w:p>
    <w:p w:rsidRPr="00D81774" w:rsidR="002D54C4" w:rsidP="00777BBC" w:rsidRDefault="002D54C4" w14:paraId="1145839C" w14:textId="77777777">
      <w:pPr>
        <w:spacing w:after="0" w:line="20" w:lineRule="atLeast"/>
        <w:rPr>
          <w:rFonts w:ascii="Arial" w:hAnsi="Arial" w:eastAsia="Times New Roman" w:cs="Arial"/>
          <w:sz w:val="20"/>
          <w:szCs w:val="20"/>
        </w:rPr>
      </w:pPr>
    </w:p>
    <w:p w:rsidR="002D54C4" w:rsidP="00777BBC" w:rsidRDefault="002D54C4" w14:paraId="32D6BBEF" w14:textId="77777777">
      <w:pPr>
        <w:spacing w:after="0" w:line="20" w:lineRule="atLeast"/>
        <w:jc w:val="both"/>
        <w:rPr>
          <w:rFonts w:ascii="Arial" w:hAnsi="Arial" w:eastAsia="Times New Roman" w:cs="Arial"/>
          <w:sz w:val="20"/>
          <w:szCs w:val="20"/>
        </w:rPr>
      </w:pPr>
    </w:p>
    <w:p w:rsidRPr="00D81774" w:rsidR="006408A8" w:rsidP="00777BBC" w:rsidRDefault="006408A8" w14:paraId="72F48581" w14:textId="77777777">
      <w:pPr>
        <w:spacing w:after="0" w:line="20" w:lineRule="atLeast"/>
        <w:jc w:val="both"/>
        <w:rPr>
          <w:rFonts w:ascii="Arial" w:hAnsi="Arial" w:eastAsia="Times New Roman" w:cs="Arial"/>
          <w:sz w:val="20"/>
          <w:szCs w:val="20"/>
        </w:rPr>
      </w:pPr>
      <w:bookmarkStart w:name="_DV_M765" w:id="1620"/>
      <w:bookmarkEnd w:id="1620"/>
    </w:p>
    <w:p w:rsidRPr="00D81774" w:rsidR="002D54C4" w:rsidP="00DD6C59" w:rsidRDefault="008B55A2" w14:paraId="29B2A338" w14:textId="77777777">
      <w:pPr>
        <w:spacing w:line="240" w:lineRule="auto"/>
        <w:jc w:val="both"/>
        <w:rPr>
          <w:rFonts w:ascii="Arial" w:hAnsi="Arial" w:eastAsia="Times New Roman" w:cs="Arial"/>
          <w:spacing w:val="-4"/>
          <w:sz w:val="20"/>
          <w:szCs w:val="20"/>
        </w:rPr>
      </w:pPr>
      <w:r>
        <w:rPr>
          <w:rFonts w:ascii="Arial" w:hAnsi="Arial" w:eastAsia="Times New Roman" w:cs="Arial"/>
          <w:spacing w:val="-4"/>
          <w:sz w:val="20"/>
          <w:szCs w:val="20"/>
        </w:rPr>
        <w:t>We, the Issuer, hereby establish in your favor, for the account of the Account Party, our irrevocable standby letter of credit (“</w:t>
      </w:r>
      <w:r>
        <w:rPr>
          <w:rFonts w:ascii="Arial" w:hAnsi="Arial" w:eastAsia="Times New Roman" w:cs="Arial"/>
          <w:b/>
          <w:spacing w:val="-4"/>
          <w:sz w:val="20"/>
          <w:szCs w:val="20"/>
        </w:rPr>
        <w:t>Standby Letter of Credit</w:t>
      </w:r>
      <w:r>
        <w:rPr>
          <w:rFonts w:ascii="Arial" w:hAnsi="Arial" w:eastAsia="Times New Roman" w:cs="Arial"/>
          <w:spacing w:val="-4"/>
          <w:sz w:val="20"/>
          <w:szCs w:val="20"/>
        </w:rPr>
        <w:t>”), in the aggregate amount not exceeding the Total Amount.</w:t>
      </w:r>
    </w:p>
    <w:p w:rsidRPr="00D81774" w:rsidR="002D54C4" w:rsidP="00DD6C59" w:rsidRDefault="008B55A2" w14:paraId="452C70D6" w14:textId="77777777">
      <w:pPr>
        <w:spacing w:line="240" w:lineRule="auto"/>
        <w:jc w:val="both"/>
        <w:rPr>
          <w:rFonts w:ascii="Arial" w:hAnsi="Arial" w:eastAsia="Times New Roman" w:cs="Arial"/>
          <w:spacing w:val="-4"/>
          <w:sz w:val="20"/>
          <w:szCs w:val="20"/>
        </w:rPr>
      </w:pPr>
      <w:bookmarkStart w:name="_DV_M766" w:id="1621"/>
      <w:bookmarkEnd w:id="1621"/>
      <w:r>
        <w:rPr>
          <w:rFonts w:ascii="Arial" w:hAnsi="Arial" w:eastAsia="Times New Roman" w:cs="Arial"/>
          <w:spacing w:val="-4"/>
          <w:sz w:val="20"/>
          <w:szCs w:val="20"/>
        </w:rPr>
        <w:t>Funds under this Standby Letter of Credit are available to you on or before the Expiry Date by presentation of your demand signed by one of your officers or authorized representatives, and delivered to us in substantially the form attached as Annex 1 (</w:t>
      </w:r>
      <w:r>
        <w:rPr>
          <w:rFonts w:ascii="Arial" w:hAnsi="Arial" w:eastAsia="Times New Roman" w:cs="Arial"/>
          <w:i/>
          <w:spacing w:val="-4"/>
          <w:sz w:val="20"/>
          <w:szCs w:val="20"/>
        </w:rPr>
        <w:t>Form of Sight Draft</w:t>
      </w:r>
      <w:r>
        <w:rPr>
          <w:rFonts w:ascii="Arial" w:hAnsi="Arial" w:eastAsia="Times New Roman" w:cs="Arial"/>
          <w:spacing w:val="-4"/>
          <w:sz w:val="20"/>
          <w:szCs w:val="20"/>
        </w:rPr>
        <w:t>) and referring thereon to the number and date of this Standby Letter of Credit, accompanied by a written and completed certificate signed by a person purporting to be one of your officers or authorized representatives, in the form attached as Annex 2 (</w:t>
      </w:r>
      <w:r>
        <w:rPr>
          <w:rFonts w:ascii="Arial" w:hAnsi="Arial" w:eastAsia="Times New Roman" w:cs="Arial"/>
          <w:i/>
          <w:spacing w:val="-4"/>
          <w:sz w:val="20"/>
          <w:szCs w:val="20"/>
        </w:rPr>
        <w:t>Form of Certificate</w:t>
      </w:r>
      <w:r>
        <w:rPr>
          <w:rFonts w:ascii="Arial" w:hAnsi="Arial" w:eastAsia="Times New Roman" w:cs="Arial"/>
          <w:spacing w:val="-4"/>
          <w:sz w:val="20"/>
          <w:szCs w:val="20"/>
        </w:rPr>
        <w:t>), with appropriate insertions.</w:t>
      </w:r>
    </w:p>
    <w:p w:rsidRPr="00D81774" w:rsidR="002D54C4" w:rsidP="00DD6C59" w:rsidRDefault="008B55A2" w14:paraId="54F1A53F" w14:textId="77777777">
      <w:pPr>
        <w:spacing w:line="240" w:lineRule="auto"/>
        <w:jc w:val="both"/>
        <w:rPr>
          <w:rFonts w:ascii="Arial" w:hAnsi="Arial" w:eastAsia="Times New Roman" w:cs="Arial"/>
          <w:spacing w:val="-4"/>
          <w:sz w:val="20"/>
          <w:szCs w:val="20"/>
        </w:rPr>
      </w:pPr>
      <w:bookmarkStart w:name="_DV_M767" w:id="1622"/>
      <w:bookmarkEnd w:id="1622"/>
      <w:r>
        <w:rPr>
          <w:rFonts w:ascii="Arial" w:hAnsi="Arial" w:eastAsia="Times New Roman" w:cs="Arial"/>
          <w:spacing w:val="-4"/>
          <w:sz w:val="20"/>
          <w:szCs w:val="20"/>
        </w:rPr>
        <w:t>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forth herein, that we have elected not to extend the Expiry Date for such additional period.</w:t>
      </w:r>
    </w:p>
    <w:p w:rsidRPr="00D81774" w:rsidR="002D54C4" w:rsidP="00DD6C59" w:rsidRDefault="008B55A2" w14:paraId="555D441E" w14:textId="77777777">
      <w:pPr>
        <w:spacing w:line="240" w:lineRule="auto"/>
        <w:jc w:val="both"/>
        <w:rPr>
          <w:rFonts w:ascii="Arial" w:hAnsi="Arial" w:eastAsia="Times New Roman" w:cs="Arial"/>
          <w:spacing w:val="-4"/>
          <w:sz w:val="20"/>
          <w:szCs w:val="20"/>
        </w:rPr>
      </w:pPr>
      <w:bookmarkStart w:name="_DV_M768" w:id="1623"/>
      <w:bookmarkEnd w:id="1623"/>
      <w:r>
        <w:rPr>
          <w:rFonts w:ascii="Arial" w:hAnsi="Arial" w:eastAsia="Times New Roman" w:cs="Arial"/>
          <w:spacing w:val="-4"/>
          <w:sz w:val="20"/>
          <w:szCs w:val="20"/>
        </w:rPr>
        <w:t xml:space="preserve">Delivery of demands and certificates will be made on any day that is a business day for us at or prior to 5:00 p.m. (Eastern Time) at our office located at __________, or at any other office in the United States of America that is 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Letter of Credit by facsimile or electronic transmission when promptly confirmed by written demand; however, actual disbursement of funds </w:t>
      </w:r>
      <w:r>
        <w:rPr>
          <w:rFonts w:ascii="Arial" w:hAnsi="Arial" w:eastAsia="Calibri" w:cs="Arial"/>
          <w:spacing w:val="-4"/>
          <w:sz w:val="20"/>
          <w:szCs w:val="20"/>
        </w:rPr>
        <w:t>under</w:t>
      </w:r>
      <w:r>
        <w:rPr>
          <w:rFonts w:ascii="Arial" w:hAnsi="Arial" w:eastAsia="Times New Roman" w:cs="Arial"/>
          <w:spacing w:val="-4"/>
          <w:sz w:val="20"/>
          <w:szCs w:val="20"/>
        </w:rPr>
        <w:t xml:space="preserve"> a demand presented by facsimile or electronic transmission may not occur until we are presented with the original Standby Letter of Credit.</w:t>
      </w:r>
    </w:p>
    <w:p w:rsidRPr="00D81774" w:rsidR="002D54C4" w:rsidP="00DD6C59" w:rsidRDefault="008B55A2" w14:paraId="760B11C1" w14:textId="77777777">
      <w:pPr>
        <w:spacing w:line="240" w:lineRule="auto"/>
        <w:jc w:val="both"/>
        <w:rPr>
          <w:rFonts w:ascii="Arial" w:hAnsi="Arial" w:eastAsia="Times New Roman" w:cs="Arial"/>
          <w:spacing w:val="-4"/>
          <w:sz w:val="20"/>
          <w:szCs w:val="20"/>
        </w:rPr>
      </w:pPr>
      <w:bookmarkStart w:name="_DV_M769" w:id="1624"/>
      <w:bookmarkEnd w:id="1624"/>
      <w:r>
        <w:rPr>
          <w:rFonts w:ascii="Arial" w:hAnsi="Arial" w:eastAsia="Times New Roman" w:cs="Arial"/>
          <w:spacing w:val="-4"/>
          <w:sz w:val="20"/>
          <w:szCs w:val="20"/>
        </w:rPr>
        <w:lastRenderedPageBreak/>
        <w:t xml:space="preserve">Partial drawings and multiple presentations may be made under this Standby Letter of Credit, </w:t>
      </w:r>
      <w:r>
        <w:rPr>
          <w:rFonts w:ascii="Arial" w:hAnsi="Arial" w:eastAsia="Times New Roman" w:cs="Arial"/>
          <w:spacing w:val="-4"/>
          <w:sz w:val="20"/>
          <w:szCs w:val="20"/>
          <w:u w:val="single"/>
        </w:rPr>
        <w:t>provided</w:t>
      </w:r>
      <w:r>
        <w:rPr>
          <w:rFonts w:ascii="Arial" w:hAnsi="Arial" w:eastAsia="Times New Roman" w:cs="Arial"/>
          <w:spacing w:val="-4"/>
          <w:sz w:val="20"/>
          <w:szCs w:val="20"/>
        </w:rPr>
        <w:t xml:space="preserve">, </w:t>
      </w:r>
      <w:r>
        <w:rPr>
          <w:rFonts w:ascii="Arial" w:hAnsi="Arial" w:eastAsia="Times New Roman" w:cs="Arial"/>
          <w:spacing w:val="-4"/>
          <w:sz w:val="20"/>
          <w:szCs w:val="20"/>
          <w:u w:val="single"/>
        </w:rPr>
        <w:t>however</w:t>
      </w:r>
      <w:r>
        <w:rPr>
          <w:rFonts w:ascii="Arial" w:hAnsi="Arial" w:eastAsia="Times New Roman" w:cs="Arial"/>
          <w:spacing w:val="-4"/>
          <w:sz w:val="20"/>
          <w:szCs w:val="20"/>
        </w:rPr>
        <w:t>, that each such demand that is paid by us will reduce the amount available under this Standby Letter of Credit.</w:t>
      </w:r>
    </w:p>
    <w:p w:rsidRPr="00D81774" w:rsidR="002D54C4" w:rsidP="00DD6C59" w:rsidRDefault="008B55A2" w14:paraId="21B517AB" w14:textId="77777777">
      <w:pPr>
        <w:spacing w:line="240" w:lineRule="auto"/>
        <w:jc w:val="both"/>
        <w:rPr>
          <w:rFonts w:ascii="Arial" w:hAnsi="Arial" w:eastAsia="Times New Roman" w:cs="Arial"/>
          <w:spacing w:val="-4"/>
          <w:sz w:val="20"/>
          <w:szCs w:val="20"/>
        </w:rPr>
      </w:pPr>
      <w:bookmarkStart w:name="_DV_M770" w:id="1625"/>
      <w:bookmarkEnd w:id="1625"/>
      <w:r>
        <w:rPr>
          <w:rFonts w:ascii="Arial" w:hAnsi="Arial" w:eastAsia="Times New Roman" w:cs="Arial"/>
          <w:spacing w:val="-4"/>
          <w:sz w:val="20"/>
          <w:szCs w:val="20"/>
        </w:rPr>
        <w:t>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w:t>
      </w:r>
    </w:p>
    <w:p w:rsidRPr="00D81774" w:rsidR="002D54C4" w:rsidP="00DD6C59" w:rsidRDefault="008B55A2" w14:paraId="3B59CD05" w14:textId="77777777">
      <w:pPr>
        <w:spacing w:line="240" w:lineRule="auto"/>
        <w:jc w:val="both"/>
        <w:rPr>
          <w:rFonts w:ascii="Arial" w:hAnsi="Arial" w:eastAsia="Times New Roman" w:cs="Arial"/>
          <w:spacing w:val="-4"/>
          <w:sz w:val="20"/>
          <w:szCs w:val="20"/>
        </w:rPr>
      </w:pPr>
      <w:bookmarkStart w:name="_DV_M771" w:id="1626"/>
      <w:bookmarkEnd w:id="1626"/>
      <w:r>
        <w:rPr>
          <w:rFonts w:ascii="Arial" w:hAnsi="Arial" w:eastAsia="Times New Roman" w:cs="Arial"/>
          <w:spacing w:val="-4"/>
          <w:sz w:val="20"/>
          <w:szCs w:val="20"/>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rsidRPr="00D81774" w:rsidR="002D54C4" w:rsidP="00DD6C59" w:rsidRDefault="008B55A2" w14:paraId="7F1B00BE" w14:textId="77777777">
      <w:pPr>
        <w:spacing w:line="240" w:lineRule="auto"/>
        <w:jc w:val="both"/>
        <w:rPr>
          <w:rFonts w:ascii="Arial" w:hAnsi="Arial" w:eastAsia="Times New Roman" w:cs="Arial"/>
          <w:spacing w:val="-4"/>
          <w:sz w:val="20"/>
          <w:szCs w:val="20"/>
        </w:rPr>
      </w:pPr>
      <w:bookmarkStart w:name="_DV_M772" w:id="1627"/>
      <w:bookmarkEnd w:id="1627"/>
      <w:r>
        <w:rPr>
          <w:rFonts w:ascii="Arial" w:hAnsi="Arial" w:eastAsia="Times New Roman" w:cs="Arial"/>
          <w:spacing w:val="-4"/>
          <w:sz w:val="20"/>
          <w:szCs w:val="20"/>
        </w:rPr>
        <w:t>This Standby Letter of Credit is transferable and can be successively transferred to any transferee that Beneficiary states in writing to us has succeeded such Beneficiary under this Letter of Credit; provided that such transfer to such transferee is in compliance with applicable U.S. laws and regulations. Transfer of this Standby Letter of Credit to any transferee will be effected by the presentation to us of this Standby Letter of Credit accompanied by a certificate in the form attached as Annex 3 (</w:t>
      </w:r>
      <w:r>
        <w:rPr>
          <w:rFonts w:ascii="Arial" w:hAnsi="Arial" w:eastAsia="Times New Roman" w:cs="Arial"/>
          <w:i/>
          <w:spacing w:val="-4"/>
          <w:sz w:val="20"/>
          <w:szCs w:val="20"/>
        </w:rPr>
        <w:t>Form of Instruction to Assign in Entirety</w:t>
      </w:r>
      <w:r>
        <w:rPr>
          <w:rFonts w:ascii="Arial" w:hAnsi="Arial" w:eastAsia="Times New Roman" w:cs="Arial"/>
          <w:spacing w:val="-4"/>
          <w:sz w:val="20"/>
          <w:szCs w:val="20"/>
        </w:rPr>
        <w:t>),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rsidRPr="00D81774" w:rsidR="002D54C4" w:rsidP="00DD6C59" w:rsidRDefault="008B55A2" w14:paraId="49F8879D" w14:textId="77777777">
      <w:pPr>
        <w:spacing w:line="240" w:lineRule="auto"/>
        <w:jc w:val="both"/>
        <w:rPr>
          <w:rFonts w:ascii="Arial" w:hAnsi="Arial" w:eastAsia="Times New Roman" w:cs="Arial"/>
          <w:spacing w:val="-4"/>
          <w:sz w:val="20"/>
          <w:szCs w:val="20"/>
        </w:rPr>
      </w:pPr>
      <w:bookmarkStart w:name="_DV_M773" w:id="1628"/>
      <w:bookmarkEnd w:id="1628"/>
      <w:r>
        <w:rPr>
          <w:rFonts w:ascii="Arial" w:hAnsi="Arial" w:eastAsia="Times New Roman" w:cs="Arial"/>
          <w:spacing w:val="-4"/>
          <w:sz w:val="20"/>
          <w:szCs w:val="20"/>
        </w:rPr>
        <w:t>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w:t>
      </w:r>
    </w:p>
    <w:p w:rsidRPr="00D81774" w:rsidR="002D54C4" w:rsidP="00DD6C59" w:rsidRDefault="008B55A2" w14:paraId="5E775EFC" w14:textId="77777777">
      <w:pPr>
        <w:spacing w:line="240" w:lineRule="auto"/>
        <w:jc w:val="both"/>
        <w:rPr>
          <w:rFonts w:ascii="Arial" w:hAnsi="Arial" w:eastAsia="Times New Roman" w:cs="Arial"/>
          <w:spacing w:val="-4"/>
          <w:sz w:val="20"/>
          <w:szCs w:val="20"/>
        </w:rPr>
      </w:pPr>
      <w:bookmarkStart w:name="_DV_M774" w:id="1629"/>
      <w:bookmarkEnd w:id="1629"/>
      <w:r>
        <w:rPr>
          <w:rFonts w:ascii="Arial" w:hAnsi="Arial" w:eastAsia="Times New Roman" w:cs="Arial"/>
          <w:spacing w:val="-4"/>
          <w:sz w:val="20"/>
          <w:szCs w:val="20"/>
        </w:rPr>
        <w:t>To the extent not contrary to the express terms hereof, this Standby Letter of Credit will be governed by the International Standby Practices (“</w:t>
      </w:r>
      <w:r>
        <w:rPr>
          <w:rFonts w:ascii="Arial" w:hAnsi="Arial" w:eastAsia="Times New Roman" w:cs="Arial"/>
          <w:b/>
          <w:spacing w:val="-4"/>
          <w:sz w:val="20"/>
          <w:szCs w:val="20"/>
        </w:rPr>
        <w:t>ISP98</w:t>
      </w:r>
      <w:r>
        <w:rPr>
          <w:rFonts w:ascii="Arial" w:hAnsi="Arial" w:eastAsia="Times New Roman" w:cs="Arial"/>
          <w:spacing w:val="-4"/>
          <w:sz w:val="20"/>
          <w:szCs w:val="20"/>
        </w:rPr>
        <w:t>”). This Standby Letter of Credit will be deemed to be a contract made under the laws of the state of Georgia and will, as to matters not governed by the ISP98, be governed by and construed in accordance with the laws of the state of Georgia.</w:t>
      </w:r>
    </w:p>
    <w:p w:rsidRPr="00D81774" w:rsidR="002D54C4" w:rsidP="00DD6C59" w:rsidRDefault="008B55A2" w14:paraId="2483D84B" w14:textId="77777777">
      <w:pPr>
        <w:spacing w:line="240" w:lineRule="auto"/>
        <w:jc w:val="both"/>
        <w:rPr>
          <w:rFonts w:ascii="Arial" w:hAnsi="Arial" w:eastAsia="Times New Roman" w:cs="Arial"/>
          <w:spacing w:val="-4"/>
          <w:sz w:val="20"/>
          <w:szCs w:val="20"/>
        </w:rPr>
      </w:pPr>
      <w:bookmarkStart w:name="_DV_M775" w:id="1630"/>
      <w:bookmarkEnd w:id="1630"/>
      <w:r>
        <w:rPr>
          <w:rFonts w:ascii="Arial" w:hAnsi="Arial" w:eastAsia="Times New Roman" w:cs="Arial"/>
          <w:spacing w:val="-4"/>
          <w:sz w:val="20"/>
          <w:szCs w:val="20"/>
        </w:rPr>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rsidRPr="00D81774" w:rsidR="002D54C4" w:rsidP="00A202B9" w:rsidRDefault="002D54C4" w14:paraId="710D7A8D" w14:textId="77777777">
      <w:pPr>
        <w:ind w:left="5040"/>
        <w:rPr>
          <w:rFonts w:ascii="Arial" w:hAnsi="Arial" w:eastAsia="Times New Roman" w:cs="Arial"/>
          <w:sz w:val="20"/>
          <w:szCs w:val="20"/>
        </w:rPr>
      </w:pPr>
    </w:p>
    <w:p w:rsidRPr="00D81774" w:rsidR="002D54C4" w:rsidP="00A202B9" w:rsidRDefault="008B55A2" w14:paraId="2D23741A" w14:textId="77777777">
      <w:pPr>
        <w:ind w:left="5040"/>
        <w:rPr>
          <w:rFonts w:ascii="Arial" w:hAnsi="Arial" w:eastAsia="Times New Roman" w:cs="Arial"/>
          <w:sz w:val="20"/>
          <w:szCs w:val="20"/>
        </w:rPr>
      </w:pPr>
      <w:bookmarkStart w:name="_DV_M776" w:id="1631"/>
      <w:bookmarkEnd w:id="1631"/>
      <w:r>
        <w:rPr>
          <w:rFonts w:ascii="Arial" w:hAnsi="Arial" w:eastAsia="Times New Roman" w:cs="Arial"/>
          <w:sz w:val="20"/>
          <w:szCs w:val="20"/>
        </w:rPr>
        <w:t>[</w:t>
      </w:r>
      <w:r>
        <w:rPr>
          <w:rFonts w:ascii="Arial" w:hAnsi="Arial" w:eastAsia="Times New Roman" w:cs="Arial"/>
          <w:sz w:val="20"/>
          <w:szCs w:val="20"/>
          <w:highlight w:val="yellow"/>
        </w:rPr>
        <w:t>ISSUING BANK</w:t>
      </w:r>
      <w:r>
        <w:rPr>
          <w:rFonts w:ascii="Arial" w:hAnsi="Arial" w:eastAsia="Times New Roman" w:cs="Arial"/>
          <w:sz w:val="20"/>
          <w:szCs w:val="20"/>
        </w:rPr>
        <w:t>]</w:t>
      </w:r>
    </w:p>
    <w:p w:rsidRPr="00D81774" w:rsidR="002D54C4" w:rsidP="00A202B9" w:rsidRDefault="002D54C4" w14:paraId="4429CD1B" w14:textId="77777777">
      <w:pPr>
        <w:rPr>
          <w:rFonts w:ascii="Arial" w:hAnsi="Arial" w:eastAsia="Times New Roman" w:cs="Arial"/>
          <w:spacing w:val="-4"/>
          <w:sz w:val="20"/>
          <w:szCs w:val="20"/>
        </w:rPr>
      </w:pPr>
    </w:p>
    <w:p w:rsidRPr="00D81774" w:rsidR="002D54C4" w:rsidP="00CE0799" w:rsidRDefault="002D54C4" w14:paraId="12AE5F7A" w14:textId="77777777">
      <w:pPr>
        <w:spacing w:after="0" w:line="240" w:lineRule="auto"/>
        <w:rPr>
          <w:rFonts w:ascii="Arial" w:hAnsi="Arial" w:eastAsia="Times New Roman" w:cs="Arial"/>
          <w:spacing w:val="-4"/>
          <w:sz w:val="20"/>
          <w:szCs w:val="20"/>
        </w:rPr>
      </w:pPr>
    </w:p>
    <w:p w:rsidR="00CE0799" w:rsidP="00CE0799" w:rsidRDefault="008B55A2" w14:paraId="4691768E" w14:textId="77777777">
      <w:pPr>
        <w:tabs>
          <w:tab w:val="left" w:pos="5040"/>
        </w:tabs>
        <w:spacing w:after="0" w:line="240" w:lineRule="auto"/>
        <w:rPr>
          <w:rFonts w:ascii="Arial" w:hAnsi="Arial" w:eastAsia="Times New Roman" w:cs="Arial"/>
          <w:spacing w:val="-4"/>
          <w:sz w:val="20"/>
          <w:szCs w:val="20"/>
        </w:rPr>
      </w:pPr>
      <w:bookmarkStart w:name="_DV_M777" w:id="1632"/>
      <w:bookmarkEnd w:id="1632"/>
      <w:r>
        <w:rPr>
          <w:rFonts w:ascii="Arial" w:hAnsi="Arial" w:eastAsia="Times New Roman" w:cs="Arial"/>
          <w:spacing w:val="-4"/>
          <w:sz w:val="20"/>
          <w:szCs w:val="20"/>
        </w:rPr>
        <w:tab/>
        <w:t>By:</w:t>
      </w:r>
      <w:r>
        <w:rPr>
          <w:rFonts w:ascii="Arial" w:hAnsi="Arial" w:eastAsia="Times New Roman" w:cs="Arial"/>
          <w:spacing w:val="-4"/>
          <w:sz w:val="20"/>
          <w:szCs w:val="20"/>
          <w:u w:val="single"/>
        </w:rPr>
        <w:tab/>
      </w:r>
      <w:r>
        <w:rPr>
          <w:rFonts w:ascii="Arial" w:hAnsi="Arial" w:eastAsia="Times New Roman" w:cs="Arial"/>
          <w:spacing w:val="-4"/>
          <w:sz w:val="20"/>
          <w:szCs w:val="20"/>
          <w:u w:val="single"/>
        </w:rPr>
        <w:tab/>
      </w:r>
      <w:r>
        <w:rPr>
          <w:rFonts w:ascii="Arial" w:hAnsi="Arial" w:eastAsia="Times New Roman" w:cs="Arial"/>
          <w:spacing w:val="-4"/>
          <w:sz w:val="20"/>
          <w:szCs w:val="20"/>
          <w:u w:val="single"/>
        </w:rPr>
        <w:tab/>
      </w:r>
      <w:r>
        <w:rPr>
          <w:rFonts w:ascii="Arial" w:hAnsi="Arial" w:eastAsia="Times New Roman" w:cs="Arial"/>
          <w:spacing w:val="-4"/>
          <w:sz w:val="20"/>
          <w:szCs w:val="20"/>
          <w:u w:val="single"/>
        </w:rPr>
        <w:tab/>
      </w:r>
      <w:r>
        <w:rPr>
          <w:rFonts w:ascii="Arial" w:hAnsi="Arial" w:eastAsia="Times New Roman" w:cs="Arial"/>
          <w:spacing w:val="-4"/>
          <w:sz w:val="20"/>
          <w:szCs w:val="20"/>
        </w:rPr>
        <w:tab/>
      </w:r>
    </w:p>
    <w:p w:rsidRPr="00D81774" w:rsidR="002D54C4" w:rsidP="00CE0799" w:rsidRDefault="008B55A2" w14:paraId="557DF802" w14:textId="77777777">
      <w:pPr>
        <w:tabs>
          <w:tab w:val="left" w:pos="5040"/>
        </w:tabs>
        <w:spacing w:after="0" w:line="240" w:lineRule="auto"/>
        <w:rPr>
          <w:rFonts w:ascii="Arial" w:hAnsi="Arial" w:eastAsia="Times New Roman" w:cs="Arial"/>
          <w:spacing w:val="-4"/>
          <w:sz w:val="20"/>
          <w:szCs w:val="20"/>
        </w:rPr>
      </w:pPr>
      <w:r>
        <w:rPr>
          <w:rFonts w:ascii="Arial" w:hAnsi="Arial" w:eastAsia="Times New Roman" w:cs="Arial"/>
          <w:spacing w:val="-4"/>
          <w:sz w:val="20"/>
          <w:szCs w:val="20"/>
        </w:rPr>
        <w:tab/>
        <w:t>Authorized Signature</w:t>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r>
        <w:rPr>
          <w:rFonts w:ascii="Arial" w:hAnsi="Arial" w:eastAsia="Times New Roman" w:cs="Arial"/>
          <w:spacing w:val="-4"/>
          <w:sz w:val="20"/>
          <w:szCs w:val="20"/>
        </w:rPr>
        <w:tab/>
      </w:r>
    </w:p>
    <w:p w:rsidRPr="00D81774" w:rsidR="003C77CE" w:rsidP="002D54C4" w:rsidRDefault="003C77CE" w14:paraId="5CA03712" w14:textId="77777777">
      <w:pPr>
        <w:tabs>
          <w:tab w:val="left" w:pos="5040"/>
        </w:tabs>
        <w:rPr>
          <w:rFonts w:ascii="Arial" w:hAnsi="Arial" w:eastAsia="Times New Roman" w:cs="Arial"/>
          <w:spacing w:val="-4"/>
          <w:sz w:val="20"/>
          <w:szCs w:val="20"/>
        </w:rPr>
        <w:sectPr w:rsidRPr="00D81774" w:rsidR="003C77CE" w:rsidSect="00226062">
          <w:headerReference w:type="even" r:id="rId102"/>
          <w:headerReference w:type="default" r:id="rId103"/>
          <w:footerReference w:type="even" r:id="rId104"/>
          <w:footerReference w:type="default" r:id="rId105"/>
          <w:headerReference w:type="first" r:id="rId106"/>
          <w:footerReference w:type="first" r:id="rId107"/>
          <w:pgSz w:w="12240" w:h="15840" w:code="1"/>
          <w:pgMar w:top="1080" w:right="1008" w:bottom="936" w:left="1224" w:header="432" w:footer="576" w:gutter="0"/>
          <w:cols w:space="720"/>
          <w:noEndnote/>
        </w:sectPr>
      </w:pPr>
    </w:p>
    <w:p w:rsidRPr="00D81774" w:rsidR="002D54C4" w:rsidP="00702472" w:rsidRDefault="008B55A2" w14:paraId="096D9F49" w14:textId="77777777">
      <w:pPr>
        <w:tabs>
          <w:tab w:val="left" w:pos="5040"/>
        </w:tabs>
        <w:rPr>
          <w:rFonts w:ascii="Arial" w:hAnsi="Arial" w:eastAsia="Times New Roman" w:cs="Arial"/>
          <w:spacing w:val="-4"/>
          <w:sz w:val="20"/>
          <w:szCs w:val="20"/>
        </w:rPr>
      </w:pPr>
      <w:r>
        <w:rPr>
          <w:rFonts w:ascii="Arial" w:hAnsi="Arial" w:eastAsia="Times New Roman" w:cs="Arial"/>
          <w:spacing w:val="-4"/>
          <w:sz w:val="20"/>
          <w:szCs w:val="20"/>
        </w:rPr>
        <w:tab/>
      </w:r>
    </w:p>
    <w:p w:rsidR="00D01138" w:rsidRDefault="008B55A2" w14:paraId="4D845CA8" w14:textId="77777777">
      <w:pPr>
        <w:rPr>
          <w:rFonts w:ascii="Arial" w:hAnsi="Arial" w:eastAsia="Times New Roman" w:cs="Arial"/>
          <w:spacing w:val="-4"/>
          <w:sz w:val="20"/>
          <w:szCs w:val="20"/>
        </w:rPr>
        <w:sectPr w:rsidR="00D01138" w:rsidSect="00226062">
          <w:headerReference w:type="even" r:id="rId108"/>
          <w:headerReference w:type="default" r:id="rId109"/>
          <w:footerReference w:type="even" r:id="rId110"/>
          <w:footerReference w:type="default" r:id="rId111"/>
          <w:headerReference w:type="first" r:id="rId112"/>
          <w:footerReference w:type="first" r:id="rId113"/>
          <w:type w:val="continuous"/>
          <w:pgSz w:w="12240" w:h="15840" w:code="1"/>
          <w:pgMar w:top="1080" w:right="1008" w:bottom="936" w:left="1224" w:header="432" w:footer="576" w:gutter="0"/>
          <w:cols w:space="720"/>
          <w:noEndnote/>
        </w:sectPr>
      </w:pPr>
      <w:r>
        <w:rPr>
          <w:rFonts w:ascii="Arial" w:hAnsi="Arial" w:eastAsia="Times New Roman" w:cs="Arial"/>
          <w:spacing w:val="-4"/>
          <w:sz w:val="20"/>
          <w:szCs w:val="20"/>
        </w:rPr>
        <w:br w:type="page"/>
      </w:r>
    </w:p>
    <w:p w:rsidR="004F58DB" w:rsidRDefault="004F58DB" w14:paraId="69E36827" w14:textId="77777777">
      <w:pPr>
        <w:rPr>
          <w:rFonts w:ascii="Arial" w:hAnsi="Arial" w:eastAsia="Times New Roman" w:cs="Arial"/>
          <w:spacing w:val="-4"/>
          <w:sz w:val="20"/>
          <w:szCs w:val="20"/>
        </w:rPr>
      </w:pPr>
    </w:p>
    <w:p w:rsidRPr="00BE07C6" w:rsidR="002D54C4" w:rsidP="002D54C4" w:rsidRDefault="008B55A2" w14:paraId="541F992D" w14:textId="77777777">
      <w:pPr>
        <w:spacing w:after="240"/>
        <w:jc w:val="center"/>
        <w:outlineLvl w:val="3"/>
        <w:rPr>
          <w:rFonts w:ascii="Arial Bold" w:hAnsi="Arial Bold" w:eastAsia="Calibri"/>
          <w:b/>
          <w:caps/>
        </w:rPr>
      </w:pPr>
      <w:bookmarkStart w:name="_DV_M779" w:id="1633"/>
      <w:bookmarkEnd w:id="1633"/>
      <w:r>
        <w:rPr>
          <w:rFonts w:ascii="Arial Bold" w:hAnsi="Arial Bold" w:eastAsia="Calibri"/>
          <w:b/>
          <w:caps/>
        </w:rPr>
        <w:t>Annex 1</w:t>
      </w:r>
    </w:p>
    <w:p w:rsidRPr="00BE07C6" w:rsidR="002D54C4" w:rsidP="002D54C4" w:rsidRDefault="008B55A2" w14:paraId="5B443A99" w14:textId="77777777">
      <w:pPr>
        <w:jc w:val="center"/>
        <w:rPr>
          <w:rFonts w:ascii="Arial Bold" w:hAnsi="Arial Bold" w:eastAsia="Calibri"/>
          <w:b/>
          <w:caps/>
        </w:rPr>
      </w:pPr>
      <w:bookmarkStart w:name="_DV_M780" w:id="1634"/>
      <w:bookmarkEnd w:id="1634"/>
      <w:r>
        <w:rPr>
          <w:rFonts w:ascii="Arial Bold" w:hAnsi="Arial Bold" w:eastAsia="Calibri"/>
          <w:b/>
          <w:caps/>
        </w:rPr>
        <w:t>Form of Sight Draft</w:t>
      </w:r>
    </w:p>
    <w:p w:rsidR="002D54C4" w:rsidP="00CE0799" w:rsidRDefault="002D54C4" w14:paraId="6388E4F5" w14:textId="77777777">
      <w:pPr>
        <w:spacing w:after="0" w:line="240" w:lineRule="auto"/>
        <w:jc w:val="center"/>
        <w:rPr>
          <w:rFonts w:eastAsia="Times New Roman"/>
          <w:highlight w:val="yellow"/>
        </w:rPr>
      </w:pPr>
    </w:p>
    <w:p w:rsidRPr="00C935B0" w:rsidR="002D54C4" w:rsidP="00FF6840" w:rsidRDefault="008B55A2" w14:paraId="15C481FE" w14:textId="77777777">
      <w:pPr>
        <w:spacing w:before="120" w:after="120" w:line="240" w:lineRule="auto"/>
        <w:rPr>
          <w:rFonts w:ascii="Arial" w:hAnsi="Arial" w:eastAsia="Times New Roman" w:cs="Arial"/>
          <w:sz w:val="20"/>
          <w:szCs w:val="20"/>
        </w:rPr>
      </w:pPr>
      <w:r>
        <w:rPr>
          <w:rFonts w:ascii="Arial" w:hAnsi="Arial" w:eastAsia="Times New Roman" w:cs="Arial"/>
          <w:sz w:val="20"/>
          <w:szCs w:val="20"/>
          <w:highlight w:val="yellow"/>
        </w:rPr>
        <w:t>[Insert Place</w:t>
      </w:r>
      <w:r>
        <w:rPr>
          <w:rFonts w:ascii="Arial" w:hAnsi="Arial" w:eastAsia="Times New Roman" w:cs="Arial"/>
          <w:sz w:val="20"/>
          <w:szCs w:val="20"/>
        </w:rPr>
        <w:t>], [</w:t>
      </w:r>
      <w:r>
        <w:rPr>
          <w:rFonts w:ascii="Arial" w:hAnsi="Arial" w:eastAsia="Times New Roman" w:cs="Arial"/>
          <w:sz w:val="20"/>
          <w:szCs w:val="20"/>
          <w:highlight w:val="yellow"/>
        </w:rPr>
        <w:t>Insert Date</w:t>
      </w:r>
      <w:r>
        <w:rPr>
          <w:rFonts w:ascii="Arial" w:hAnsi="Arial" w:eastAsia="Times New Roman" w:cs="Arial"/>
          <w:sz w:val="20"/>
          <w:szCs w:val="20"/>
        </w:rPr>
        <w:t>]</w:t>
      </w:r>
    </w:p>
    <w:p w:rsidRPr="00C935B0" w:rsidR="002D54C4" w:rsidP="00FF6840" w:rsidRDefault="002D54C4" w14:paraId="2EBBB1D6" w14:textId="77777777">
      <w:pPr>
        <w:spacing w:before="120" w:after="120" w:line="240" w:lineRule="auto"/>
        <w:rPr>
          <w:rFonts w:ascii="Arial" w:hAnsi="Arial" w:eastAsia="Times New Roman" w:cs="Arial"/>
          <w:sz w:val="20"/>
          <w:szCs w:val="20"/>
        </w:rPr>
      </w:pPr>
    </w:p>
    <w:p w:rsidRPr="00C935B0" w:rsidR="002D54C4" w:rsidP="00FF6840" w:rsidRDefault="008B55A2" w14:paraId="71A219EF" w14:textId="77777777">
      <w:pPr>
        <w:tabs>
          <w:tab w:val="left" w:pos="1440"/>
        </w:tabs>
        <w:spacing w:before="120" w:after="120" w:line="240" w:lineRule="auto"/>
        <w:rPr>
          <w:rFonts w:ascii="Arial" w:hAnsi="Arial" w:eastAsia="Times New Roman" w:cs="Arial"/>
          <w:sz w:val="20"/>
          <w:szCs w:val="20"/>
        </w:rPr>
      </w:pPr>
      <w:bookmarkStart w:name="_DV_M782" w:id="1635"/>
      <w:bookmarkEnd w:id="1635"/>
      <w:r>
        <w:rPr>
          <w:rFonts w:ascii="Arial" w:hAnsi="Arial" w:eastAsia="Times New Roman" w:cs="Arial"/>
          <w:sz w:val="20"/>
          <w:szCs w:val="20"/>
        </w:rPr>
        <w:t>Amount:</w:t>
      </w:r>
      <w:r>
        <w:rPr>
          <w:rFonts w:ascii="Arial" w:hAnsi="Arial" w:eastAsia="Times New Roman" w:cs="Arial"/>
          <w:sz w:val="20"/>
          <w:szCs w:val="20"/>
        </w:rPr>
        <w:tab/>
        <w:t>[</w:t>
      </w:r>
      <w:r>
        <w:rPr>
          <w:rFonts w:ascii="Arial" w:hAnsi="Arial" w:eastAsia="Times New Roman" w:cs="Arial"/>
          <w:sz w:val="20"/>
          <w:szCs w:val="20"/>
          <w:highlight w:val="yellow"/>
        </w:rPr>
        <w:t>Insert Currency</w:t>
      </w:r>
      <w:r>
        <w:rPr>
          <w:rFonts w:ascii="Arial" w:hAnsi="Arial" w:eastAsia="Times New Roman" w:cs="Arial"/>
          <w:sz w:val="20"/>
          <w:szCs w:val="20"/>
        </w:rPr>
        <w:t>] [</w:t>
      </w:r>
      <w:r>
        <w:rPr>
          <w:rFonts w:ascii="Arial" w:hAnsi="Arial" w:eastAsia="Times New Roman" w:cs="Arial"/>
          <w:sz w:val="20"/>
          <w:szCs w:val="20"/>
          <w:highlight w:val="yellow"/>
        </w:rPr>
        <w:t>Insert Amount in Numbers</w:t>
      </w:r>
      <w:r>
        <w:rPr>
          <w:rFonts w:ascii="Arial" w:hAnsi="Arial" w:eastAsia="Times New Roman" w:cs="Arial"/>
          <w:sz w:val="20"/>
          <w:szCs w:val="20"/>
        </w:rPr>
        <w:t>]</w:t>
      </w:r>
    </w:p>
    <w:p w:rsidRPr="00C935B0" w:rsidR="002D54C4" w:rsidP="00FF6840" w:rsidRDefault="008B55A2" w14:paraId="72C9D2B1" w14:textId="77777777">
      <w:pPr>
        <w:tabs>
          <w:tab w:val="left" w:pos="720"/>
          <w:tab w:val="left" w:pos="1440"/>
        </w:tabs>
        <w:spacing w:before="120" w:after="120" w:line="240" w:lineRule="auto"/>
        <w:rPr>
          <w:rFonts w:ascii="Arial" w:hAnsi="Arial" w:eastAsia="Times New Roman" w:cs="Arial"/>
          <w:sz w:val="20"/>
          <w:szCs w:val="20"/>
        </w:rPr>
      </w:pPr>
      <w:bookmarkStart w:name="_DV_M783" w:id="1636"/>
      <w:bookmarkEnd w:id="1636"/>
      <w:r>
        <w:rPr>
          <w:rFonts w:ascii="Arial" w:hAnsi="Arial" w:eastAsia="Times New Roman" w:cs="Arial"/>
          <w:sz w:val="20"/>
          <w:szCs w:val="20"/>
        </w:rPr>
        <w:tab/>
      </w:r>
      <w:r>
        <w:rPr>
          <w:rFonts w:ascii="Arial" w:hAnsi="Arial" w:eastAsia="Times New Roman" w:cs="Arial"/>
          <w:sz w:val="20"/>
          <w:szCs w:val="20"/>
        </w:rPr>
        <w:tab/>
      </w:r>
      <w:r>
        <w:rPr>
          <w:rFonts w:ascii="Arial" w:hAnsi="Arial" w:eastAsia="Times New Roman" w:cs="Arial"/>
          <w:sz w:val="20"/>
          <w:szCs w:val="20"/>
        </w:rPr>
        <w:tab/>
        <w:t>[</w:t>
      </w:r>
      <w:r>
        <w:rPr>
          <w:rFonts w:ascii="Arial" w:hAnsi="Arial" w:eastAsia="Times New Roman" w:cs="Arial"/>
          <w:sz w:val="20"/>
          <w:szCs w:val="20"/>
          <w:highlight w:val="yellow"/>
        </w:rPr>
        <w:t>Insert Amount in Letters</w:t>
      </w:r>
      <w:r>
        <w:rPr>
          <w:rFonts w:ascii="Arial" w:hAnsi="Arial" w:eastAsia="Times New Roman" w:cs="Arial"/>
          <w:sz w:val="20"/>
          <w:szCs w:val="20"/>
        </w:rPr>
        <w:t>]</w:t>
      </w:r>
    </w:p>
    <w:p w:rsidRPr="00C935B0" w:rsidR="002D54C4" w:rsidP="00FF6840" w:rsidRDefault="002D54C4" w14:paraId="43A4CDA8" w14:textId="77777777">
      <w:pPr>
        <w:spacing w:before="120" w:after="120" w:line="240" w:lineRule="auto"/>
        <w:rPr>
          <w:rFonts w:ascii="Arial" w:hAnsi="Arial" w:eastAsia="Times New Roman" w:cs="Arial"/>
          <w:sz w:val="20"/>
          <w:szCs w:val="20"/>
        </w:rPr>
      </w:pPr>
    </w:p>
    <w:p w:rsidRPr="00C935B0" w:rsidR="002D54C4" w:rsidP="00FF6840" w:rsidRDefault="008B55A2" w14:paraId="24727B87" w14:textId="77777777">
      <w:pPr>
        <w:spacing w:before="120" w:after="120" w:line="240" w:lineRule="auto"/>
        <w:rPr>
          <w:rFonts w:ascii="Arial" w:hAnsi="Arial" w:eastAsia="Times New Roman" w:cs="Arial"/>
          <w:sz w:val="20"/>
          <w:szCs w:val="20"/>
        </w:rPr>
      </w:pPr>
      <w:bookmarkStart w:name="_DV_M784" w:id="1637"/>
      <w:bookmarkEnd w:id="1637"/>
      <w:r>
        <w:rPr>
          <w:rFonts w:ascii="Arial" w:hAnsi="Arial" w:eastAsia="Times New Roman" w:cs="Arial"/>
          <w:sz w:val="20"/>
          <w:szCs w:val="20"/>
        </w:rPr>
        <w:t>Drawn under Irrevocable Standby Letter of Credit No. ___________ of [</w:t>
      </w:r>
      <w:r>
        <w:rPr>
          <w:rFonts w:ascii="Arial" w:hAnsi="Arial" w:eastAsia="Times New Roman" w:cs="Arial"/>
          <w:sz w:val="20"/>
          <w:szCs w:val="20"/>
          <w:highlight w:val="yellow"/>
        </w:rPr>
        <w:t>Insert Name of Issuing Bank</w:t>
      </w:r>
      <w:r>
        <w:rPr>
          <w:rFonts w:ascii="Arial" w:hAnsi="Arial" w:eastAsia="Times New Roman" w:cs="Arial"/>
          <w:sz w:val="20"/>
          <w:szCs w:val="20"/>
        </w:rPr>
        <w:t>]</w:t>
      </w:r>
    </w:p>
    <w:p w:rsidRPr="00C935B0" w:rsidR="002D54C4" w:rsidP="00FF6840" w:rsidRDefault="002D54C4" w14:paraId="56F9A72F" w14:textId="77777777">
      <w:pPr>
        <w:spacing w:before="120" w:after="120" w:line="240" w:lineRule="auto"/>
        <w:rPr>
          <w:rFonts w:ascii="Arial" w:hAnsi="Arial" w:eastAsia="Times New Roman" w:cs="Arial"/>
          <w:sz w:val="20"/>
          <w:szCs w:val="20"/>
        </w:rPr>
      </w:pPr>
    </w:p>
    <w:p w:rsidRPr="00C935B0" w:rsidR="002D54C4" w:rsidP="00FF6840" w:rsidRDefault="008B55A2" w14:paraId="428F984E" w14:textId="77777777">
      <w:pPr>
        <w:spacing w:before="120" w:after="120" w:line="240" w:lineRule="auto"/>
        <w:rPr>
          <w:rFonts w:ascii="Arial" w:hAnsi="Arial" w:eastAsia="Times New Roman" w:cs="Arial"/>
          <w:sz w:val="20"/>
          <w:szCs w:val="20"/>
        </w:rPr>
      </w:pPr>
      <w:bookmarkStart w:name="_DV_M785" w:id="1638"/>
      <w:bookmarkEnd w:id="1638"/>
      <w:r>
        <w:rPr>
          <w:rFonts w:ascii="Arial" w:hAnsi="Arial" w:eastAsia="Times New Roman" w:cs="Arial"/>
          <w:sz w:val="20"/>
          <w:szCs w:val="20"/>
        </w:rPr>
        <w:t>At Sight</w:t>
      </w:r>
    </w:p>
    <w:p w:rsidRPr="00C935B0" w:rsidR="002D54C4" w:rsidP="00FF6840" w:rsidRDefault="002D54C4" w14:paraId="19D2C733" w14:textId="77777777">
      <w:pPr>
        <w:spacing w:before="120" w:after="120" w:line="240" w:lineRule="auto"/>
        <w:rPr>
          <w:rFonts w:ascii="Arial" w:hAnsi="Arial" w:eastAsia="Times New Roman" w:cs="Arial"/>
          <w:sz w:val="20"/>
          <w:szCs w:val="20"/>
        </w:rPr>
      </w:pPr>
    </w:p>
    <w:p w:rsidRPr="00C935B0" w:rsidR="002D54C4" w:rsidP="00FF6840" w:rsidRDefault="008B55A2" w14:paraId="4630A15B" w14:textId="77777777">
      <w:pPr>
        <w:spacing w:before="120" w:after="120" w:line="240" w:lineRule="auto"/>
        <w:rPr>
          <w:rFonts w:ascii="Arial" w:hAnsi="Arial" w:eastAsia="Times New Roman" w:cs="Arial"/>
          <w:sz w:val="20"/>
          <w:szCs w:val="20"/>
        </w:rPr>
      </w:pPr>
      <w:bookmarkStart w:name="_DV_M786" w:id="1639"/>
      <w:bookmarkEnd w:id="1639"/>
      <w:r>
        <w:rPr>
          <w:rFonts w:ascii="Arial" w:hAnsi="Arial" w:eastAsia="Times New Roman" w:cs="Arial"/>
          <w:sz w:val="20"/>
          <w:szCs w:val="20"/>
        </w:rPr>
        <w:t>Pay to the Order of [</w:t>
      </w:r>
      <w:r>
        <w:rPr>
          <w:rFonts w:ascii="Arial" w:hAnsi="Arial" w:eastAsia="Times New Roman" w:cs="Arial"/>
          <w:sz w:val="20"/>
          <w:szCs w:val="20"/>
          <w:highlight w:val="yellow"/>
        </w:rPr>
        <w:t>Name of Beneficiary</w:t>
      </w:r>
      <w:r>
        <w:rPr>
          <w:rFonts w:ascii="Arial" w:hAnsi="Arial" w:eastAsia="Times New Roman" w:cs="Arial"/>
          <w:sz w:val="20"/>
          <w:szCs w:val="20"/>
        </w:rPr>
        <w:t>]</w:t>
      </w:r>
    </w:p>
    <w:p w:rsidRPr="00C935B0" w:rsidR="002D54C4" w:rsidP="00FF6840" w:rsidRDefault="002D54C4" w14:paraId="52AAF1E1" w14:textId="77777777">
      <w:pPr>
        <w:spacing w:before="120" w:after="120" w:line="240" w:lineRule="auto"/>
        <w:rPr>
          <w:rFonts w:ascii="Arial" w:hAnsi="Arial" w:eastAsia="Times New Roman" w:cs="Arial"/>
          <w:sz w:val="20"/>
          <w:szCs w:val="20"/>
        </w:rPr>
      </w:pPr>
    </w:p>
    <w:p w:rsidRPr="00C935B0" w:rsidR="002D54C4" w:rsidP="00FF6840" w:rsidRDefault="008B55A2" w14:paraId="030E2C12" w14:textId="77777777">
      <w:pPr>
        <w:spacing w:before="120" w:after="120" w:line="240" w:lineRule="auto"/>
        <w:rPr>
          <w:rFonts w:ascii="Arial" w:hAnsi="Arial" w:eastAsia="Times New Roman" w:cs="Arial"/>
          <w:sz w:val="20"/>
          <w:szCs w:val="20"/>
        </w:rPr>
      </w:pPr>
      <w:bookmarkStart w:name="_DV_M787" w:id="1640"/>
      <w:bookmarkEnd w:id="1640"/>
      <w:r>
        <w:rPr>
          <w:rFonts w:ascii="Arial" w:hAnsi="Arial" w:eastAsia="Times New Roman" w:cs="Arial"/>
          <w:sz w:val="20"/>
          <w:szCs w:val="20"/>
        </w:rPr>
        <w:t>In reference to:</w:t>
      </w:r>
      <w:r>
        <w:rPr>
          <w:rFonts w:ascii="Arial" w:hAnsi="Arial" w:eastAsia="Times New Roman" w:cs="Arial"/>
          <w:sz w:val="20"/>
          <w:szCs w:val="20"/>
        </w:rPr>
        <w:tab/>
        <w:t>Irrevocable Standby Letter of Credit No. ____________, dated ________.</w:t>
      </w:r>
    </w:p>
    <w:p w:rsidRPr="00C935B0" w:rsidR="002D54C4" w:rsidP="00FF6840" w:rsidRDefault="002D54C4" w14:paraId="51BD4E28" w14:textId="77777777">
      <w:pPr>
        <w:spacing w:before="120" w:after="120" w:line="240" w:lineRule="auto"/>
        <w:rPr>
          <w:rFonts w:ascii="Arial" w:hAnsi="Arial" w:eastAsia="Times New Roman" w:cs="Arial"/>
          <w:sz w:val="20"/>
          <w:szCs w:val="20"/>
        </w:rPr>
      </w:pPr>
    </w:p>
    <w:p w:rsidRPr="00C935B0" w:rsidR="002D54C4" w:rsidP="00FF6840" w:rsidRDefault="002D54C4" w14:paraId="666C4766" w14:textId="77777777">
      <w:pPr>
        <w:spacing w:before="120" w:after="120" w:line="240" w:lineRule="auto"/>
        <w:rPr>
          <w:rFonts w:ascii="Arial" w:hAnsi="Arial" w:eastAsia="Times New Roman" w:cs="Arial"/>
          <w:sz w:val="20"/>
          <w:szCs w:val="20"/>
        </w:rPr>
      </w:pPr>
    </w:p>
    <w:p w:rsidRPr="00FF6840" w:rsidR="002D54C4" w:rsidP="00FF6840" w:rsidRDefault="008B55A2" w14:paraId="62FBEFFD" w14:textId="77777777">
      <w:pPr>
        <w:tabs>
          <w:tab w:val="left" w:pos="720"/>
        </w:tabs>
        <w:spacing w:before="120" w:after="120" w:line="240" w:lineRule="auto"/>
        <w:rPr>
          <w:rFonts w:ascii="Arial" w:hAnsi="Arial" w:eastAsia="Times New Roman" w:cs="Arial"/>
          <w:sz w:val="20"/>
          <w:szCs w:val="20"/>
        </w:rPr>
      </w:pPr>
      <w:bookmarkStart w:name="_DV_M788" w:id="1641"/>
      <w:bookmarkEnd w:id="1641"/>
      <w:r>
        <w:rPr>
          <w:rFonts w:ascii="Arial" w:hAnsi="Arial" w:eastAsia="Times New Roman" w:cs="Arial"/>
          <w:sz w:val="20"/>
          <w:szCs w:val="20"/>
        </w:rPr>
        <w:t>To:</w:t>
      </w:r>
      <w:r>
        <w:rPr>
          <w:rFonts w:ascii="Arial" w:hAnsi="Arial" w:eastAsia="Times New Roman" w:cs="Arial"/>
          <w:sz w:val="20"/>
          <w:szCs w:val="20"/>
        </w:rPr>
        <w:tab/>
        <w:t>[</w:t>
      </w:r>
      <w:r>
        <w:rPr>
          <w:rFonts w:ascii="Arial" w:hAnsi="Arial" w:eastAsia="Times New Roman" w:cs="Arial"/>
          <w:sz w:val="20"/>
          <w:szCs w:val="20"/>
          <w:highlight w:val="yellow"/>
        </w:rPr>
        <w:t>Insert Name of Issuing Bank</w:t>
      </w:r>
      <w:r>
        <w:rPr>
          <w:rFonts w:ascii="Arial" w:hAnsi="Arial" w:eastAsia="Times New Roman" w:cs="Arial"/>
          <w:sz w:val="20"/>
          <w:szCs w:val="20"/>
        </w:rPr>
        <w:t>]</w:t>
      </w:r>
    </w:p>
    <w:p w:rsidRPr="00FF6840" w:rsidR="002D54C4" w:rsidP="00FF6840" w:rsidRDefault="008B55A2" w14:paraId="7632B83D" w14:textId="77777777">
      <w:pPr>
        <w:tabs>
          <w:tab w:val="left" w:pos="720"/>
        </w:tabs>
        <w:spacing w:before="120" w:after="120" w:line="240" w:lineRule="auto"/>
        <w:rPr>
          <w:rFonts w:ascii="Arial" w:hAnsi="Arial" w:eastAsia="Times New Roman" w:cs="Arial"/>
          <w:sz w:val="20"/>
          <w:szCs w:val="20"/>
        </w:rPr>
      </w:pPr>
      <w:r>
        <w:rPr>
          <w:rFonts w:ascii="Arial" w:hAnsi="Arial" w:eastAsia="Times New Roman" w:cs="Arial"/>
          <w:sz w:val="20"/>
          <w:szCs w:val="20"/>
        </w:rPr>
        <w:tab/>
        <w:t>[</w:t>
      </w:r>
      <w:r>
        <w:rPr>
          <w:rFonts w:ascii="Arial" w:hAnsi="Arial" w:eastAsia="Times New Roman" w:cs="Arial"/>
          <w:sz w:val="20"/>
          <w:szCs w:val="20"/>
          <w:highlight w:val="yellow"/>
        </w:rPr>
        <w:t>Insert Address</w:t>
      </w:r>
      <w:r>
        <w:rPr>
          <w:rFonts w:ascii="Arial" w:hAnsi="Arial" w:eastAsia="Times New Roman" w:cs="Arial"/>
          <w:sz w:val="20"/>
          <w:szCs w:val="20"/>
        </w:rPr>
        <w:t>]</w:t>
      </w:r>
    </w:p>
    <w:p w:rsidRPr="00FF6840" w:rsidR="002D54C4" w:rsidP="00FF6840" w:rsidRDefault="002D54C4" w14:paraId="12D2FB9E" w14:textId="77777777">
      <w:pPr>
        <w:spacing w:before="120" w:after="120" w:line="240" w:lineRule="auto"/>
        <w:rPr>
          <w:rFonts w:ascii="Arial" w:hAnsi="Arial" w:eastAsia="Times New Roman" w:cs="Arial"/>
          <w:sz w:val="20"/>
          <w:szCs w:val="20"/>
        </w:rPr>
      </w:pPr>
    </w:p>
    <w:p w:rsidRPr="00FF6840" w:rsidR="002D54C4" w:rsidP="00CE0799" w:rsidRDefault="008B55A2" w14:paraId="430B8ED3" w14:textId="77777777">
      <w:pPr>
        <w:spacing w:after="0" w:line="240" w:lineRule="auto"/>
        <w:ind w:left="5040"/>
        <w:rPr>
          <w:rFonts w:ascii="Arial" w:hAnsi="Arial" w:eastAsia="Times New Roman" w:cs="Arial"/>
          <w:sz w:val="20"/>
          <w:szCs w:val="20"/>
        </w:rPr>
      </w:pPr>
      <w:r>
        <w:rPr>
          <w:rFonts w:ascii="Arial" w:hAnsi="Arial" w:eastAsia="Times New Roman" w:cs="Arial"/>
          <w:sz w:val="20"/>
          <w:szCs w:val="20"/>
        </w:rPr>
        <w:t>[</w:t>
      </w:r>
      <w:r>
        <w:rPr>
          <w:rFonts w:ascii="Arial" w:hAnsi="Arial" w:eastAsia="Times New Roman" w:cs="Arial"/>
          <w:sz w:val="20"/>
          <w:szCs w:val="20"/>
          <w:highlight w:val="yellow"/>
        </w:rPr>
        <w:t>BENEFICIARY</w:t>
      </w:r>
      <w:r>
        <w:rPr>
          <w:rFonts w:ascii="Arial" w:hAnsi="Arial" w:eastAsia="Times New Roman" w:cs="Arial"/>
          <w:sz w:val="20"/>
          <w:szCs w:val="20"/>
        </w:rPr>
        <w:t>]</w:t>
      </w:r>
    </w:p>
    <w:p w:rsidRPr="00FF6840" w:rsidR="002D54C4" w:rsidP="00CE0799" w:rsidRDefault="002D54C4" w14:paraId="2D7317DC" w14:textId="77777777">
      <w:pPr>
        <w:spacing w:after="0" w:line="240" w:lineRule="auto"/>
        <w:ind w:left="5040"/>
        <w:rPr>
          <w:rFonts w:ascii="Arial" w:hAnsi="Arial" w:eastAsia="Times New Roman" w:cs="Arial"/>
          <w:sz w:val="20"/>
          <w:szCs w:val="20"/>
        </w:rPr>
      </w:pPr>
    </w:p>
    <w:p w:rsidRPr="00FF6840" w:rsidR="002D54C4" w:rsidP="00CE0799" w:rsidRDefault="002D54C4" w14:paraId="33671948" w14:textId="77777777">
      <w:pPr>
        <w:spacing w:after="0" w:line="240" w:lineRule="auto"/>
        <w:ind w:left="5040"/>
        <w:rPr>
          <w:rFonts w:ascii="Arial" w:hAnsi="Arial" w:eastAsia="Times New Roman" w:cs="Arial"/>
          <w:sz w:val="20"/>
          <w:szCs w:val="20"/>
        </w:rPr>
      </w:pPr>
    </w:p>
    <w:p w:rsidRPr="00FF6840" w:rsidR="002D54C4" w:rsidP="00CE0799" w:rsidRDefault="002D54C4" w14:paraId="1541A824" w14:textId="77777777">
      <w:pPr>
        <w:spacing w:after="0" w:line="240" w:lineRule="auto"/>
        <w:ind w:left="5040"/>
        <w:rPr>
          <w:rFonts w:ascii="Arial" w:hAnsi="Arial" w:eastAsia="Times New Roman" w:cs="Arial"/>
          <w:sz w:val="20"/>
          <w:szCs w:val="20"/>
        </w:rPr>
      </w:pPr>
    </w:p>
    <w:p w:rsidRPr="00FF6840" w:rsidR="002D54C4" w:rsidP="00CE0799" w:rsidRDefault="002D54C4" w14:paraId="12DC1D69" w14:textId="77777777">
      <w:pPr>
        <w:spacing w:after="0" w:line="240" w:lineRule="auto"/>
        <w:ind w:left="5040"/>
        <w:rPr>
          <w:rFonts w:ascii="Arial" w:hAnsi="Arial" w:eastAsia="Times New Roman" w:cs="Arial"/>
          <w:sz w:val="20"/>
          <w:szCs w:val="20"/>
        </w:rPr>
      </w:pPr>
    </w:p>
    <w:p w:rsidRPr="00FF6840" w:rsidR="002D54C4" w:rsidP="00CE0799" w:rsidRDefault="008B55A2" w14:paraId="2160FEB1" w14:textId="77777777">
      <w:pPr>
        <w:tabs>
          <w:tab w:val="right" w:pos="9360"/>
        </w:tabs>
        <w:spacing w:after="0" w:line="240" w:lineRule="auto"/>
        <w:ind w:left="5040"/>
        <w:rPr>
          <w:rFonts w:ascii="Arial" w:hAnsi="Arial" w:eastAsia="Times New Roman" w:cs="Arial"/>
          <w:sz w:val="20"/>
          <w:szCs w:val="20"/>
        </w:rPr>
      </w:pPr>
      <w:r>
        <w:rPr>
          <w:rFonts w:ascii="Arial" w:hAnsi="Arial" w:eastAsia="Times New Roman" w:cs="Arial"/>
          <w:sz w:val="20"/>
          <w:szCs w:val="20"/>
        </w:rPr>
        <w:t>By:</w:t>
      </w:r>
      <w:r>
        <w:rPr>
          <w:rFonts w:ascii="Arial" w:hAnsi="Arial" w:eastAsia="Times New Roman" w:cs="Arial"/>
          <w:sz w:val="20"/>
          <w:szCs w:val="20"/>
          <w:u w:val="single"/>
        </w:rPr>
        <w:tab/>
      </w:r>
    </w:p>
    <w:p w:rsidRPr="00FF6840" w:rsidR="002D54C4" w:rsidP="00CE0799" w:rsidRDefault="008B55A2" w14:paraId="211792F6" w14:textId="77777777">
      <w:pPr>
        <w:tabs>
          <w:tab w:val="right" w:pos="9360"/>
        </w:tabs>
        <w:spacing w:after="0" w:line="240" w:lineRule="auto"/>
        <w:ind w:left="5040"/>
        <w:rPr>
          <w:rFonts w:ascii="Arial" w:hAnsi="Arial" w:eastAsia="Times New Roman" w:cs="Arial"/>
          <w:sz w:val="20"/>
          <w:szCs w:val="20"/>
        </w:rPr>
      </w:pPr>
      <w:r>
        <w:rPr>
          <w:rFonts w:ascii="Arial" w:hAnsi="Arial" w:eastAsia="Times New Roman" w:cs="Arial"/>
          <w:sz w:val="20"/>
          <w:szCs w:val="20"/>
        </w:rPr>
        <w:t xml:space="preserve"> </w:t>
      </w:r>
    </w:p>
    <w:p w:rsidRPr="00FF6840" w:rsidR="002D54C4" w:rsidP="00CE0799" w:rsidRDefault="008B55A2" w14:paraId="206DA5DC" w14:textId="77777777">
      <w:pPr>
        <w:tabs>
          <w:tab w:val="right" w:pos="9360"/>
        </w:tabs>
        <w:spacing w:after="0" w:line="240" w:lineRule="auto"/>
        <w:ind w:left="5040"/>
        <w:rPr>
          <w:rFonts w:ascii="Arial" w:hAnsi="Arial" w:eastAsia="Times New Roman" w:cs="Arial"/>
          <w:sz w:val="20"/>
          <w:szCs w:val="20"/>
        </w:rPr>
      </w:pPr>
      <w:r>
        <w:rPr>
          <w:rFonts w:ascii="Arial" w:hAnsi="Arial" w:eastAsia="Times New Roman" w:cs="Arial"/>
          <w:sz w:val="20"/>
          <w:szCs w:val="20"/>
        </w:rPr>
        <w:t>Title:</w:t>
      </w:r>
      <w:r>
        <w:rPr>
          <w:rFonts w:ascii="Arial" w:hAnsi="Arial" w:eastAsia="Times New Roman" w:cs="Arial"/>
          <w:sz w:val="20"/>
          <w:szCs w:val="20"/>
          <w:u w:val="single"/>
        </w:rPr>
        <w:tab/>
      </w:r>
    </w:p>
    <w:p w:rsidRPr="00FF6840" w:rsidR="00B67989" w:rsidP="00B67989" w:rsidRDefault="00B67989" w14:paraId="2980AF22" w14:textId="77777777">
      <w:pPr>
        <w:rPr>
          <w:rFonts w:ascii="Arial" w:hAnsi="Arial" w:eastAsia="Times New Roman" w:cs="Arial"/>
          <w:sz w:val="20"/>
          <w:szCs w:val="20"/>
        </w:rPr>
      </w:pPr>
    </w:p>
    <w:p w:rsidRPr="00FF6840" w:rsidR="003C77CE" w:rsidP="003C77CE" w:rsidRDefault="003C77CE" w14:paraId="48CB6665" w14:textId="77777777">
      <w:pPr>
        <w:rPr>
          <w:rFonts w:ascii="Arial" w:hAnsi="Arial" w:eastAsia="Times New Roman" w:cs="Arial"/>
          <w:sz w:val="20"/>
          <w:szCs w:val="20"/>
        </w:rPr>
      </w:pPr>
    </w:p>
    <w:p w:rsidR="002D54C4" w:rsidP="002D54C4" w:rsidRDefault="008B55A2" w14:paraId="3E240FA0" w14:textId="77777777">
      <w:pPr>
        <w:rPr>
          <w:rFonts w:ascii="Arial" w:hAnsi="Arial" w:eastAsia="Times New Roman" w:cs="Arial"/>
          <w:sz w:val="20"/>
          <w:szCs w:val="20"/>
        </w:rPr>
        <w:sectPr w:rsidR="002D54C4" w:rsidSect="00226062">
          <w:headerReference w:type="even" r:id="rId114"/>
          <w:headerReference w:type="default" r:id="rId115"/>
          <w:footerReference w:type="even" r:id="rId116"/>
          <w:footerReference w:type="default" r:id="rId117"/>
          <w:headerReference w:type="first" r:id="rId118"/>
          <w:footerReference w:type="first" r:id="rId119"/>
          <w:type w:val="continuous"/>
          <w:pgSz w:w="12240" w:h="15840" w:code="1"/>
          <w:pgMar w:top="1440" w:right="1440" w:bottom="1440" w:left="1440" w:header="720" w:footer="720" w:gutter="0"/>
          <w:paperSrc w:first="15" w:other="15"/>
          <w:cols w:space="1440"/>
        </w:sectPr>
      </w:pPr>
      <w:r>
        <w:rPr>
          <w:rFonts w:ascii="Arial" w:hAnsi="Arial" w:eastAsia="Times New Roman" w:cs="Arial"/>
          <w:sz w:val="20"/>
          <w:szCs w:val="20"/>
        </w:rPr>
        <w:br w:type="page"/>
      </w:r>
    </w:p>
    <w:p w:rsidRPr="00BE07C6" w:rsidR="002D54C4" w:rsidP="002D54C4" w:rsidRDefault="008B55A2" w14:paraId="08784C4A" w14:textId="77777777">
      <w:pPr>
        <w:spacing w:after="240"/>
        <w:jc w:val="center"/>
        <w:outlineLvl w:val="3"/>
        <w:rPr>
          <w:rFonts w:ascii="Arial Bold" w:hAnsi="Arial Bold" w:eastAsia="Calibri"/>
          <w:b/>
          <w:caps/>
        </w:rPr>
      </w:pPr>
      <w:r>
        <w:rPr>
          <w:rFonts w:ascii="Arial Bold" w:hAnsi="Arial Bold" w:eastAsia="Calibri"/>
          <w:b/>
          <w:caps/>
        </w:rPr>
        <w:lastRenderedPageBreak/>
        <w:t>Annex 2</w:t>
      </w:r>
    </w:p>
    <w:p w:rsidRPr="00BE07C6" w:rsidR="002D54C4" w:rsidP="002D54C4" w:rsidRDefault="008B55A2" w14:paraId="0A135A39" w14:textId="77777777">
      <w:pPr>
        <w:spacing w:after="240"/>
        <w:jc w:val="center"/>
        <w:outlineLvl w:val="3"/>
        <w:rPr>
          <w:rFonts w:ascii="Arial Bold" w:hAnsi="Arial Bold" w:eastAsia="Calibri"/>
          <w:b/>
          <w:caps/>
        </w:rPr>
      </w:pPr>
      <w:r>
        <w:rPr>
          <w:rFonts w:ascii="Arial Bold" w:hAnsi="Arial Bold" w:eastAsia="Calibri"/>
          <w:b/>
          <w:caps/>
        </w:rPr>
        <w:t>Form of Certificate</w:t>
      </w:r>
    </w:p>
    <w:p w:rsidRPr="006C43AC" w:rsidR="002D54C4" w:rsidP="00392E21" w:rsidRDefault="002D54C4" w14:paraId="2378FE0C" w14:textId="77777777">
      <w:pPr>
        <w:spacing w:line="240" w:lineRule="auto"/>
        <w:ind w:left="720" w:hanging="720"/>
        <w:rPr>
          <w:rFonts w:eastAsia="Times New Roman"/>
        </w:rPr>
      </w:pPr>
    </w:p>
    <w:p w:rsidRPr="00E7599D" w:rsidR="002D54C4" w:rsidP="00392E21" w:rsidRDefault="008B55A2" w14:paraId="73B6D4D1" w14:textId="77777777">
      <w:pPr>
        <w:spacing w:before="120" w:after="120" w:line="240" w:lineRule="auto"/>
        <w:ind w:left="720" w:hanging="720"/>
        <w:rPr>
          <w:rFonts w:ascii="Arial" w:hAnsi="Arial" w:eastAsia="Times New Roman" w:cs="Arial"/>
          <w:sz w:val="20"/>
          <w:szCs w:val="20"/>
        </w:rPr>
      </w:pPr>
      <w:r>
        <w:rPr>
          <w:rFonts w:ascii="Arial" w:hAnsi="Arial" w:eastAsia="Times New Roman" w:cs="Arial"/>
          <w:sz w:val="20"/>
          <w:szCs w:val="20"/>
        </w:rPr>
        <w:t>Re:</w:t>
      </w:r>
      <w:r>
        <w:rPr>
          <w:rFonts w:ascii="Arial" w:hAnsi="Arial" w:eastAsia="Times New Roman" w:cs="Arial"/>
          <w:sz w:val="20"/>
          <w:szCs w:val="20"/>
        </w:rPr>
        <w:tab/>
        <w:t>[Insert Name of Agreement] dated _________, 20__ (“</w:t>
      </w:r>
      <w:r>
        <w:rPr>
          <w:rFonts w:ascii="Arial" w:hAnsi="Arial" w:eastAsia="Times New Roman" w:cs="Arial"/>
          <w:b/>
          <w:sz w:val="20"/>
          <w:szCs w:val="20"/>
        </w:rPr>
        <w:t>Agreement</w:t>
      </w:r>
      <w:r>
        <w:rPr>
          <w:rFonts w:ascii="Arial" w:hAnsi="Arial" w:eastAsia="Times New Roman" w:cs="Arial"/>
          <w:sz w:val="20"/>
          <w:szCs w:val="20"/>
        </w:rPr>
        <w:t xml:space="preserve">”) between </w:t>
      </w:r>
      <w:r w:rsidRPr="004B0BBF">
        <w:rPr>
          <w:rFonts w:ascii="Arial" w:hAnsi="Arial"/>
          <w:sz w:val="20"/>
          <w:highlight w:val="yellow"/>
        </w:rPr>
        <w:t>[Name of Account Party]</w:t>
      </w:r>
      <w:r>
        <w:rPr>
          <w:rFonts w:ascii="Arial" w:hAnsi="Arial" w:eastAsia="Times New Roman" w:cs="Arial"/>
          <w:sz w:val="20"/>
          <w:szCs w:val="20"/>
        </w:rPr>
        <w:t xml:space="preserve"> (“[</w:t>
      </w:r>
      <w:r>
        <w:rPr>
          <w:rFonts w:ascii="Arial" w:hAnsi="Arial" w:eastAsia="Times New Roman" w:cs="Arial"/>
          <w:b/>
          <w:sz w:val="20"/>
          <w:szCs w:val="20"/>
          <w:highlight w:val="yellow"/>
        </w:rPr>
        <w:t>Account Party</w:t>
      </w:r>
      <w:r>
        <w:rPr>
          <w:rFonts w:ascii="Arial" w:hAnsi="Arial" w:eastAsia="Times New Roman" w:cs="Arial"/>
          <w:sz w:val="20"/>
          <w:szCs w:val="20"/>
        </w:rPr>
        <w:t>]”) and [</w:t>
      </w:r>
      <w:r>
        <w:rPr>
          <w:rFonts w:ascii="Arial" w:hAnsi="Arial" w:eastAsia="Times New Roman" w:cs="Arial"/>
          <w:sz w:val="20"/>
          <w:szCs w:val="20"/>
          <w:highlight w:val="yellow"/>
        </w:rPr>
        <w:t>Name of Beneficiary</w:t>
      </w:r>
      <w:r>
        <w:rPr>
          <w:rFonts w:ascii="Arial" w:hAnsi="Arial" w:eastAsia="Times New Roman" w:cs="Arial"/>
          <w:sz w:val="20"/>
          <w:szCs w:val="20"/>
        </w:rPr>
        <w:t>] (“[</w:t>
      </w:r>
      <w:r>
        <w:rPr>
          <w:rFonts w:ascii="Arial" w:hAnsi="Arial" w:eastAsia="Times New Roman" w:cs="Arial"/>
          <w:b/>
          <w:sz w:val="20"/>
          <w:szCs w:val="20"/>
          <w:highlight w:val="yellow"/>
        </w:rPr>
        <w:t>Beneficiary</w:t>
      </w:r>
      <w:r>
        <w:rPr>
          <w:rFonts w:ascii="Arial" w:hAnsi="Arial" w:eastAsia="Times New Roman" w:cs="Arial"/>
          <w:sz w:val="20"/>
          <w:szCs w:val="20"/>
        </w:rPr>
        <w:t>]”).</w:t>
      </w:r>
    </w:p>
    <w:p w:rsidRPr="00E7599D" w:rsidR="002D54C4" w:rsidP="00392E21" w:rsidRDefault="002D54C4" w14:paraId="480F5A8C" w14:textId="77777777">
      <w:pPr>
        <w:spacing w:before="120" w:after="120" w:line="240" w:lineRule="auto"/>
        <w:ind w:left="720" w:hanging="720"/>
        <w:rPr>
          <w:rFonts w:ascii="Arial" w:hAnsi="Arial" w:eastAsia="Times New Roman" w:cs="Arial"/>
          <w:sz w:val="20"/>
          <w:szCs w:val="20"/>
        </w:rPr>
      </w:pPr>
    </w:p>
    <w:p w:rsidRPr="00E7599D" w:rsidR="002D54C4" w:rsidP="00392E21" w:rsidRDefault="008B55A2" w14:paraId="10119A2F" w14:textId="77777777">
      <w:pPr>
        <w:tabs>
          <w:tab w:val="left" w:pos="720"/>
        </w:tabs>
        <w:spacing w:before="120" w:after="120" w:line="240" w:lineRule="auto"/>
        <w:ind w:firstLine="14"/>
        <w:rPr>
          <w:rFonts w:ascii="Arial" w:hAnsi="Arial" w:eastAsia="Times New Roman" w:cs="Arial"/>
          <w:spacing w:val="-4"/>
          <w:sz w:val="20"/>
          <w:szCs w:val="20"/>
        </w:rPr>
      </w:pPr>
      <w:r>
        <w:rPr>
          <w:rFonts w:ascii="Arial" w:hAnsi="Arial" w:eastAsia="Times New Roman" w:cs="Arial"/>
          <w:spacing w:val="-4"/>
          <w:sz w:val="20"/>
          <w:szCs w:val="20"/>
        </w:rPr>
        <w:tab/>
        <w:t>The undersigned, an officer or authorized representative of [Beneficiary], hereby certifies to [ISSUING BANK] (“</w:t>
      </w:r>
      <w:r>
        <w:rPr>
          <w:rFonts w:ascii="Arial" w:hAnsi="Arial" w:eastAsia="Times New Roman" w:cs="Arial"/>
          <w:b/>
          <w:spacing w:val="-4"/>
          <w:sz w:val="20"/>
          <w:szCs w:val="20"/>
        </w:rPr>
        <w:t>Bank</w:t>
      </w:r>
      <w:r>
        <w:rPr>
          <w:rFonts w:ascii="Arial" w:hAnsi="Arial" w:eastAsia="Times New Roman" w:cs="Arial"/>
          <w:spacing w:val="-4"/>
          <w:sz w:val="20"/>
          <w:szCs w:val="20"/>
        </w:rPr>
        <w:t>”) with reference to irrevocable standby letter of credit no. (“</w:t>
      </w:r>
      <w:r>
        <w:rPr>
          <w:rFonts w:ascii="Arial" w:hAnsi="Arial" w:eastAsia="Times New Roman" w:cs="Arial"/>
          <w:b/>
          <w:spacing w:val="-4"/>
          <w:sz w:val="20"/>
          <w:szCs w:val="20"/>
        </w:rPr>
        <w:t>Standby Letter of Credit</w:t>
      </w:r>
      <w:r>
        <w:rPr>
          <w:rFonts w:ascii="Arial" w:hAnsi="Arial" w:eastAsia="Times New Roman" w:cs="Arial"/>
          <w:spacing w:val="-4"/>
          <w:sz w:val="20"/>
          <w:szCs w:val="20"/>
        </w:rPr>
        <w:t>”), issued by the Bank for the account of [</w:t>
      </w:r>
      <w:r>
        <w:rPr>
          <w:rFonts w:ascii="Arial" w:hAnsi="Arial" w:eastAsia="Times New Roman" w:cs="Arial"/>
          <w:spacing w:val="-4"/>
          <w:sz w:val="20"/>
          <w:szCs w:val="20"/>
          <w:highlight w:val="yellow"/>
        </w:rPr>
        <w:t>Account Party</w:t>
      </w:r>
      <w:r>
        <w:rPr>
          <w:rFonts w:ascii="Arial" w:hAnsi="Arial" w:eastAsia="Times New Roman" w:cs="Arial"/>
          <w:spacing w:val="-4"/>
          <w:sz w:val="20"/>
          <w:szCs w:val="20"/>
        </w:rPr>
        <w:t>] in favor of [</w:t>
      </w:r>
      <w:r>
        <w:rPr>
          <w:rFonts w:ascii="Arial" w:hAnsi="Arial" w:eastAsia="Times New Roman" w:cs="Arial"/>
          <w:spacing w:val="-4"/>
          <w:sz w:val="20"/>
          <w:szCs w:val="20"/>
          <w:highlight w:val="yellow"/>
        </w:rPr>
        <w:t>Beneficiary</w:t>
      </w:r>
      <w:r>
        <w:rPr>
          <w:rFonts w:ascii="Arial" w:hAnsi="Arial" w:eastAsia="Times New Roman" w:cs="Arial"/>
          <w:spacing w:val="-4"/>
          <w:sz w:val="20"/>
          <w:szCs w:val="20"/>
        </w:rPr>
        <w:t>] that:</w:t>
      </w:r>
    </w:p>
    <w:p w:rsidRPr="00E7599D" w:rsidR="002D54C4" w:rsidP="00392E21" w:rsidRDefault="008B55A2" w14:paraId="0E54B114" w14:textId="77777777">
      <w:pPr>
        <w:tabs>
          <w:tab w:val="left" w:pos="720"/>
          <w:tab w:val="left" w:pos="1440"/>
        </w:tabs>
        <w:spacing w:before="120" w:after="120" w:line="240" w:lineRule="auto"/>
        <w:rPr>
          <w:rFonts w:ascii="Arial" w:hAnsi="Arial" w:eastAsia="Times New Roman" w:cs="Arial"/>
          <w:spacing w:val="-4"/>
          <w:sz w:val="20"/>
          <w:szCs w:val="20"/>
        </w:rPr>
      </w:pPr>
      <w:r>
        <w:rPr>
          <w:rFonts w:ascii="Arial" w:hAnsi="Arial" w:eastAsia="Times New Roman" w:cs="Arial"/>
          <w:spacing w:val="-4"/>
          <w:sz w:val="20"/>
          <w:szCs w:val="20"/>
        </w:rPr>
        <w:tab/>
        <w:t>(1)</w:t>
      </w:r>
      <w:r>
        <w:rPr>
          <w:rFonts w:ascii="Arial" w:hAnsi="Arial" w:eastAsia="Times New Roman" w:cs="Arial"/>
          <w:spacing w:val="-4"/>
          <w:sz w:val="20"/>
          <w:szCs w:val="20"/>
        </w:rPr>
        <w:tab/>
        <w:t>(Insert one of the following, as applicable)</w:t>
      </w:r>
    </w:p>
    <w:p w:rsidRPr="00E7599D" w:rsidR="002D54C4" w:rsidP="00392E21" w:rsidRDefault="008B55A2" w14:paraId="621A01FD" w14:textId="77777777">
      <w:pPr>
        <w:tabs>
          <w:tab w:val="left" w:pos="720"/>
        </w:tabs>
        <w:spacing w:before="120" w:after="120" w:line="240" w:lineRule="auto"/>
        <w:ind w:firstLine="14"/>
        <w:rPr>
          <w:rFonts w:ascii="Arial" w:hAnsi="Arial" w:eastAsia="Times New Roman" w:cs="Arial"/>
          <w:spacing w:val="-4"/>
          <w:sz w:val="20"/>
          <w:szCs w:val="20"/>
        </w:rPr>
      </w:pPr>
      <w:r>
        <w:rPr>
          <w:rFonts w:ascii="Arial" w:hAnsi="Arial" w:eastAsia="Times New Roman" w:cs="Arial"/>
          <w:spacing w:val="-4"/>
          <w:sz w:val="20"/>
          <w:szCs w:val="20"/>
        </w:rPr>
        <w:tab/>
        <w:t>Under the Agreement, Beneficiary is entitled to demand payment under the Standby Letter of Credit in the amount of the sight draft accompanying this certificate.</w:t>
      </w:r>
    </w:p>
    <w:p w:rsidRPr="00E7599D" w:rsidR="002D54C4" w:rsidP="00392E21" w:rsidRDefault="008B55A2" w14:paraId="1ACB29D1" w14:textId="77777777">
      <w:pPr>
        <w:spacing w:before="120" w:after="120" w:line="240" w:lineRule="auto"/>
        <w:rPr>
          <w:rFonts w:ascii="Arial" w:hAnsi="Arial" w:eastAsia="Times New Roman" w:cs="Arial"/>
          <w:spacing w:val="-4"/>
          <w:sz w:val="20"/>
          <w:szCs w:val="20"/>
        </w:rPr>
      </w:pPr>
      <w:r>
        <w:rPr>
          <w:rFonts w:ascii="Arial" w:hAnsi="Arial" w:eastAsia="Times New Roman" w:cs="Arial"/>
          <w:spacing w:val="-4"/>
          <w:sz w:val="20"/>
          <w:szCs w:val="20"/>
        </w:rPr>
        <w:t>or</w:t>
      </w:r>
    </w:p>
    <w:p w:rsidRPr="00E7599D" w:rsidR="002D54C4" w:rsidP="00392E21" w:rsidRDefault="008B55A2" w14:paraId="7F1007C5" w14:textId="77777777">
      <w:pPr>
        <w:tabs>
          <w:tab w:val="left" w:pos="720"/>
        </w:tabs>
        <w:spacing w:before="120" w:after="120" w:line="240" w:lineRule="auto"/>
        <w:rPr>
          <w:rFonts w:ascii="Arial" w:hAnsi="Arial" w:eastAsia="Times New Roman" w:cs="Arial"/>
          <w:spacing w:val="-4"/>
          <w:sz w:val="20"/>
          <w:szCs w:val="20"/>
        </w:rPr>
      </w:pPr>
      <w:bookmarkStart w:name="_DV_M801" w:id="1642"/>
      <w:bookmarkEnd w:id="1642"/>
      <w:r>
        <w:rPr>
          <w:rFonts w:ascii="Arial" w:hAnsi="Arial" w:eastAsia="Times New Roman" w:cs="Arial"/>
          <w:spacing w:val="-4"/>
          <w:sz w:val="20"/>
          <w:szCs w:val="20"/>
        </w:rPr>
        <w:tab/>
      </w:r>
      <w:r>
        <w:rPr>
          <w:rFonts w:ascii="Arial" w:hAnsi="Arial" w:eastAsia="Times New Roman" w:cs="Arial"/>
          <w:spacing w:val="-4"/>
          <w:sz w:val="20"/>
          <w:szCs w:val="20"/>
          <w:highlight w:val="yellow"/>
        </w:rPr>
        <w:t>[Beneficiary]</w:t>
      </w:r>
      <w:r>
        <w:rPr>
          <w:rFonts w:ascii="Arial" w:hAnsi="Arial" w:eastAsia="Times New Roman" w:cs="Arial"/>
          <w:spacing w:val="-4"/>
          <w:sz w:val="20"/>
          <w:szCs w:val="20"/>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Pr="00E7599D" w:rsidR="002D54C4" w:rsidP="00392E21" w:rsidRDefault="008B55A2" w14:paraId="25071065" w14:textId="77777777">
      <w:pPr>
        <w:tabs>
          <w:tab w:val="left" w:pos="720"/>
          <w:tab w:val="left" w:pos="1440"/>
        </w:tabs>
        <w:spacing w:before="120" w:after="120" w:line="240" w:lineRule="auto"/>
        <w:ind w:firstLine="14"/>
        <w:rPr>
          <w:rFonts w:ascii="Arial" w:hAnsi="Arial" w:eastAsia="Times New Roman" w:cs="Arial"/>
          <w:spacing w:val="-4"/>
          <w:sz w:val="20"/>
          <w:szCs w:val="20"/>
        </w:rPr>
      </w:pPr>
      <w:bookmarkStart w:name="_DV_M802" w:id="1643"/>
      <w:bookmarkEnd w:id="1643"/>
      <w:r>
        <w:rPr>
          <w:rFonts w:ascii="Arial" w:hAnsi="Arial" w:eastAsia="Times New Roman" w:cs="Arial"/>
          <w:spacing w:val="-4"/>
          <w:sz w:val="20"/>
          <w:szCs w:val="20"/>
        </w:rPr>
        <w:tab/>
        <w:t>(2)</w:t>
      </w:r>
      <w:r>
        <w:rPr>
          <w:rFonts w:ascii="Arial" w:hAnsi="Arial" w:eastAsia="Times New Roman" w:cs="Arial"/>
          <w:spacing w:val="-4"/>
          <w:sz w:val="20"/>
          <w:szCs w:val="20"/>
        </w:rPr>
        <w:tab/>
        <w:t>The undersigned is an officer or authorized representative of [Beneficiary] and is authorized to execute and deliver this certificate and to draw upon the Standby Letter of Credit.</w:t>
      </w:r>
    </w:p>
    <w:p w:rsidRPr="00E7599D" w:rsidR="002D54C4" w:rsidP="00392E21" w:rsidRDefault="008B55A2" w14:paraId="1B0CC80A" w14:textId="77777777">
      <w:pPr>
        <w:tabs>
          <w:tab w:val="left" w:pos="720"/>
        </w:tabs>
        <w:spacing w:before="120" w:after="120" w:line="240" w:lineRule="auto"/>
        <w:ind w:firstLine="14"/>
        <w:rPr>
          <w:rFonts w:ascii="Arial" w:hAnsi="Arial" w:eastAsia="Times New Roman" w:cs="Arial"/>
          <w:spacing w:val="-4"/>
          <w:sz w:val="20"/>
          <w:szCs w:val="20"/>
        </w:rPr>
      </w:pPr>
      <w:bookmarkStart w:name="_DV_M803" w:id="1644"/>
      <w:bookmarkEnd w:id="1644"/>
      <w:r>
        <w:rPr>
          <w:rFonts w:ascii="Arial" w:hAnsi="Arial" w:eastAsia="Times New Roman" w:cs="Arial"/>
          <w:spacing w:val="-4"/>
          <w:sz w:val="20"/>
          <w:szCs w:val="20"/>
        </w:rPr>
        <w:tab/>
        <w:t>IN WITNESS WHEREOF, the undersigned has executed and delivered this Certificate as of this __ day of ________ , 20__.</w:t>
      </w:r>
    </w:p>
    <w:p w:rsidRPr="00E7599D" w:rsidR="002D54C4" w:rsidP="00392E21" w:rsidRDefault="008B55A2" w14:paraId="5462D6D6" w14:textId="77777777">
      <w:pPr>
        <w:spacing w:before="120" w:after="120" w:line="240" w:lineRule="auto"/>
        <w:ind w:left="5040"/>
        <w:rPr>
          <w:rFonts w:ascii="Arial" w:hAnsi="Arial" w:eastAsia="Times New Roman" w:cs="Arial"/>
          <w:sz w:val="20"/>
          <w:szCs w:val="20"/>
        </w:rPr>
      </w:pPr>
      <w:bookmarkStart w:name="_DV_M804" w:id="1645"/>
      <w:bookmarkEnd w:id="1645"/>
      <w:r>
        <w:rPr>
          <w:rFonts w:ascii="Arial" w:hAnsi="Arial" w:eastAsia="Times New Roman" w:cs="Arial"/>
          <w:sz w:val="20"/>
          <w:szCs w:val="20"/>
        </w:rPr>
        <w:t>[</w:t>
      </w:r>
      <w:r>
        <w:rPr>
          <w:rFonts w:ascii="Arial" w:hAnsi="Arial" w:eastAsia="Times New Roman" w:cs="Arial"/>
          <w:sz w:val="20"/>
          <w:szCs w:val="20"/>
          <w:highlight w:val="yellow"/>
        </w:rPr>
        <w:t>BENEFICIARY</w:t>
      </w:r>
      <w:r>
        <w:rPr>
          <w:rFonts w:ascii="Arial" w:hAnsi="Arial" w:eastAsia="Times New Roman" w:cs="Arial"/>
          <w:sz w:val="20"/>
          <w:szCs w:val="20"/>
        </w:rPr>
        <w:t>]</w:t>
      </w:r>
    </w:p>
    <w:p w:rsidRPr="00E7599D" w:rsidR="002D54C4" w:rsidP="00392E21" w:rsidRDefault="002D54C4" w14:paraId="6ED8BA36" w14:textId="77777777">
      <w:pPr>
        <w:spacing w:before="120" w:after="120" w:line="240" w:lineRule="auto"/>
        <w:ind w:left="5040"/>
        <w:rPr>
          <w:rFonts w:ascii="Arial" w:hAnsi="Arial" w:eastAsia="Times New Roman" w:cs="Arial"/>
          <w:sz w:val="20"/>
          <w:szCs w:val="20"/>
        </w:rPr>
      </w:pPr>
    </w:p>
    <w:p w:rsidRPr="00E7599D" w:rsidR="002D54C4" w:rsidP="00392E21" w:rsidRDefault="002D54C4" w14:paraId="0B6CAE18" w14:textId="77777777">
      <w:pPr>
        <w:spacing w:before="120" w:after="120" w:line="240" w:lineRule="auto"/>
        <w:ind w:left="5040"/>
        <w:rPr>
          <w:rFonts w:ascii="Arial" w:hAnsi="Arial" w:eastAsia="Times New Roman" w:cs="Arial"/>
          <w:sz w:val="20"/>
          <w:szCs w:val="20"/>
        </w:rPr>
      </w:pPr>
    </w:p>
    <w:p w:rsidRPr="00E7599D" w:rsidR="002D54C4" w:rsidP="00392E21" w:rsidRDefault="002D54C4" w14:paraId="635F8796" w14:textId="77777777">
      <w:pPr>
        <w:spacing w:before="120" w:after="120" w:line="240" w:lineRule="auto"/>
        <w:ind w:left="5040"/>
        <w:rPr>
          <w:rFonts w:ascii="Arial" w:hAnsi="Arial" w:eastAsia="Times New Roman" w:cs="Arial"/>
          <w:sz w:val="20"/>
          <w:szCs w:val="20"/>
        </w:rPr>
      </w:pPr>
    </w:p>
    <w:p w:rsidRPr="00E7599D" w:rsidR="002D54C4" w:rsidP="00392E21" w:rsidRDefault="008B55A2" w14:paraId="62E18086" w14:textId="77777777">
      <w:pPr>
        <w:tabs>
          <w:tab w:val="right" w:pos="9360"/>
        </w:tabs>
        <w:spacing w:before="120" w:after="120" w:line="240" w:lineRule="auto"/>
        <w:ind w:left="5040"/>
        <w:rPr>
          <w:rFonts w:ascii="Arial" w:hAnsi="Arial" w:eastAsia="Times New Roman" w:cs="Arial"/>
          <w:sz w:val="20"/>
          <w:szCs w:val="20"/>
        </w:rPr>
      </w:pPr>
      <w:bookmarkStart w:name="_DV_M805" w:id="1646"/>
      <w:bookmarkEnd w:id="1646"/>
      <w:r>
        <w:rPr>
          <w:rFonts w:ascii="Arial" w:hAnsi="Arial" w:eastAsia="Times New Roman" w:cs="Arial"/>
          <w:sz w:val="20"/>
          <w:szCs w:val="20"/>
        </w:rPr>
        <w:t>By:</w:t>
      </w:r>
      <w:r>
        <w:rPr>
          <w:rFonts w:ascii="Arial" w:hAnsi="Arial" w:eastAsia="Times New Roman" w:cs="Arial"/>
          <w:sz w:val="20"/>
          <w:szCs w:val="20"/>
          <w:u w:val="single"/>
        </w:rPr>
        <w:tab/>
      </w:r>
    </w:p>
    <w:p w:rsidRPr="00E7599D" w:rsidR="002D54C4" w:rsidP="00392E21" w:rsidRDefault="008B55A2" w14:paraId="000C7843" w14:textId="77777777">
      <w:pPr>
        <w:tabs>
          <w:tab w:val="right" w:pos="9360"/>
        </w:tabs>
        <w:spacing w:before="120" w:after="120" w:line="240" w:lineRule="auto"/>
        <w:ind w:left="5040"/>
        <w:rPr>
          <w:rFonts w:ascii="Arial" w:hAnsi="Arial" w:eastAsia="Times New Roman" w:cs="Arial"/>
          <w:sz w:val="20"/>
          <w:szCs w:val="20"/>
        </w:rPr>
      </w:pPr>
      <w:bookmarkStart w:name="_DV_M806" w:id="1647"/>
      <w:bookmarkEnd w:id="1647"/>
      <w:r>
        <w:rPr>
          <w:rFonts w:ascii="Arial" w:hAnsi="Arial" w:eastAsia="Times New Roman" w:cs="Arial"/>
          <w:sz w:val="20"/>
          <w:szCs w:val="20"/>
        </w:rPr>
        <w:t xml:space="preserve"> </w:t>
      </w:r>
    </w:p>
    <w:p w:rsidRPr="00E7599D" w:rsidR="002D54C4" w:rsidP="00392E21" w:rsidRDefault="008B55A2" w14:paraId="796E652C" w14:textId="77777777">
      <w:pPr>
        <w:tabs>
          <w:tab w:val="right" w:pos="9360"/>
        </w:tabs>
        <w:spacing w:before="120" w:after="120" w:line="240" w:lineRule="auto"/>
        <w:ind w:left="5040"/>
        <w:rPr>
          <w:rFonts w:ascii="Arial" w:hAnsi="Arial" w:eastAsia="Times New Roman" w:cs="Arial"/>
          <w:sz w:val="20"/>
          <w:szCs w:val="20"/>
        </w:rPr>
      </w:pPr>
      <w:bookmarkStart w:name="_DV_M807" w:id="1648"/>
      <w:bookmarkEnd w:id="1648"/>
      <w:r>
        <w:rPr>
          <w:rFonts w:ascii="Arial" w:hAnsi="Arial" w:eastAsia="Times New Roman" w:cs="Arial"/>
          <w:sz w:val="20"/>
          <w:szCs w:val="20"/>
        </w:rPr>
        <w:t>Title:</w:t>
      </w:r>
      <w:r>
        <w:rPr>
          <w:rFonts w:ascii="Arial" w:hAnsi="Arial" w:eastAsia="Times New Roman" w:cs="Arial"/>
          <w:sz w:val="20"/>
          <w:szCs w:val="20"/>
          <w:u w:val="single"/>
        </w:rPr>
        <w:tab/>
      </w:r>
    </w:p>
    <w:p w:rsidRPr="006C43AC" w:rsidR="002D54C4" w:rsidP="00392E21" w:rsidRDefault="002D54C4" w14:paraId="1B2C4A17" w14:textId="77777777">
      <w:pPr>
        <w:spacing w:line="240" w:lineRule="auto"/>
        <w:ind w:left="5040"/>
        <w:rPr>
          <w:rFonts w:eastAsia="Times New Roman"/>
        </w:rPr>
      </w:pPr>
    </w:p>
    <w:p w:rsidRPr="006C43AC" w:rsidR="002D54C4" w:rsidP="00702472" w:rsidRDefault="002D54C4" w14:paraId="0D231446" w14:textId="77777777">
      <w:pPr>
        <w:ind w:left="5040"/>
        <w:rPr>
          <w:rFonts w:eastAsia="Times New Roman"/>
        </w:rPr>
      </w:pPr>
    </w:p>
    <w:p w:rsidR="002D54C4" w:rsidP="002D54C4" w:rsidRDefault="008B55A2" w14:paraId="15CD7296" w14:textId="77777777">
      <w:pPr>
        <w:spacing w:after="240"/>
        <w:rPr>
          <w:rFonts w:eastAsia="Times New Roman"/>
        </w:rPr>
      </w:pPr>
      <w:bookmarkStart w:name="_DV_M808" w:id="1649"/>
      <w:bookmarkEnd w:id="1649"/>
      <w:r>
        <w:rPr>
          <w:rFonts w:eastAsia="Times New Roman"/>
        </w:rPr>
        <w:br w:type="page"/>
      </w:r>
    </w:p>
    <w:p w:rsidRPr="00BE07C6" w:rsidR="002D54C4" w:rsidP="002D54C4" w:rsidRDefault="008B55A2" w14:paraId="05B19DF7" w14:textId="77777777">
      <w:pPr>
        <w:spacing w:after="240"/>
        <w:jc w:val="center"/>
        <w:outlineLvl w:val="3"/>
        <w:rPr>
          <w:rFonts w:ascii="Arial Bold" w:hAnsi="Arial Bold" w:eastAsia="Calibri"/>
          <w:b/>
          <w:caps/>
        </w:rPr>
      </w:pPr>
      <w:r>
        <w:rPr>
          <w:rFonts w:ascii="Arial Bold" w:hAnsi="Arial Bold" w:eastAsia="Calibri"/>
          <w:b/>
          <w:caps/>
        </w:rPr>
        <w:lastRenderedPageBreak/>
        <w:t>Annex 3</w:t>
      </w:r>
    </w:p>
    <w:p w:rsidRPr="00BE07C6" w:rsidR="002D54C4" w:rsidP="002D54C4" w:rsidRDefault="008B55A2" w14:paraId="0A05CC6C" w14:textId="77777777">
      <w:pPr>
        <w:spacing w:after="240"/>
        <w:jc w:val="center"/>
        <w:outlineLvl w:val="3"/>
        <w:rPr>
          <w:rFonts w:ascii="Arial Bold" w:hAnsi="Arial Bold" w:eastAsia="Times New Roman"/>
          <w:caps/>
          <w:spacing w:val="-4"/>
        </w:rPr>
      </w:pPr>
      <w:r>
        <w:rPr>
          <w:rFonts w:ascii="Arial Bold" w:hAnsi="Arial Bold" w:eastAsia="Calibri"/>
          <w:b/>
          <w:caps/>
        </w:rPr>
        <w:t>Form of Instruction to Assign in Entirety</w:t>
      </w:r>
      <w:bookmarkStart w:name="_DV_M809" w:id="1650"/>
      <w:bookmarkStart w:name="_DV_M810" w:id="1651"/>
      <w:bookmarkStart w:name="_DV_M811" w:id="1652"/>
      <w:bookmarkEnd w:id="1650"/>
      <w:bookmarkEnd w:id="1651"/>
      <w:bookmarkEnd w:id="1652"/>
    </w:p>
    <w:p w:rsidRPr="00181805" w:rsidR="002D54C4" w:rsidP="00181805" w:rsidRDefault="008B55A2" w14:paraId="1B800DD9" w14:textId="77777777">
      <w:pPr>
        <w:tabs>
          <w:tab w:val="left" w:pos="0"/>
          <w:tab w:val="left" w:pos="720"/>
        </w:tabs>
        <w:spacing w:before="120" w:after="120" w:line="20" w:lineRule="atLeast"/>
        <w:rPr>
          <w:rFonts w:ascii="Arial" w:hAnsi="Arial" w:eastAsia="Times New Roman" w:cs="Arial"/>
          <w:sz w:val="20"/>
          <w:szCs w:val="20"/>
        </w:rPr>
      </w:pPr>
      <w:r>
        <w:rPr>
          <w:rFonts w:ascii="Arial" w:hAnsi="Arial" w:eastAsia="Times New Roman" w:cs="Arial"/>
          <w:sz w:val="20"/>
          <w:szCs w:val="20"/>
        </w:rPr>
        <w:t>Re: Irrevocable Standby Letter of Credit No.</w:t>
      </w:r>
    </w:p>
    <w:p w:rsidRPr="00181805" w:rsidR="002D54C4" w:rsidP="00181805" w:rsidRDefault="002D54C4" w14:paraId="1AA003AB" w14:textId="77777777">
      <w:pPr>
        <w:spacing w:before="120" w:after="120" w:line="20" w:lineRule="atLeast"/>
        <w:rPr>
          <w:rFonts w:ascii="Arial" w:hAnsi="Arial" w:eastAsia="Times New Roman" w:cs="Arial"/>
          <w:sz w:val="20"/>
          <w:szCs w:val="20"/>
        </w:rPr>
      </w:pPr>
    </w:p>
    <w:p w:rsidRPr="00181805" w:rsidR="002D54C4" w:rsidP="00181805" w:rsidRDefault="008B55A2" w14:paraId="07B975B1" w14:textId="77777777">
      <w:pPr>
        <w:spacing w:before="120" w:after="120" w:line="20" w:lineRule="atLeast"/>
        <w:rPr>
          <w:rFonts w:ascii="Arial" w:hAnsi="Arial" w:eastAsia="Times New Roman" w:cs="Arial"/>
          <w:sz w:val="20"/>
          <w:szCs w:val="20"/>
        </w:rPr>
      </w:pPr>
      <w:bookmarkStart w:name="_DV_M812" w:id="1653"/>
      <w:bookmarkEnd w:id="1653"/>
      <w:r>
        <w:rPr>
          <w:rFonts w:ascii="Arial" w:hAnsi="Arial" w:eastAsia="Times New Roman" w:cs="Arial"/>
          <w:sz w:val="20"/>
          <w:szCs w:val="20"/>
        </w:rPr>
        <w:t>Ladies/Gentlemen:</w:t>
      </w:r>
    </w:p>
    <w:p w:rsidRPr="00181805" w:rsidR="002D54C4" w:rsidP="00181805" w:rsidRDefault="002D54C4" w14:paraId="70E4AE1C" w14:textId="77777777">
      <w:pPr>
        <w:spacing w:before="120" w:after="120" w:line="20" w:lineRule="atLeast"/>
        <w:rPr>
          <w:rFonts w:ascii="Arial" w:hAnsi="Arial" w:eastAsia="Times New Roman" w:cs="Arial"/>
          <w:sz w:val="20"/>
          <w:szCs w:val="20"/>
        </w:rPr>
      </w:pPr>
    </w:p>
    <w:p w:rsidRPr="00181805" w:rsidR="002D54C4" w:rsidP="00181805" w:rsidRDefault="008B55A2" w14:paraId="0FF86BD3" w14:textId="77777777">
      <w:pPr>
        <w:spacing w:before="120" w:after="120" w:line="20" w:lineRule="atLeast"/>
        <w:rPr>
          <w:rFonts w:ascii="Arial" w:hAnsi="Arial" w:eastAsia="Times New Roman" w:cs="Arial"/>
          <w:spacing w:val="-4"/>
          <w:sz w:val="20"/>
          <w:szCs w:val="20"/>
        </w:rPr>
      </w:pPr>
      <w:bookmarkStart w:name="_DV_M813" w:id="1654"/>
      <w:bookmarkEnd w:id="1654"/>
      <w:r>
        <w:rPr>
          <w:rFonts w:ascii="Arial" w:hAnsi="Arial" w:eastAsia="Times New Roman" w:cs="Arial"/>
          <w:spacing w:val="-4"/>
          <w:sz w:val="20"/>
          <w:szCs w:val="20"/>
        </w:rPr>
        <w:t>For value received, the undersigned beneficiary hereby irrevocably assigns to:</w:t>
      </w:r>
    </w:p>
    <w:p w:rsidRPr="00181805" w:rsidR="002D54C4" w:rsidP="00181805" w:rsidRDefault="008B55A2" w14:paraId="484D36AC" w14:textId="77777777">
      <w:pPr>
        <w:spacing w:before="120" w:after="120" w:line="20" w:lineRule="atLeast"/>
        <w:rPr>
          <w:rFonts w:ascii="Arial" w:hAnsi="Arial" w:eastAsia="Times New Roman" w:cs="Arial"/>
          <w:sz w:val="20"/>
          <w:szCs w:val="20"/>
        </w:rPr>
      </w:pPr>
      <w:bookmarkStart w:name="_DV_M814" w:id="1655"/>
      <w:bookmarkEnd w:id="1655"/>
      <w:r>
        <w:rPr>
          <w:rFonts w:ascii="Arial" w:hAnsi="Arial" w:eastAsia="Times New Roman" w:cs="Arial"/>
          <w:sz w:val="20"/>
          <w:szCs w:val="20"/>
          <w:highlight w:val="yellow"/>
        </w:rPr>
        <w:t>[Name of Assignee]</w:t>
      </w:r>
    </w:p>
    <w:p w:rsidRPr="00181805" w:rsidR="002D54C4" w:rsidP="00181805" w:rsidRDefault="002D54C4" w14:paraId="55374717" w14:textId="77777777">
      <w:pPr>
        <w:spacing w:before="120" w:after="120" w:line="20" w:lineRule="atLeast"/>
        <w:rPr>
          <w:rFonts w:ascii="Arial" w:hAnsi="Arial" w:eastAsia="Times New Roman" w:cs="Arial"/>
          <w:sz w:val="20"/>
          <w:szCs w:val="20"/>
        </w:rPr>
      </w:pPr>
    </w:p>
    <w:p w:rsidRPr="00181805" w:rsidR="002D54C4" w:rsidP="00181805" w:rsidRDefault="002D54C4" w14:paraId="44AF18B1" w14:textId="77777777">
      <w:pPr>
        <w:spacing w:before="120" w:after="120" w:line="20" w:lineRule="atLeast"/>
        <w:rPr>
          <w:rFonts w:ascii="Arial" w:hAnsi="Arial" w:eastAsia="Times New Roman" w:cs="Arial"/>
          <w:sz w:val="20"/>
          <w:szCs w:val="20"/>
        </w:rPr>
      </w:pPr>
    </w:p>
    <w:p w:rsidRPr="00181805" w:rsidR="002D54C4" w:rsidP="00181805" w:rsidRDefault="002D54C4" w14:paraId="0C532841" w14:textId="77777777">
      <w:pPr>
        <w:spacing w:before="120" w:after="120" w:line="20" w:lineRule="atLeast"/>
        <w:rPr>
          <w:rFonts w:ascii="Arial" w:hAnsi="Arial" w:eastAsia="Times New Roman" w:cs="Arial"/>
          <w:sz w:val="20"/>
          <w:szCs w:val="20"/>
        </w:rPr>
      </w:pPr>
    </w:p>
    <w:p w:rsidRPr="00181805" w:rsidR="002D54C4" w:rsidP="00181805" w:rsidRDefault="008B55A2" w14:paraId="6D3BF2F1" w14:textId="77777777">
      <w:pPr>
        <w:spacing w:before="120" w:after="120" w:line="20" w:lineRule="atLeast"/>
        <w:rPr>
          <w:rFonts w:ascii="Arial" w:hAnsi="Arial" w:eastAsia="Times New Roman" w:cs="Arial"/>
          <w:sz w:val="20"/>
          <w:szCs w:val="20"/>
        </w:rPr>
      </w:pPr>
      <w:bookmarkStart w:name="_DV_M815" w:id="1656"/>
      <w:bookmarkEnd w:id="1656"/>
      <w:r>
        <w:rPr>
          <w:rFonts w:ascii="Arial" w:hAnsi="Arial" w:eastAsia="Times New Roman" w:cs="Arial"/>
          <w:sz w:val="20"/>
          <w:szCs w:val="20"/>
          <w:highlight w:val="yellow"/>
        </w:rPr>
        <w:t>[Address]</w:t>
      </w:r>
    </w:p>
    <w:p w:rsidRPr="00181805" w:rsidR="002D54C4" w:rsidP="00181805" w:rsidRDefault="002D54C4" w14:paraId="2FE403A2" w14:textId="77777777">
      <w:pPr>
        <w:spacing w:before="120" w:after="120" w:line="20" w:lineRule="atLeast"/>
        <w:rPr>
          <w:rFonts w:ascii="Arial" w:hAnsi="Arial" w:eastAsia="Times New Roman" w:cs="Arial"/>
          <w:sz w:val="20"/>
          <w:szCs w:val="20"/>
        </w:rPr>
      </w:pPr>
    </w:p>
    <w:p w:rsidRPr="00181805" w:rsidR="002D54C4" w:rsidP="00181805" w:rsidRDefault="008B55A2" w14:paraId="596C2FE6" w14:textId="77777777">
      <w:pPr>
        <w:spacing w:before="120" w:after="120" w:line="20" w:lineRule="atLeast"/>
        <w:rPr>
          <w:rFonts w:ascii="Arial" w:hAnsi="Arial" w:eastAsia="Times New Roman" w:cs="Arial"/>
          <w:sz w:val="20"/>
          <w:szCs w:val="20"/>
        </w:rPr>
      </w:pPr>
      <w:bookmarkStart w:name="_DV_M816" w:id="1657"/>
      <w:bookmarkEnd w:id="1657"/>
      <w:r>
        <w:rPr>
          <w:rFonts w:ascii="Arial" w:hAnsi="Arial" w:eastAsia="Times New Roman" w:cs="Arial"/>
          <w:sz w:val="20"/>
          <w:szCs w:val="20"/>
        </w:rPr>
        <w:t>all rights of the undersigned beneficiary to demand payment under the above Standby Letter of Credit in its entirety.</w:t>
      </w:r>
    </w:p>
    <w:p w:rsidRPr="00181805" w:rsidR="002D54C4" w:rsidP="00181805" w:rsidRDefault="002D54C4" w14:paraId="2676606D" w14:textId="77777777">
      <w:pPr>
        <w:spacing w:before="120" w:after="120" w:line="20" w:lineRule="atLeast"/>
        <w:rPr>
          <w:rFonts w:ascii="Arial" w:hAnsi="Arial" w:eastAsia="Times New Roman" w:cs="Arial"/>
          <w:sz w:val="20"/>
          <w:szCs w:val="20"/>
        </w:rPr>
      </w:pPr>
    </w:p>
    <w:p w:rsidRPr="00181805" w:rsidR="002D54C4" w:rsidP="00181805" w:rsidRDefault="008B55A2" w14:paraId="265DEF38" w14:textId="77777777">
      <w:pPr>
        <w:spacing w:before="120" w:after="120" w:line="20" w:lineRule="atLeast"/>
        <w:rPr>
          <w:rFonts w:ascii="Arial" w:hAnsi="Arial" w:eastAsia="Times New Roman" w:cs="Arial"/>
          <w:spacing w:val="-4"/>
          <w:sz w:val="20"/>
          <w:szCs w:val="20"/>
        </w:rPr>
      </w:pPr>
      <w:bookmarkStart w:name="_DV_M817" w:id="1658"/>
      <w:bookmarkEnd w:id="1658"/>
      <w:r>
        <w:rPr>
          <w:rFonts w:ascii="Arial" w:hAnsi="Arial" w:eastAsia="Times New Roman" w:cs="Arial"/>
          <w:spacing w:val="-4"/>
          <w:sz w:val="20"/>
          <w:szCs w:val="20"/>
        </w:rPr>
        <w:t xml:space="preserve">By this assignment, all rights of the undersigned beneficiary in such Standby Letter of Credit are transferred to the assignee and the assignee will hereafter have the sole rights as beneficiary thereof. The Account Party will be responsible for all fees and expenses related to the assignment. </w:t>
      </w:r>
    </w:p>
    <w:p w:rsidRPr="00181805" w:rsidR="002D54C4" w:rsidP="00181805" w:rsidRDefault="008B55A2" w14:paraId="7CAF04F7" w14:textId="77777777">
      <w:pPr>
        <w:spacing w:before="120" w:after="120" w:line="20" w:lineRule="atLeast"/>
        <w:rPr>
          <w:rFonts w:ascii="Arial" w:hAnsi="Arial" w:eastAsia="Times New Roman" w:cs="Arial"/>
          <w:spacing w:val="-4"/>
          <w:sz w:val="20"/>
          <w:szCs w:val="20"/>
        </w:rPr>
      </w:pPr>
      <w:bookmarkStart w:name="_DV_M818" w:id="1659"/>
      <w:bookmarkEnd w:id="1659"/>
      <w:r>
        <w:rPr>
          <w:rFonts w:ascii="Arial" w:hAnsi="Arial" w:eastAsia="Times New Roman" w:cs="Arial"/>
          <w:spacing w:val="-4"/>
          <w:sz w:val="20"/>
          <w:szCs w:val="20"/>
        </w:rPr>
        <w:t>The Account Party will be responsible for all fees and expenses related to this assignment.</w:t>
      </w:r>
    </w:p>
    <w:p w:rsidRPr="00181805" w:rsidR="002D54C4" w:rsidP="00181805" w:rsidRDefault="008B55A2" w14:paraId="615E7ED3" w14:textId="77777777">
      <w:pPr>
        <w:spacing w:before="120" w:after="120" w:line="20" w:lineRule="atLeast"/>
        <w:rPr>
          <w:rFonts w:ascii="Arial" w:hAnsi="Arial" w:eastAsia="Times New Roman" w:cs="Arial"/>
          <w:spacing w:val="-4"/>
          <w:sz w:val="20"/>
          <w:szCs w:val="20"/>
        </w:rPr>
      </w:pPr>
      <w:bookmarkStart w:name="_DV_M819" w:id="1660"/>
      <w:bookmarkEnd w:id="1660"/>
      <w:r>
        <w:rPr>
          <w:rFonts w:ascii="Arial" w:hAnsi="Arial" w:eastAsia="Times New Roman" w:cs="Arial"/>
          <w:spacing w:val="-4"/>
          <w:sz w:val="20"/>
          <w:szCs w:val="20"/>
        </w:rPr>
        <w:t>The Standby Letter of Credit is returned herewith and in accordance therewith we ask you to issue a new irrevocable Standby Letter of Credit in favor of the assignee with provisions consistent with the Standby Letter of Credit.</w:t>
      </w:r>
    </w:p>
    <w:p w:rsidRPr="00181805" w:rsidR="002D54C4" w:rsidP="00181805" w:rsidRDefault="008B55A2" w14:paraId="013451AD" w14:textId="77777777">
      <w:pPr>
        <w:spacing w:before="120" w:after="120" w:line="20" w:lineRule="atLeast"/>
        <w:ind w:left="5040"/>
        <w:rPr>
          <w:rFonts w:ascii="Arial" w:hAnsi="Arial" w:eastAsia="Times New Roman" w:cs="Arial"/>
          <w:sz w:val="20"/>
          <w:szCs w:val="20"/>
        </w:rPr>
      </w:pPr>
      <w:bookmarkStart w:name="_DV_M820" w:id="1661"/>
      <w:bookmarkEnd w:id="1661"/>
      <w:r>
        <w:rPr>
          <w:rFonts w:ascii="Arial" w:hAnsi="Arial" w:eastAsia="Times New Roman" w:cs="Arial"/>
          <w:sz w:val="20"/>
          <w:szCs w:val="20"/>
        </w:rPr>
        <w:t>Sincerely,</w:t>
      </w:r>
    </w:p>
    <w:p w:rsidRPr="00181805" w:rsidR="002D54C4" w:rsidP="00181805" w:rsidRDefault="002D54C4" w14:paraId="4F2E1856" w14:textId="77777777">
      <w:pPr>
        <w:spacing w:before="120" w:after="120" w:line="20" w:lineRule="atLeast"/>
        <w:ind w:left="5040"/>
        <w:rPr>
          <w:rFonts w:ascii="Arial" w:hAnsi="Arial" w:eastAsia="Times New Roman" w:cs="Arial"/>
          <w:sz w:val="20"/>
          <w:szCs w:val="20"/>
        </w:rPr>
      </w:pPr>
    </w:p>
    <w:p w:rsidRPr="00181805" w:rsidR="002D54C4" w:rsidP="00181805" w:rsidRDefault="008B55A2" w14:paraId="366887D1" w14:textId="77777777">
      <w:pPr>
        <w:spacing w:before="120" w:after="120" w:line="20" w:lineRule="atLeast"/>
        <w:ind w:left="5040"/>
        <w:rPr>
          <w:rFonts w:ascii="Arial" w:hAnsi="Arial" w:eastAsia="Times New Roman" w:cs="Arial"/>
          <w:sz w:val="20"/>
          <w:szCs w:val="20"/>
        </w:rPr>
      </w:pPr>
      <w:bookmarkStart w:name="_DV_M821" w:id="1662"/>
      <w:bookmarkEnd w:id="1662"/>
      <w:r>
        <w:rPr>
          <w:rFonts w:ascii="Arial" w:hAnsi="Arial" w:eastAsia="Times New Roman" w:cs="Arial"/>
          <w:sz w:val="20"/>
          <w:szCs w:val="20"/>
        </w:rPr>
        <w:t>[</w:t>
      </w:r>
      <w:r>
        <w:rPr>
          <w:rFonts w:ascii="Arial" w:hAnsi="Arial" w:eastAsia="Times New Roman" w:cs="Arial"/>
          <w:sz w:val="20"/>
          <w:szCs w:val="20"/>
          <w:highlight w:val="yellow"/>
        </w:rPr>
        <w:t>Beneficiary</w:t>
      </w:r>
      <w:r>
        <w:rPr>
          <w:rFonts w:ascii="Arial" w:hAnsi="Arial" w:eastAsia="Times New Roman" w:cs="Arial"/>
          <w:sz w:val="20"/>
          <w:szCs w:val="20"/>
        </w:rPr>
        <w:t>]</w:t>
      </w:r>
    </w:p>
    <w:p w:rsidRPr="00181805" w:rsidR="002D54C4" w:rsidP="00181805" w:rsidRDefault="002D54C4" w14:paraId="632F236E" w14:textId="77777777">
      <w:pPr>
        <w:spacing w:before="120" w:after="120" w:line="20" w:lineRule="atLeast"/>
        <w:ind w:left="5040"/>
        <w:rPr>
          <w:rFonts w:ascii="Arial" w:hAnsi="Arial" w:eastAsia="Times New Roman" w:cs="Arial"/>
          <w:sz w:val="20"/>
          <w:szCs w:val="20"/>
        </w:rPr>
      </w:pPr>
    </w:p>
    <w:p w:rsidRPr="00181805" w:rsidR="002D54C4" w:rsidP="00181805" w:rsidRDefault="002D54C4" w14:paraId="226F303E" w14:textId="77777777">
      <w:pPr>
        <w:spacing w:before="120" w:after="120" w:line="20" w:lineRule="atLeast"/>
        <w:ind w:left="5040"/>
        <w:rPr>
          <w:rFonts w:ascii="Arial" w:hAnsi="Arial" w:eastAsia="Times New Roman" w:cs="Arial"/>
          <w:sz w:val="20"/>
          <w:szCs w:val="20"/>
        </w:rPr>
      </w:pPr>
    </w:p>
    <w:p w:rsidRPr="00181805" w:rsidR="002D54C4" w:rsidP="00181805" w:rsidRDefault="008B55A2" w14:paraId="1E9A88FA" w14:textId="77777777">
      <w:pPr>
        <w:tabs>
          <w:tab w:val="right" w:pos="9360"/>
        </w:tabs>
        <w:spacing w:before="120" w:after="120" w:line="20" w:lineRule="atLeast"/>
        <w:ind w:left="5040"/>
        <w:rPr>
          <w:rFonts w:ascii="Arial" w:hAnsi="Arial" w:eastAsia="Times New Roman" w:cs="Arial"/>
          <w:sz w:val="20"/>
          <w:szCs w:val="20"/>
        </w:rPr>
      </w:pPr>
      <w:bookmarkStart w:name="_DV_M822" w:id="1663"/>
      <w:bookmarkEnd w:id="1663"/>
      <w:r>
        <w:rPr>
          <w:rFonts w:ascii="Arial" w:hAnsi="Arial" w:eastAsia="Times New Roman" w:cs="Arial"/>
          <w:sz w:val="20"/>
          <w:szCs w:val="20"/>
        </w:rPr>
        <w:t>By:</w:t>
      </w:r>
      <w:r>
        <w:rPr>
          <w:rFonts w:ascii="Arial" w:hAnsi="Arial" w:eastAsia="Times New Roman" w:cs="Arial"/>
          <w:sz w:val="20"/>
          <w:szCs w:val="20"/>
          <w:u w:val="single"/>
        </w:rPr>
        <w:tab/>
      </w:r>
    </w:p>
    <w:p w:rsidRPr="00181805" w:rsidR="002D54C4" w:rsidP="00181805" w:rsidRDefault="002D54C4" w14:paraId="2985991E" w14:textId="77777777">
      <w:pPr>
        <w:tabs>
          <w:tab w:val="right" w:pos="9360"/>
        </w:tabs>
        <w:spacing w:before="120" w:after="120" w:line="20" w:lineRule="atLeast"/>
        <w:ind w:left="5040"/>
        <w:rPr>
          <w:rFonts w:ascii="Arial" w:hAnsi="Arial" w:eastAsia="Times New Roman" w:cs="Arial"/>
          <w:sz w:val="20"/>
          <w:szCs w:val="20"/>
        </w:rPr>
      </w:pPr>
    </w:p>
    <w:p w:rsidRPr="00181805" w:rsidR="002D54C4" w:rsidP="00181805" w:rsidRDefault="008B55A2" w14:paraId="054FD384" w14:textId="77777777">
      <w:pPr>
        <w:tabs>
          <w:tab w:val="right" w:pos="9360"/>
        </w:tabs>
        <w:spacing w:before="120" w:after="120" w:line="20" w:lineRule="atLeast"/>
        <w:ind w:left="5040"/>
        <w:rPr>
          <w:rFonts w:ascii="Arial" w:hAnsi="Arial" w:eastAsia="Times New Roman" w:cs="Arial"/>
          <w:sz w:val="20"/>
          <w:szCs w:val="20"/>
        </w:rPr>
      </w:pPr>
      <w:bookmarkStart w:name="_DV_M823" w:id="1664"/>
      <w:bookmarkEnd w:id="1664"/>
      <w:r>
        <w:rPr>
          <w:rFonts w:ascii="Arial" w:hAnsi="Arial" w:eastAsia="Times New Roman" w:cs="Arial"/>
          <w:sz w:val="20"/>
          <w:szCs w:val="20"/>
        </w:rPr>
        <w:t>Title:</w:t>
      </w:r>
    </w:p>
    <w:p w:rsidR="00F632BD" w:rsidP="00181805" w:rsidRDefault="008B55A2" w14:paraId="62722A98" w14:textId="77777777">
      <w:pPr>
        <w:spacing w:before="120" w:after="120" w:line="20" w:lineRule="atLeast"/>
        <w:rPr>
          <w:rFonts w:ascii="Arial" w:hAnsi="Arial" w:eastAsia="Times New Roman" w:cs="Arial"/>
          <w:sz w:val="20"/>
          <w:szCs w:val="20"/>
        </w:rPr>
        <w:sectPr w:rsidR="00F632BD" w:rsidSect="00226062">
          <w:headerReference w:type="even" r:id="rId120"/>
          <w:headerReference w:type="default" r:id="rId121"/>
          <w:footerReference w:type="even" r:id="rId122"/>
          <w:footerReference w:type="default" r:id="rId123"/>
          <w:headerReference w:type="first" r:id="rId124"/>
          <w:footerReference w:type="first" r:id="rId125"/>
          <w:type w:val="continuous"/>
          <w:pgSz w:w="12240" w:h="15840" w:code="1"/>
          <w:pgMar w:top="1440" w:right="1440" w:bottom="1440" w:left="1440" w:header="720" w:footer="720" w:gutter="0"/>
          <w:paperSrc w:first="15" w:other="15"/>
          <w:cols w:space="1440"/>
        </w:sectPr>
      </w:pPr>
      <w:r>
        <w:rPr>
          <w:rFonts w:ascii="Arial" w:hAnsi="Arial" w:eastAsia="Times New Roman" w:cs="Arial"/>
          <w:sz w:val="20"/>
          <w:szCs w:val="20"/>
        </w:rPr>
        <w:br w:type="page"/>
      </w:r>
    </w:p>
    <w:p w:rsidR="002D54C4" w:rsidP="002D54C4" w:rsidRDefault="008B55A2" w14:paraId="50D8F989" w14:textId="77777777">
      <w:pPr>
        <w:pStyle w:val="zGTitleExhibit"/>
        <w:rPr>
          <w:rFonts w:cs="Arial"/>
        </w:rPr>
      </w:pPr>
      <w:bookmarkStart w:name="_Toc160749238" w:id="1665"/>
      <w:bookmarkStart w:name="_Toc194937607" w:id="1666"/>
      <w:bookmarkStart w:name="_Toc174624991" w:id="1667"/>
      <w:bookmarkStart w:name="_Toc227451704" w:id="1668"/>
      <w:r>
        <w:rPr>
          <w:rFonts w:cs="Arial"/>
        </w:rPr>
        <w:lastRenderedPageBreak/>
        <w:t>Exhibit L – Form of Guaranty</w:t>
      </w:r>
      <w:bookmarkEnd w:id="1665"/>
      <w:bookmarkEnd w:id="1666"/>
      <w:bookmarkEnd w:id="1667"/>
      <w:bookmarkEnd w:id="1668"/>
    </w:p>
    <w:p w:rsidRPr="009D34CB" w:rsidR="00C243AB" w:rsidP="00C243AB" w:rsidRDefault="00C243AB" w14:paraId="2EE9E153" w14:textId="77777777">
      <w:pPr>
        <w:pStyle w:val="zGTitle12"/>
        <w:rPr>
          <w:rFonts w:cs="Arial"/>
          <w:sz w:val="20"/>
          <w:szCs w:val="20"/>
        </w:rPr>
      </w:pPr>
    </w:p>
    <w:p w:rsidRPr="00692C86" w:rsidR="00D1450D" w:rsidP="00D1450D" w:rsidRDefault="008B55A2" w14:paraId="5D75FDD9" w14:textId="77777777">
      <w:pPr>
        <w:rPr>
          <w:rFonts w:ascii="Arial" w:hAnsi="Arial" w:eastAsia="Times New Roman" w:cs="Arial"/>
          <w:sz w:val="20"/>
          <w:szCs w:val="20"/>
        </w:rPr>
      </w:pPr>
      <w:r>
        <w:rPr>
          <w:rFonts w:ascii="Arial" w:hAnsi="Arial" w:eastAsia="Times New Roman" w:cs="Arial"/>
          <w:sz w:val="20"/>
          <w:szCs w:val="20"/>
        </w:rPr>
        <w:t xml:space="preserve">This </w:t>
      </w:r>
      <w:r>
        <w:rPr>
          <w:rFonts w:ascii="Arial" w:hAnsi="Arial" w:eastAsia="Times New Roman" w:cs="Arial"/>
          <w:b/>
          <w:sz w:val="20"/>
          <w:szCs w:val="20"/>
        </w:rPr>
        <w:t>Guaranty Agreement</w:t>
      </w:r>
      <w:r>
        <w:rPr>
          <w:rFonts w:ascii="Arial" w:hAnsi="Arial" w:eastAsia="Times New Roman" w:cs="Arial"/>
          <w:sz w:val="20"/>
          <w:szCs w:val="20"/>
        </w:rPr>
        <w:t xml:space="preserve"> (“</w:t>
      </w:r>
      <w:r>
        <w:rPr>
          <w:rFonts w:ascii="Arial" w:hAnsi="Arial" w:eastAsia="Times New Roman" w:cs="Arial"/>
          <w:b/>
          <w:sz w:val="20"/>
          <w:szCs w:val="20"/>
        </w:rPr>
        <w:t>Guaranty</w:t>
      </w:r>
      <w:r>
        <w:rPr>
          <w:rFonts w:ascii="Arial" w:hAnsi="Arial" w:eastAsia="Times New Roman" w:cs="Arial"/>
          <w:sz w:val="20"/>
          <w:szCs w:val="20"/>
        </w:rPr>
        <w:t>”), effective as of ___________, 20__ (“</w:t>
      </w:r>
      <w:r>
        <w:rPr>
          <w:rFonts w:ascii="Arial" w:hAnsi="Arial" w:eastAsia="Times New Roman" w:cs="Arial"/>
          <w:b/>
          <w:sz w:val="20"/>
          <w:szCs w:val="20"/>
        </w:rPr>
        <w:t>Effective Date</w:t>
      </w:r>
      <w:r>
        <w:rPr>
          <w:rFonts w:ascii="Arial" w:hAnsi="Arial" w:eastAsia="Times New Roman" w:cs="Arial"/>
          <w:sz w:val="20"/>
          <w:szCs w:val="20"/>
        </w:rPr>
        <w:t>”), is entered into by __________________ (“</w:t>
      </w:r>
      <w:r>
        <w:rPr>
          <w:rFonts w:ascii="Arial" w:hAnsi="Arial" w:eastAsia="Times New Roman" w:cs="Arial"/>
          <w:b/>
          <w:sz w:val="20"/>
          <w:szCs w:val="20"/>
        </w:rPr>
        <w:t>Guarantor</w:t>
      </w:r>
      <w:r>
        <w:rPr>
          <w:rFonts w:ascii="Arial" w:hAnsi="Arial" w:eastAsia="Times New Roman" w:cs="Arial"/>
          <w:sz w:val="20"/>
          <w:szCs w:val="20"/>
        </w:rPr>
        <w:t>”) in favor of Georgia Power Company (“</w:t>
      </w:r>
      <w:r>
        <w:rPr>
          <w:rFonts w:ascii="Arial" w:hAnsi="Arial" w:eastAsia="Times New Roman" w:cs="Arial"/>
          <w:b/>
          <w:sz w:val="20"/>
          <w:szCs w:val="20"/>
        </w:rPr>
        <w:t>Beneficiary</w:t>
      </w:r>
      <w:r>
        <w:rPr>
          <w:rFonts w:ascii="Arial" w:hAnsi="Arial" w:eastAsia="Times New Roman" w:cs="Arial"/>
          <w:sz w:val="20"/>
          <w:szCs w:val="20"/>
        </w:rPr>
        <w:t>”). Guarantor acknowledges:</w:t>
      </w:r>
    </w:p>
    <w:p w:rsidRPr="006D36F7" w:rsidR="00D1450D" w:rsidP="00236AED" w:rsidRDefault="008B55A2" w14:paraId="12985FBA" w14:textId="757D2913">
      <w:pPr>
        <w:pStyle w:val="ListParagraph"/>
        <w:numPr>
          <w:ilvl w:val="0"/>
          <w:numId w:val="24"/>
        </w:numPr>
        <w:spacing w:before="120" w:line="240" w:lineRule="auto"/>
        <w:jc w:val="both"/>
        <w:rPr>
          <w:rFonts w:ascii="Arial" w:hAnsi="Arial" w:eastAsia="Times New Roman" w:cs="Arial"/>
          <w:spacing w:val="-4"/>
          <w:sz w:val="20"/>
          <w:szCs w:val="20"/>
        </w:rPr>
      </w:pPr>
      <w:bookmarkStart w:name="_DV_M826" w:id="1669"/>
      <w:bookmarkEnd w:id="1669"/>
      <w:r>
        <w:rPr>
          <w:rFonts w:ascii="Arial" w:hAnsi="Arial" w:eastAsia="Times New Roman" w:cs="Arial"/>
          <w:spacing w:val="-4"/>
          <w:sz w:val="20"/>
          <w:szCs w:val="20"/>
        </w:rPr>
        <w:t>Beneficiary and ____________________ (“</w:t>
      </w:r>
      <w:r>
        <w:rPr>
          <w:rFonts w:ascii="Arial" w:hAnsi="Arial" w:eastAsia="Times New Roman" w:cs="Arial"/>
          <w:b/>
          <w:bCs/>
          <w:spacing w:val="-4"/>
          <w:sz w:val="20"/>
          <w:szCs w:val="20"/>
        </w:rPr>
        <w:t>Company</w:t>
      </w:r>
      <w:r>
        <w:rPr>
          <w:rFonts w:ascii="Arial" w:hAnsi="Arial" w:eastAsia="Times New Roman" w:cs="Arial"/>
          <w:spacing w:val="-4"/>
          <w:sz w:val="20"/>
          <w:szCs w:val="20"/>
        </w:rPr>
        <w:t>”), [an Affiliate of Guarantor], have entered into a</w:t>
      </w:r>
      <w:r>
        <w:rPr>
          <w:rFonts w:ascii="Arial" w:hAnsi="Arial" w:cs="Arial"/>
          <w:sz w:val="20"/>
          <w:szCs w:val="20"/>
        </w:rPr>
        <w:t xml:space="preserve"> </w:t>
      </w:r>
      <w:bookmarkStart w:name="_Hlk142671291" w:id="1670"/>
      <w:r>
        <w:rPr>
          <w:rFonts w:ascii="Arial" w:hAnsi="Arial" w:eastAsia="Times New Roman" w:cs="Arial"/>
          <w:b/>
          <w:bCs/>
          <w:sz w:val="20"/>
          <w:szCs w:val="20"/>
        </w:rPr>
        <w:t xml:space="preserve">Power </w:t>
      </w:r>
      <w:r>
        <w:rPr>
          <w:rFonts w:ascii="Arial" w:hAnsi="Arial" w:cs="Arial"/>
          <w:b/>
          <w:bCs/>
          <w:sz w:val="20"/>
          <w:szCs w:val="20"/>
        </w:rPr>
        <w:t xml:space="preserve">Purchase Agreement for Firm Capacity, Energy Storage Services, and Ancillary Services from a Battery Energy Storage System </w:t>
      </w:r>
      <w:r w:rsidR="00DA2E9C">
        <w:rPr>
          <w:rFonts w:ascii="Arial" w:hAnsi="Arial" w:cs="Arial"/>
          <w:b/>
          <w:bCs/>
          <w:sz w:val="20"/>
          <w:szCs w:val="20"/>
        </w:rPr>
        <w:t>[</w:t>
      </w:r>
      <w:r w:rsidRPr="001B53EA" w:rsidR="00DA2E9C">
        <w:rPr>
          <w:rFonts w:ascii="Arial" w:hAnsi="Arial" w:cs="Arial"/>
          <w:b/>
          <w:bCs/>
          <w:sz w:val="20"/>
          <w:szCs w:val="20"/>
          <w:highlight w:val="yellow"/>
        </w:rPr>
        <w:t>Paired with a Renewable Resource</w:t>
      </w:r>
      <w:r w:rsidR="00DA2E9C">
        <w:rPr>
          <w:rFonts w:ascii="Arial" w:hAnsi="Arial" w:cs="Arial"/>
          <w:b/>
          <w:bCs/>
          <w:sz w:val="20"/>
          <w:szCs w:val="20"/>
        </w:rPr>
        <w:t xml:space="preserve">] </w:t>
      </w:r>
      <w:r w:rsidR="00FF51E1">
        <w:rPr>
          <w:rFonts w:ascii="Arial" w:hAnsi="Arial" w:cs="Arial"/>
          <w:b/>
          <w:bCs/>
          <w:sz w:val="20"/>
          <w:szCs w:val="20"/>
        </w:rPr>
        <w:t xml:space="preserve">for </w:t>
      </w:r>
      <w:r w:rsidRPr="00CE05DD" w:rsidR="0049725F">
        <w:rPr>
          <w:rFonts w:ascii="Arial" w:hAnsi="Arial" w:cs="Arial"/>
          <w:b/>
          <w:sz w:val="20"/>
          <w:szCs w:val="20"/>
        </w:rPr>
        <w:t>2026 All-Source Capacity Request for Proposals for Need Years 2032</w:t>
      </w:r>
      <w:r w:rsidR="009D34CB">
        <w:rPr>
          <w:rFonts w:ascii="Arial" w:hAnsi="Arial" w:cs="Arial"/>
          <w:b/>
          <w:sz w:val="20"/>
          <w:szCs w:val="20"/>
        </w:rPr>
        <w:t xml:space="preserve"> - </w:t>
      </w:r>
      <w:r w:rsidRPr="00CE05DD" w:rsidR="0049725F">
        <w:rPr>
          <w:rFonts w:ascii="Arial" w:hAnsi="Arial" w:cs="Arial"/>
          <w:b/>
          <w:sz w:val="20"/>
          <w:szCs w:val="20"/>
        </w:rPr>
        <w:t>2033</w:t>
      </w:r>
      <w:r w:rsidR="003121F1">
        <w:rPr>
          <w:rFonts w:ascii="Arial" w:hAnsi="Arial" w:cs="Arial"/>
          <w:b/>
          <w:bCs/>
          <w:sz w:val="20"/>
          <w:szCs w:val="20"/>
        </w:rPr>
        <w:t xml:space="preserve"> </w:t>
      </w:r>
      <w:r>
        <w:rPr>
          <w:rFonts w:ascii="Arial" w:hAnsi="Arial" w:cs="Arial"/>
          <w:b/>
          <w:bCs/>
          <w:sz w:val="20"/>
          <w:szCs w:val="20"/>
        </w:rPr>
        <w:t xml:space="preserve">at </w:t>
      </w:r>
      <w:r>
        <w:rPr>
          <w:rFonts w:ascii="Arial" w:hAnsi="Arial" w:cs="Arial"/>
          <w:b/>
          <w:bCs/>
          <w:sz w:val="20"/>
          <w:szCs w:val="20"/>
          <w:highlight w:val="yellow"/>
        </w:rPr>
        <w:t>#FacilityName#</w:t>
      </w:r>
      <w:r>
        <w:rPr>
          <w:rFonts w:ascii="Arial" w:hAnsi="Arial" w:cs="Arial"/>
          <w:b/>
          <w:bCs/>
          <w:sz w:val="20"/>
          <w:szCs w:val="20"/>
        </w:rPr>
        <w:t xml:space="preserve"> </w:t>
      </w:r>
      <w:bookmarkEnd w:id="1670"/>
      <w:r>
        <w:rPr>
          <w:rFonts w:ascii="Arial" w:hAnsi="Arial" w:eastAsia="Times New Roman" w:cs="Arial"/>
          <w:spacing w:val="-4"/>
          <w:sz w:val="20"/>
          <w:szCs w:val="20"/>
        </w:rPr>
        <w:t xml:space="preserve">dated as of ____________, 20__ </w:t>
      </w:r>
      <w:r>
        <w:rPr>
          <w:rFonts w:ascii="Arial" w:hAnsi="Arial" w:eastAsia="Times New Roman" w:cs="Arial"/>
          <w:sz w:val="20"/>
          <w:szCs w:val="20"/>
        </w:rPr>
        <w:t>(as amended, restated, supplemented or otherwise modified from time to time, “</w:t>
      </w:r>
      <w:r>
        <w:rPr>
          <w:rFonts w:ascii="Arial" w:hAnsi="Arial" w:eastAsia="Times New Roman" w:cs="Arial"/>
          <w:b/>
          <w:spacing w:val="-4"/>
          <w:sz w:val="20"/>
          <w:szCs w:val="20"/>
        </w:rPr>
        <w:t>PPA</w:t>
      </w:r>
      <w:r>
        <w:rPr>
          <w:rFonts w:ascii="Arial" w:hAnsi="Arial" w:eastAsia="Times New Roman" w:cs="Arial"/>
          <w:spacing w:val="-4"/>
          <w:sz w:val="20"/>
          <w:szCs w:val="20"/>
        </w:rPr>
        <w:t xml:space="preserve">”) regarding </w:t>
      </w:r>
      <w:r w:rsidR="00C268D0">
        <w:rPr>
          <w:rFonts w:ascii="Arial" w:hAnsi="Arial" w:eastAsia="Times New Roman" w:cs="Arial"/>
          <w:spacing w:val="-4"/>
          <w:sz w:val="20"/>
          <w:szCs w:val="20"/>
        </w:rPr>
        <w:t xml:space="preserve">a battery energy storage system </w:t>
      </w:r>
      <w:r>
        <w:rPr>
          <w:rFonts w:ascii="Arial" w:hAnsi="Arial" w:eastAsia="Times New Roman" w:cs="Arial"/>
          <w:spacing w:val="-4"/>
          <w:sz w:val="20"/>
          <w:szCs w:val="20"/>
        </w:rPr>
        <w:t xml:space="preserve">located in </w:t>
      </w:r>
      <w:r>
        <w:rPr>
          <w:rFonts w:ascii="Arial" w:hAnsi="Arial" w:eastAsia="Times New Roman" w:cs="Arial"/>
          <w:spacing w:val="-4"/>
          <w:sz w:val="20"/>
          <w:szCs w:val="20"/>
          <w:highlight w:val="yellow"/>
        </w:rPr>
        <w:t>#FacilityCity,</w:t>
      </w:r>
      <w:r>
        <w:rPr>
          <w:rFonts w:ascii="Arial" w:hAnsi="Arial" w:eastAsia="Times New Roman" w:cs="Arial"/>
          <w:spacing w:val="-4"/>
          <w:sz w:val="20"/>
          <w:szCs w:val="20"/>
        </w:rPr>
        <w:t xml:space="preserve"> </w:t>
      </w:r>
      <w:r>
        <w:rPr>
          <w:rFonts w:ascii="Arial" w:hAnsi="Arial" w:eastAsia="Times New Roman" w:cs="Arial"/>
          <w:spacing w:val="-4"/>
          <w:sz w:val="20"/>
          <w:szCs w:val="20"/>
          <w:highlight w:val="yellow"/>
        </w:rPr>
        <w:t>#FacilityState</w:t>
      </w:r>
      <w:r>
        <w:rPr>
          <w:rFonts w:ascii="Arial" w:hAnsi="Arial" w:eastAsia="Times New Roman" w:cs="Arial"/>
          <w:spacing w:val="-4"/>
          <w:sz w:val="20"/>
          <w:szCs w:val="20"/>
        </w:rPr>
        <w:t>, as further described in Exhibit A (</w:t>
      </w:r>
      <w:r>
        <w:rPr>
          <w:rFonts w:ascii="Arial" w:hAnsi="Arial" w:eastAsia="Times New Roman" w:cs="Arial"/>
          <w:i/>
          <w:spacing w:val="-4"/>
          <w:sz w:val="20"/>
          <w:szCs w:val="20"/>
        </w:rPr>
        <w:t>Facility Description and Additional Details</w:t>
      </w:r>
      <w:r>
        <w:rPr>
          <w:rFonts w:ascii="Arial" w:hAnsi="Arial" w:eastAsia="Times New Roman" w:cs="Arial"/>
          <w:spacing w:val="-4"/>
          <w:sz w:val="20"/>
          <w:szCs w:val="20"/>
        </w:rPr>
        <w:t>);</w:t>
      </w:r>
    </w:p>
    <w:p w:rsidRPr="00950426" w:rsidR="00D1450D" w:rsidP="00236AED" w:rsidRDefault="008B55A2" w14:paraId="7A9D19A4" w14:textId="77777777">
      <w:pPr>
        <w:numPr>
          <w:ilvl w:val="0"/>
          <w:numId w:val="24"/>
        </w:numPr>
        <w:spacing w:before="120" w:after="0" w:line="240" w:lineRule="auto"/>
        <w:jc w:val="both"/>
        <w:rPr>
          <w:rFonts w:ascii="Arial" w:hAnsi="Arial" w:eastAsia="Times New Roman" w:cs="Arial"/>
          <w:spacing w:val="-4"/>
          <w:sz w:val="20"/>
          <w:szCs w:val="20"/>
        </w:rPr>
      </w:pPr>
      <w:r>
        <w:rPr>
          <w:rFonts w:ascii="Arial" w:hAnsi="Arial" w:eastAsia="Times New Roman" w:cs="Arial"/>
          <w:spacing w:val="-4"/>
          <w:sz w:val="20"/>
          <w:szCs w:val="20"/>
        </w:rPr>
        <w:t xml:space="preserve">Beneficiary has required, as </w:t>
      </w:r>
      <w:r>
        <w:rPr>
          <w:rFonts w:ascii="Arial" w:hAnsi="Arial" w:eastAsia="Times New Roman" w:cs="Arial"/>
          <w:sz w:val="20"/>
          <w:szCs w:val="20"/>
        </w:rPr>
        <w:t>an inducement</w:t>
      </w:r>
      <w:r>
        <w:rPr>
          <w:rFonts w:ascii="Arial" w:hAnsi="Arial" w:eastAsia="Times New Roman" w:cs="Arial"/>
          <w:spacing w:val="-4"/>
          <w:sz w:val="20"/>
          <w:szCs w:val="20"/>
        </w:rPr>
        <w:t xml:space="preserve"> to its entry into the PPA, that Guarantor deliver to the Beneficiary this Guaranty or other Eligible Collateral as and when required under the PPA;</w:t>
      </w:r>
      <w:bookmarkStart w:name="_DV_M828" w:id="1671"/>
      <w:bookmarkEnd w:id="1671"/>
    </w:p>
    <w:p w:rsidRPr="00950426" w:rsidR="00D1450D" w:rsidP="00236AED" w:rsidRDefault="008B55A2" w14:paraId="77ED95D2" w14:textId="77777777">
      <w:pPr>
        <w:numPr>
          <w:ilvl w:val="0"/>
          <w:numId w:val="24"/>
        </w:numPr>
        <w:spacing w:before="120" w:after="0" w:line="240" w:lineRule="auto"/>
        <w:jc w:val="both"/>
        <w:rPr>
          <w:rFonts w:ascii="Arial" w:hAnsi="Arial" w:eastAsia="Times New Roman" w:cs="Arial"/>
          <w:spacing w:val="-4"/>
          <w:sz w:val="20"/>
          <w:szCs w:val="20"/>
        </w:rPr>
      </w:pPr>
      <w:r>
        <w:rPr>
          <w:rFonts w:ascii="Arial" w:hAnsi="Arial" w:eastAsia="Times New Roman" w:cs="Arial"/>
          <w:spacing w:val="-4"/>
          <w:sz w:val="20"/>
          <w:szCs w:val="20"/>
        </w:rPr>
        <w:t>Guarantor qualifies as a Seller Guarantor under the PPA, and this Guaranty qualifies as Eligible Collateral under the PPA; and</w:t>
      </w:r>
      <w:bookmarkStart w:name="_DV_M829" w:id="1672"/>
      <w:bookmarkEnd w:id="1672"/>
    </w:p>
    <w:p w:rsidRPr="00950426" w:rsidR="00D1450D" w:rsidP="00236AED" w:rsidRDefault="008B55A2" w14:paraId="70999332" w14:textId="77777777">
      <w:pPr>
        <w:numPr>
          <w:ilvl w:val="0"/>
          <w:numId w:val="24"/>
        </w:numPr>
        <w:spacing w:before="120" w:after="0" w:line="240" w:lineRule="auto"/>
        <w:jc w:val="both"/>
        <w:rPr>
          <w:rFonts w:ascii="Arial" w:hAnsi="Arial" w:eastAsia="Times New Roman" w:cs="Arial"/>
          <w:spacing w:val="-4"/>
          <w:sz w:val="20"/>
          <w:szCs w:val="20"/>
        </w:rPr>
      </w:pPr>
      <w:r>
        <w:rPr>
          <w:rFonts w:ascii="Arial" w:hAnsi="Arial" w:eastAsia="Times New Roman" w:cs="Arial"/>
          <w:spacing w:val="-4"/>
          <w:sz w:val="20"/>
          <w:szCs w:val="20"/>
        </w:rPr>
        <w:t>Guarantor will derive substantial direct and indirect benefit from the transactions contemplated by the PPA.</w:t>
      </w:r>
    </w:p>
    <w:p w:rsidRPr="00564BE1" w:rsidR="00D1450D" w:rsidP="004B0BBF" w:rsidRDefault="008B55A2" w14:paraId="4EB0D362" w14:textId="77777777">
      <w:pPr>
        <w:pStyle w:val="zGNormal6"/>
      </w:pPr>
      <w:bookmarkStart w:name="_DV_M830" w:id="1673"/>
      <w:bookmarkEnd w:id="1673"/>
      <w:r w:rsidRPr="00F757A2">
        <w:t>To induce Beneficiary to enter into and perform its obligations under the PPA, and for and in consideration of the foregoing premises, the mutual agreements contained herein, and other good and valuable consideration, the receipt and sufficiency of which are acknowledged, Guarantor agrees as follows:</w:t>
      </w:r>
    </w:p>
    <w:p w:rsidRPr="00CA1FF0" w:rsidR="0047416D" w:rsidP="00CA1FF0" w:rsidRDefault="0047416D" w14:paraId="171BF2C8" w14:textId="77777777">
      <w:pPr>
        <w:keepNext/>
        <w:autoSpaceDE w:val="0"/>
        <w:autoSpaceDN w:val="0"/>
        <w:adjustRightInd w:val="0"/>
        <w:spacing w:before="240" w:after="120" w:line="240" w:lineRule="auto"/>
        <w:outlineLvl w:val="0"/>
        <w:rPr>
          <w:rFonts w:ascii="Arial" w:hAnsi="Arial"/>
          <w:b/>
          <w:caps/>
        </w:rPr>
      </w:pPr>
      <w:bookmarkStart w:name="_DV_M831" w:id="1674"/>
      <w:bookmarkStart w:name="_DV_M832" w:id="1675"/>
      <w:bookmarkStart w:name="_DV_M833" w:id="1676"/>
      <w:bookmarkStart w:name="_DV_M834" w:id="1677"/>
      <w:bookmarkStart w:name="_DV_M835" w:id="1678"/>
      <w:bookmarkStart w:name="_DV_M836" w:id="1679"/>
      <w:bookmarkStart w:name="_DV_M837" w:id="1680"/>
      <w:bookmarkStart w:name="_DV_M838" w:id="1681"/>
      <w:bookmarkStart w:name="_DV_M839" w:id="1682"/>
      <w:bookmarkStart w:name="_DV_M840" w:id="1683"/>
      <w:bookmarkStart w:name="_DV_M841" w:id="1684"/>
      <w:bookmarkStart w:name="_DV_M842" w:id="1685"/>
      <w:bookmarkStart w:name="_DV_M844" w:id="1686"/>
      <w:bookmarkStart w:name="_DV_M845" w:id="1687"/>
      <w:bookmarkStart w:name="_DV_M846" w:id="1688"/>
      <w:bookmarkStart w:name="_DV_M847" w:id="1689"/>
      <w:bookmarkStart w:name="_DV_M848" w:id="1690"/>
      <w:bookmarkStart w:name="_DV_M849" w:id="1691"/>
      <w:bookmarkStart w:name="_DV_M850" w:id="1692"/>
      <w:bookmarkStart w:name="_DV_M851" w:id="1693"/>
      <w:bookmarkStart w:name="_DV_M852" w:id="1694"/>
      <w:bookmarkStart w:name="_DV_M854" w:id="1695"/>
      <w:bookmarkStart w:name="_DV_M855" w:id="1696"/>
      <w:bookmarkStart w:name="_DV_M856" w:id="1697"/>
      <w:bookmarkStart w:name="_DV_M857" w:id="1698"/>
      <w:bookmarkStart w:name="_DV_M858" w:id="1699"/>
      <w:bookmarkStart w:name="_DV_M859" w:id="1700"/>
      <w:bookmarkStart w:name="_DV_M860" w:id="1701"/>
      <w:bookmarkStart w:name="_DV_M861" w:id="1702"/>
      <w:bookmarkStart w:name="_DV_M862" w:id="1703"/>
      <w:bookmarkStart w:name="_DV_M863" w:id="1704"/>
      <w:bookmarkStart w:name="_DV_M864" w:id="1705"/>
      <w:bookmarkStart w:name="_DV_M865" w:id="1706"/>
      <w:bookmarkStart w:name="_DV_M866" w:id="1707"/>
      <w:bookmarkStart w:name="_DV_M867" w:id="1708"/>
      <w:bookmarkStart w:name="_DV_M868" w:id="1709"/>
      <w:bookmarkStart w:name="_DV_M869" w:id="1710"/>
      <w:bookmarkStart w:name="_DV_M870" w:id="1711"/>
      <w:bookmarkStart w:name="_DV_M871" w:id="1712"/>
      <w:bookmarkStart w:name="_DV_M872" w:id="1713"/>
      <w:bookmarkStart w:name="_DV_M876" w:id="1714"/>
      <w:bookmarkStart w:name="_DV_M877" w:id="1715"/>
      <w:bookmarkStart w:name="_DV_M878" w:id="1716"/>
      <w:bookmarkStart w:name="_DV_M879" w:id="1717"/>
      <w:bookmarkStart w:name="_DV_M880" w:id="1718"/>
      <w:bookmarkStart w:name="_DV_M881" w:id="1719"/>
      <w:bookmarkStart w:name="_DV_M882" w:id="1720"/>
      <w:bookmarkStart w:name="_DV_M883" w:id="1721"/>
      <w:bookmarkStart w:name="_DV_M885" w:id="1722"/>
      <w:bookmarkStart w:name="_Toc160749239" w:id="172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r w:rsidRPr="0047416D">
        <w:rPr>
          <w:rFonts w:ascii="Arial" w:hAnsi="Arial" w:eastAsia="Times New Roman" w:cs="Times New Roman"/>
          <w:b/>
          <w:caps/>
          <w:sz w:val="20"/>
          <w:szCs w:val="20"/>
        </w:rPr>
        <w:t xml:space="preserve">PART 1 </w:t>
      </w:r>
      <w:bookmarkStart w:name="_Toc206673974" w:id="1724"/>
      <w:r w:rsidRPr="00CA1FF0">
        <w:rPr>
          <w:rFonts w:ascii="Arial" w:hAnsi="Arial"/>
          <w:b/>
          <w:caps/>
          <w:sz w:val="20"/>
        </w:rPr>
        <w:t>Definitions</w:t>
      </w:r>
      <w:bookmarkEnd w:id="1724"/>
    </w:p>
    <w:p w:rsidRPr="009D34CB" w:rsidR="0047416D" w:rsidP="000907B6" w:rsidRDefault="0047416D" w14:paraId="263D97A2" w14:textId="094F99BD">
      <w:pPr>
        <w:numPr>
          <w:ilvl w:val="0"/>
          <w:numId w:val="55"/>
        </w:numPr>
        <w:tabs>
          <w:tab w:val="left" w:pos="540"/>
        </w:tabs>
        <w:autoSpaceDE w:val="0"/>
        <w:autoSpaceDN w:val="0"/>
        <w:adjustRightInd w:val="0"/>
        <w:spacing w:before="120" w:after="120" w:line="240" w:lineRule="auto"/>
        <w:ind w:left="360"/>
        <w:jc w:val="both"/>
        <w:outlineLvl w:val="1"/>
      </w:pPr>
      <w:bookmarkStart w:name="_Toc206673975" w:id="1725"/>
      <w:r w:rsidRPr="00CF1DB9">
        <w:rPr>
          <w:rFonts w:ascii="Arial" w:hAnsi="Arial"/>
        </w:rPr>
        <w:t>Definitions.</w:t>
      </w:r>
      <w:bookmarkEnd w:id="1725"/>
      <w:r w:rsidRPr="00CA1FF0">
        <w:rPr>
          <w:rFonts w:ascii="Arial" w:hAnsi="Arial"/>
          <w:sz w:val="20"/>
        </w:rPr>
        <w:t xml:space="preserve"> Unless otherwise defined in this Guaranty, capitalized terms have the meanings specified or referred to in the PPA.</w:t>
      </w:r>
    </w:p>
    <w:p w:rsidRPr="00CA1FF0" w:rsidR="0047416D" w:rsidP="00CA1FF0" w:rsidRDefault="0047416D" w14:paraId="23EEE570" w14:textId="77777777">
      <w:pPr>
        <w:keepNext/>
        <w:autoSpaceDE w:val="0"/>
        <w:autoSpaceDN w:val="0"/>
        <w:adjustRightInd w:val="0"/>
        <w:spacing w:before="240" w:after="120" w:line="240" w:lineRule="auto"/>
        <w:outlineLvl w:val="0"/>
        <w:rPr>
          <w:rFonts w:ascii="Arial" w:hAnsi="Arial"/>
          <w:b/>
          <w:caps/>
        </w:rPr>
      </w:pPr>
      <w:r w:rsidRPr="0047416D">
        <w:rPr>
          <w:rFonts w:ascii="Arial" w:hAnsi="Arial" w:eastAsia="Times New Roman" w:cs="Times New Roman"/>
          <w:b/>
          <w:caps/>
          <w:sz w:val="20"/>
          <w:szCs w:val="20"/>
        </w:rPr>
        <w:t xml:space="preserve">PART 2 </w:t>
      </w:r>
      <w:bookmarkStart w:name="_Toc206673976" w:id="1726"/>
      <w:r w:rsidRPr="00CA1FF0">
        <w:rPr>
          <w:rFonts w:ascii="Arial" w:hAnsi="Arial"/>
          <w:b/>
          <w:caps/>
          <w:sz w:val="20"/>
        </w:rPr>
        <w:t>Guaranty</w:t>
      </w:r>
      <w:bookmarkEnd w:id="1726"/>
    </w:p>
    <w:p w:rsidRPr="009D34CB" w:rsidR="0047416D" w:rsidP="00CA1FF0" w:rsidRDefault="0047416D" w14:paraId="1EE4CD62" w14:textId="43EF3945">
      <w:pPr>
        <w:tabs>
          <w:tab w:val="left" w:pos="540"/>
        </w:tabs>
        <w:autoSpaceDE w:val="0"/>
        <w:autoSpaceDN w:val="0"/>
        <w:adjustRightInd w:val="0"/>
        <w:spacing w:before="120" w:after="120" w:line="240" w:lineRule="auto"/>
        <w:jc w:val="both"/>
        <w:outlineLvl w:val="1"/>
      </w:pPr>
      <w:r w:rsidRPr="00CF1DB9">
        <w:rPr>
          <w:rFonts w:ascii="Arial" w:hAnsi="Arial" w:eastAsia="Times New Roman" w:cs="Times New Roman"/>
          <w:bCs/>
        </w:rPr>
        <w:t>2.1</w:t>
      </w:r>
      <w:r w:rsidRPr="0047416D">
        <w:rPr>
          <w:rFonts w:ascii="Arial" w:hAnsi="Arial" w:eastAsia="Times New Roman" w:cs="Times New Roman"/>
        </w:rPr>
        <w:t xml:space="preserve">  </w:t>
      </w:r>
      <w:bookmarkStart w:name="_Toc206673977" w:id="1727"/>
      <w:r w:rsidRPr="00353D07">
        <w:rPr>
          <w:rFonts w:ascii="Arial" w:hAnsi="Arial"/>
        </w:rPr>
        <w:t>Guaranty.</w:t>
      </w:r>
      <w:bookmarkEnd w:id="1727"/>
      <w:r w:rsidRPr="00353D07">
        <w:rPr>
          <w:rFonts w:ascii="Arial" w:hAnsi="Arial"/>
          <w:i/>
        </w:rPr>
        <w:t xml:space="preserve"> </w:t>
      </w:r>
      <w:r w:rsidRPr="00CA1FF0">
        <w:rPr>
          <w:rFonts w:ascii="Arial" w:hAnsi="Arial"/>
          <w:sz w:val="20"/>
        </w:rPr>
        <w:t>Guarantor 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PPA or under any other documents or instruments now or in the future evidencing, securing, or otherwise relating to the PPA (“</w:t>
      </w:r>
      <w:r w:rsidRPr="00CA1FF0">
        <w:rPr>
          <w:rFonts w:ascii="Arial" w:hAnsi="Arial"/>
          <w:b/>
          <w:sz w:val="20"/>
        </w:rPr>
        <w:t>Guaranteed Obligations</w:t>
      </w:r>
      <w:r w:rsidRPr="00CA1FF0">
        <w:rPr>
          <w:rFonts w:ascii="Arial" w:hAnsi="Arial"/>
          <w:sz w:val="20"/>
        </w:rPr>
        <w:t>”), except that Guarantor’s liability under this Guaranty will in no event exceed the aggregate amount of Eligible Collateral that Company must provide in accordance with PPA Part 6 (</w:t>
      </w:r>
      <w:r w:rsidRPr="00CA1FF0">
        <w:rPr>
          <w:rFonts w:ascii="Arial" w:hAnsi="Arial"/>
          <w:i/>
          <w:sz w:val="20"/>
        </w:rPr>
        <w:t>Performance Security</w:t>
      </w:r>
      <w:r w:rsidRPr="00CA1FF0">
        <w:rPr>
          <w:rFonts w:ascii="Arial" w:hAnsi="Arial"/>
          <w:sz w:val="20"/>
        </w:rPr>
        <w:t>) (plus costs of enforcement of this Guaranty as provided in Section 4.4 (</w:t>
      </w:r>
      <w:r w:rsidRPr="00CA1FF0">
        <w:rPr>
          <w:rFonts w:ascii="Arial" w:hAnsi="Arial"/>
          <w:i/>
          <w:sz w:val="20"/>
        </w:rPr>
        <w:t>Expenses</w:t>
      </w:r>
      <w:r w:rsidRPr="00CA1FF0">
        <w:rPr>
          <w:rFonts w:ascii="Arial" w:hAnsi="Arial"/>
          <w:sz w:val="20"/>
        </w:rPr>
        <w:t>)). Guarantor must immediately pay for any obligation of Company upon demand by Beneficiary.</w:t>
      </w:r>
    </w:p>
    <w:p w:rsidRPr="009D34CB" w:rsidR="0047416D" w:rsidP="00CA1FF0" w:rsidRDefault="0047416D" w14:paraId="4AA7FE52" w14:textId="77777777">
      <w:pPr>
        <w:tabs>
          <w:tab w:val="left" w:pos="540"/>
          <w:tab w:val="left" w:pos="1440"/>
        </w:tabs>
        <w:autoSpaceDE w:val="0"/>
        <w:autoSpaceDN w:val="0"/>
        <w:adjustRightInd w:val="0"/>
        <w:spacing w:before="120" w:after="120" w:line="240" w:lineRule="auto"/>
        <w:jc w:val="both"/>
        <w:outlineLvl w:val="1"/>
        <w:rPr>
          <w:rFonts w:ascii="Arial" w:hAnsi="Arial"/>
          <w:i/>
        </w:rPr>
      </w:pPr>
      <w:r w:rsidRPr="0047416D">
        <w:rPr>
          <w:rFonts w:ascii="Arial" w:hAnsi="Arial" w:eastAsia="Times New Roman" w:cs="Times New Roman"/>
          <w:b/>
          <w:sz w:val="20"/>
          <w:szCs w:val="20"/>
        </w:rPr>
        <w:t>2.2</w:t>
      </w:r>
      <w:r w:rsidRPr="0047416D">
        <w:rPr>
          <w:rFonts w:ascii="Arial" w:hAnsi="Arial" w:eastAsia="Times New Roman" w:cs="Times New Roman"/>
          <w:b/>
          <w:i/>
          <w:sz w:val="20"/>
          <w:szCs w:val="20"/>
        </w:rPr>
        <w:tab/>
      </w:r>
      <w:bookmarkStart w:name="_Toc206673978" w:id="1728"/>
      <w:r w:rsidRPr="00CA1FF0">
        <w:rPr>
          <w:rFonts w:ascii="Arial" w:hAnsi="Arial"/>
          <w:b/>
          <w:sz w:val="20"/>
        </w:rPr>
        <w:t>Guaranty Absolute</w:t>
      </w:r>
      <w:r w:rsidRPr="00CA1FF0">
        <w:rPr>
          <w:rFonts w:ascii="Arial" w:hAnsi="Arial"/>
          <w:b/>
          <w:i/>
          <w:sz w:val="20"/>
        </w:rPr>
        <w:t>.</w:t>
      </w:r>
      <w:bookmarkEnd w:id="1728"/>
    </w:p>
    <w:p w:rsidRPr="009D34CB" w:rsidR="0047416D" w:rsidP="00CA1FF0" w:rsidRDefault="0047416D" w14:paraId="29D461D6" w14:textId="77777777">
      <w:pPr>
        <w:tabs>
          <w:tab w:val="left" w:pos="1440"/>
        </w:tabs>
        <w:autoSpaceDE w:val="0"/>
        <w:autoSpaceDN w:val="0"/>
        <w:adjustRightInd w:val="0"/>
        <w:spacing w:before="120" w:after="120" w:line="240" w:lineRule="auto"/>
        <w:ind w:left="270"/>
        <w:jc w:val="both"/>
        <w:outlineLvl w:val="1"/>
      </w:pPr>
      <w:r w:rsidRPr="0047416D">
        <w:rPr>
          <w:rFonts w:ascii="Arial" w:hAnsi="Arial" w:eastAsia="Times New Roman" w:cs="Times New Roman"/>
          <w:b/>
          <w:iCs/>
          <w:sz w:val="20"/>
          <w:szCs w:val="20"/>
        </w:rPr>
        <w:t>2.2.1.</w:t>
      </w:r>
      <w:r w:rsidRPr="00CA1FF0">
        <w:rPr>
          <w:rFonts w:ascii="Arial" w:hAnsi="Arial"/>
          <w:b/>
          <w:sz w:val="20"/>
        </w:rPr>
        <w:t xml:space="preserve"> Guarantor Guarantees.</w:t>
      </w:r>
      <w:r w:rsidRPr="00CA1FF0">
        <w:rPr>
          <w:rFonts w:ascii="Arial" w:hAnsi="Arial"/>
          <w:sz w:val="20"/>
        </w:rPr>
        <w:t xml:space="preserve"> Guarantor absolutely guarantees that the Guaranteed Obligations will be paid strictly in accordance with the terms of the PPA, regardless of any law or regulation in effect now, or that may come into effect in the future, in any jurisdiction affecting any of the terms or the rights of Beneficiary regarding the PPA. This Guaranty constitutes a guarantee of payment and not of collection. The obligations of Guarantor under this Guaranty are primary obligations and are several from Company or any other Person, and Guarantor is the principal obligor under this Guaranty.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sidRPr="00CA1FF0">
        <w:rPr>
          <w:rFonts w:ascii="Arial" w:hAnsi="Arial"/>
          <w:b/>
          <w:sz w:val="20"/>
        </w:rPr>
        <w:t>Guarantor’s liability under this Guaranty will be irrevocable, absolute, and unconditional irrespective of, and Guarantor unconditionally and irrevocably waives any defenses it may now have or later acquire in any way relating to:</w:t>
      </w:r>
    </w:p>
    <w:p w:rsidRPr="009D34CB" w:rsidR="0047416D" w:rsidP="000907B6" w:rsidRDefault="0047416D" w14:paraId="53BA249C"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lastRenderedPageBreak/>
        <w:t>any change in the time, manner, or place of payment of, or in any other term of, any of the Guaranteed Obligations, or any other amendment, modification, or waiver of, or any consent to departure from, the terms of any Guaranteed Obligations, or any compromise, settlement, release, or termination of any of the Guaranteed Obligations;</w:t>
      </w:r>
    </w:p>
    <w:p w:rsidRPr="009D34CB" w:rsidR="0047416D" w:rsidP="000907B6" w:rsidRDefault="0047416D" w14:paraId="271B54A8"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any change, restructuring, or termination of the corporate structure or existence of Company or any of its subsidiaries, including Guarantor’s disposal of any part of Guarantor’s interest in Company, or Guarantor’s alteration of Guarantor’s investment in Company in any manner;</w:t>
      </w:r>
    </w:p>
    <w:p w:rsidRPr="009D34CB" w:rsidR="0047416D" w:rsidP="000907B6" w:rsidRDefault="0047416D" w14:paraId="5E8B7EA8" w14:textId="77777777">
      <w:pPr>
        <w:keepNext/>
        <w:keepLines/>
        <w:numPr>
          <w:ilvl w:val="6"/>
          <w:numId w:val="52"/>
        </w:numPr>
        <w:tabs>
          <w:tab w:val="left" w:pos="1080"/>
          <w:tab w:val="left" w:pos="5788"/>
        </w:tabs>
        <w:autoSpaceDE w:val="0"/>
        <w:autoSpaceDN w:val="0"/>
        <w:adjustRightInd w:val="0"/>
        <w:spacing w:before="120" w:after="120" w:line="240" w:lineRule="auto"/>
        <w:ind w:left="547"/>
        <w:jc w:val="both"/>
        <w:outlineLvl w:val="6"/>
        <w:rPr>
          <w:rFonts w:cs="Arial"/>
          <w:b/>
        </w:rPr>
      </w:pPr>
      <w:r w:rsidRPr="00CA1FF0">
        <w:rPr>
          <w:rFonts w:ascii="Arial" w:hAnsi="Arial"/>
          <w:b/>
          <w:sz w:val="20"/>
        </w:rPr>
        <w:t>any lack of validity or enforceability, in whole or in part, of the Guaranteed Obligations, the PPA, or any agreement or instrument relating the Guaranteed Obligations or the PPA;</w:t>
      </w:r>
    </w:p>
    <w:p w:rsidRPr="009D34CB" w:rsidR="0047416D" w:rsidP="000907B6" w:rsidRDefault="0047416D" w14:paraId="2886D3C4"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waiving any duty on the part of Beneficiary to disclose the information);</w:t>
      </w:r>
    </w:p>
    <w:p w:rsidRPr="009D34CB" w:rsidR="0047416D" w:rsidP="000907B6" w:rsidRDefault="0047416D" w14:paraId="5776CCC9"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any failure, omission, delay, or lack on the part of Beneficiary to enforce, ascertain, or exercise any right, power, or remedy under or pursuant to the terms of the PPA, the Guaranteed Obligations, or this Guaranty;</w:t>
      </w:r>
    </w:p>
    <w:p w:rsidRPr="009D34CB" w:rsidR="0047416D" w:rsidP="000907B6" w:rsidRDefault="0047416D" w14:paraId="039B18E9"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any failure by Beneficiary to commence an action against Company, including as contemplated by</w:t>
      </w:r>
      <w:r w:rsidRPr="0047416D">
        <w:rPr>
          <w:rFonts w:ascii="Arial" w:hAnsi="Arial" w:eastAsia="Times New Roman" w:cs="Times New Roman"/>
          <w:b/>
          <w:sz w:val="20"/>
          <w:szCs w:val="20"/>
        </w:rPr>
        <w:t xml:space="preserve"> the provisions of</w:t>
      </w:r>
      <w:r w:rsidRPr="00CA1FF0">
        <w:rPr>
          <w:rFonts w:ascii="Arial" w:hAnsi="Arial"/>
          <w:b/>
          <w:sz w:val="20"/>
        </w:rPr>
        <w:t xml:space="preserve"> O.C.G.A. Section 10-7-24, as amended;</w:t>
      </w:r>
      <w:bookmarkStart w:name="_DV_M843" w:id="1729"/>
      <w:bookmarkEnd w:id="1729"/>
      <w:r w:rsidRPr="00CA1FF0">
        <w:rPr>
          <w:rFonts w:ascii="Arial" w:hAnsi="Arial"/>
          <w:b/>
          <w:sz w:val="20"/>
        </w:rPr>
        <w:t xml:space="preserve"> any lack of due diligence by Beneficiary in the collection or protection of or realization upon any collateral securing the Guaranteed Obligations; </w:t>
      </w:r>
    </w:p>
    <w:p w:rsidRPr="009D34CB" w:rsidR="0047416D" w:rsidP="000907B6" w:rsidRDefault="0047416D" w14:paraId="7017469C"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the bankruptcy, insolvency, winding up, dissolution, liquidation, administration, reorganization, or other similar or dissimilar failure or financial disability of Guarantor or Company, or any legal limitation, disability, incapacity, or other circumstance relating to Guarantor or Company;</w:t>
      </w:r>
    </w:p>
    <w:p w:rsidRPr="009D34CB" w:rsidR="0047416D" w:rsidP="000907B6" w:rsidRDefault="0047416D" w14:paraId="47FCAFB4"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other Person (other than as a result of the indefeasible payment of the Guaranteed Obligations in full);</w:t>
      </w:r>
    </w:p>
    <w:p w:rsidRPr="009D34CB" w:rsidR="0047416D" w:rsidP="000907B6" w:rsidRDefault="0047416D" w14:paraId="43ED6EEC" w14:textId="77777777">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 xml:space="preserve">the taking, variation, renewal, addition, substitution, subordination, or partial or entire release of any security or other credit support for the Guaranteed Obligations, or the enforcement or neglect to perfect or enforce the security or support; or </w:t>
      </w:r>
    </w:p>
    <w:p w:rsidRPr="009D34CB" w:rsidR="0047416D" w:rsidP="000907B6" w:rsidRDefault="0047416D" w14:paraId="06C5281C" w14:textId="4B74F138">
      <w:pPr>
        <w:widowControl w:val="0"/>
        <w:numPr>
          <w:ilvl w:val="6"/>
          <w:numId w:val="52"/>
        </w:numPr>
        <w:tabs>
          <w:tab w:val="left" w:pos="1080"/>
          <w:tab w:val="left" w:pos="5788"/>
        </w:tabs>
        <w:autoSpaceDE w:val="0"/>
        <w:autoSpaceDN w:val="0"/>
        <w:adjustRightInd w:val="0"/>
        <w:spacing w:before="120" w:after="120" w:line="240" w:lineRule="auto"/>
        <w:ind w:left="540"/>
        <w:jc w:val="both"/>
        <w:outlineLvl w:val="6"/>
        <w:rPr>
          <w:rFonts w:cs="Arial"/>
          <w:b/>
        </w:rPr>
      </w:pPr>
      <w:r w:rsidRPr="00CA1FF0">
        <w:rPr>
          <w:rFonts w:ascii="Arial" w:hAnsi="Arial"/>
          <w:b/>
          <w:sz w:val="20"/>
        </w:rPr>
        <w:t>any circumstance whatsoever (including any statute of limitations) or any act of Beneficiary or any existence of or reliance on any representation by Beneficiary that might otherwise constitute a legal or equitable defense available to, or a discharge of, Guarantor.</w:t>
      </w:r>
    </w:p>
    <w:p w:rsidRPr="009D34CB" w:rsidR="0047416D" w:rsidP="00CA1FF0" w:rsidRDefault="0047416D" w14:paraId="54A05B84" w14:textId="77777777">
      <w:pPr>
        <w:tabs>
          <w:tab w:val="left" w:pos="2160"/>
          <w:tab w:val="left" w:pos="5068"/>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2.2.2.</w:t>
      </w:r>
      <w:r w:rsidRPr="00CA1FF0">
        <w:rPr>
          <w:rFonts w:ascii="Arial" w:hAnsi="Arial"/>
          <w:b/>
          <w:sz w:val="20"/>
        </w:rPr>
        <w:t xml:space="preserve"> Guarantee Effectiveness.</w:t>
      </w:r>
      <w:r w:rsidRPr="00CA1FF0">
        <w:rPr>
          <w:rFonts w:ascii="Arial" w:hAnsi="Arial"/>
          <w:sz w:val="20"/>
        </w:rPr>
        <w:t xml:space="preserve"> This Guaranty will continue to be effective or must be reinstated by Guarantor, as applicable, if at any time any payment of the Guaranteed Obligations should for any reason subsequently be asserted or declared to be void or voidable, or is unwound in any way under any state or federal law, including any provision of the U.S. Bankruptcy Code related to fraudulent conveyance or preference (each, a “</w:t>
      </w:r>
      <w:r w:rsidRPr="00CA1FF0">
        <w:rPr>
          <w:rFonts w:ascii="Arial" w:hAnsi="Arial"/>
          <w:b/>
          <w:sz w:val="20"/>
        </w:rPr>
        <w:t>Voidable Transfer</w:t>
      </w:r>
      <w:r w:rsidRPr="00CA1FF0">
        <w:rPr>
          <w:rFonts w:ascii="Arial" w:hAnsi="Arial"/>
          <w:sz w:val="20"/>
        </w:rPr>
        <w:t>”). Beneficiary or any other person is not required to repay or restore, in whole or in part, any Voidable Transfer, and any attempt to repay or restore any Voidable Transfer will be construed as though the payment had not been made.</w:t>
      </w:r>
    </w:p>
    <w:p w:rsidRPr="009D34CB" w:rsidR="0047416D" w:rsidP="00CA1FF0" w:rsidRDefault="0047416D" w14:paraId="26E3AA46" w14:textId="77777777">
      <w:pPr>
        <w:tabs>
          <w:tab w:val="left" w:pos="2160"/>
          <w:tab w:val="left" w:pos="5068"/>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2.2.3.</w:t>
      </w:r>
      <w:r w:rsidRPr="00CA1FF0">
        <w:rPr>
          <w:rFonts w:ascii="Arial" w:hAnsi="Arial"/>
          <w:sz w:val="20"/>
        </w:rPr>
        <w:t xml:space="preserve"> </w:t>
      </w:r>
      <w:r w:rsidRPr="00CA1FF0">
        <w:rPr>
          <w:rFonts w:ascii="Arial" w:hAnsi="Arial"/>
          <w:b/>
          <w:sz w:val="20"/>
        </w:rPr>
        <w:t xml:space="preserve">No Release of Guaranty. </w:t>
      </w:r>
      <w:r w:rsidRPr="00CA1FF0">
        <w:rPr>
          <w:rFonts w:ascii="Arial" w:hAnsi="Arial"/>
          <w:sz w:val="20"/>
        </w:rPr>
        <w:t>No action that Beneficiary takes or fails to take in connection with the Guaranteed Obligations, or any security for the payment of any of the Guaranteed Obligations, nor any course of dealing with Company or any other person, will release Guarantor’s obligations under this Guaranty, affect this Guaranty in any way, or give Guarantor any recourse against Beneficiary.</w:t>
      </w:r>
    </w:p>
    <w:p w:rsidRPr="009D34CB" w:rsidR="0047416D" w:rsidP="00CA1FF0" w:rsidRDefault="0047416D" w14:paraId="070818AC" w14:textId="77777777">
      <w:pPr>
        <w:tabs>
          <w:tab w:val="left" w:pos="2160"/>
          <w:tab w:val="left" w:pos="5068"/>
        </w:tabs>
        <w:spacing w:before="120" w:after="120" w:line="240" w:lineRule="auto"/>
        <w:ind w:left="270"/>
        <w:jc w:val="both"/>
        <w:outlineLvl w:val="5"/>
      </w:pPr>
      <w:r w:rsidRPr="0047416D">
        <w:rPr>
          <w:rFonts w:ascii="Arial" w:hAnsi="Arial" w:eastAsia="Calibri" w:cs="Times New Roman"/>
          <w:b/>
          <w:sz w:val="20"/>
          <w:szCs w:val="20"/>
        </w:rPr>
        <w:lastRenderedPageBreak/>
        <w:t>2.2.4.</w:t>
      </w:r>
      <w:r w:rsidRPr="00CA1FF0">
        <w:rPr>
          <w:rFonts w:ascii="Arial" w:hAnsi="Arial"/>
          <w:b/>
          <w:sz w:val="20"/>
        </w:rPr>
        <w:t xml:space="preserve"> Enforcement following PPA Event of Default.</w:t>
      </w:r>
      <w:r w:rsidRPr="00CA1FF0">
        <w:rPr>
          <w:rFonts w:ascii="Arial" w:hAnsi="Arial"/>
          <w:sz w:val="20"/>
        </w:rPr>
        <w:t xml:space="preserve"> In the case of an Event of Default under the PPA or regarding any of the Guaranteed Obligations, Guarantor agrees that Beneficiary will have the right to enforce its rights, powers, and remedies under the PPA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PPA, this Guaranty, by law, or in equity. If the Guaranteed Obligations are partially paid at the election of Beneficiary or Beneficiary’s successors or assigns, to pursue any of the remedies available to Beneficiary, or if the indebtedness is otherwise partially paid, this Guaranty will nevertheless remain in full force and effect, and Guarantor will remain liable for the entire balance of the Guaranteed Obligations even though any rights that Guarantor may have against Company may be destroyed or diminished by the exercise of the remedy.</w:t>
      </w:r>
    </w:p>
    <w:p w:rsidRPr="00CA1FF0" w:rsidR="0047416D" w:rsidP="000907B6" w:rsidRDefault="0047416D" w14:paraId="5CA73EC5" w14:textId="77777777">
      <w:pPr>
        <w:keepNext/>
        <w:widowControl w:val="0"/>
        <w:numPr>
          <w:ilvl w:val="1"/>
          <w:numId w:val="54"/>
        </w:numPr>
        <w:tabs>
          <w:tab w:val="left" w:pos="540"/>
        </w:tabs>
        <w:autoSpaceDE w:val="0"/>
        <w:autoSpaceDN w:val="0"/>
        <w:adjustRightInd w:val="0"/>
        <w:spacing w:before="120" w:after="120" w:line="240" w:lineRule="auto"/>
        <w:jc w:val="both"/>
        <w:outlineLvl w:val="1"/>
        <w:rPr>
          <w:rFonts w:ascii="Arial" w:hAnsi="Arial"/>
          <w:b/>
        </w:rPr>
      </w:pPr>
      <w:bookmarkStart w:name="_Toc206673979" w:id="1730"/>
      <w:r w:rsidRPr="00CA1FF0">
        <w:rPr>
          <w:rFonts w:ascii="Arial" w:hAnsi="Arial"/>
          <w:b/>
          <w:sz w:val="20"/>
        </w:rPr>
        <w:t>Waivers and Acknowledgments.</w:t>
      </w:r>
      <w:bookmarkEnd w:id="1730"/>
    </w:p>
    <w:p w:rsidRPr="009D34CB" w:rsidR="0047416D" w:rsidP="00CA1FF0" w:rsidRDefault="0047416D" w14:paraId="172005ED" w14:textId="77777777">
      <w:pPr>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2.3.1.</w:t>
      </w:r>
      <w:r w:rsidRPr="00CA1FF0">
        <w:rPr>
          <w:rFonts w:ascii="Arial" w:hAnsi="Arial"/>
          <w:b/>
          <w:sz w:val="20"/>
        </w:rPr>
        <w:t xml:space="preserve"> Guarantor Notice Waiver.</w:t>
      </w:r>
      <w:r w:rsidRPr="00CA1FF0">
        <w:rPr>
          <w:rFonts w:ascii="Arial" w:hAnsi="Arial"/>
          <w:sz w:val="20"/>
        </w:rPr>
        <w:t xml:space="preserve"> Guarantor unconditionally and irrevocably waives promptness, diligence, presentment, demand of payment, acceptance, notice of acceptance, protest, notice of dishonor, and any other notices regarding any of the Guaranteed Obligations and this Guaranty.</w:t>
      </w:r>
    </w:p>
    <w:p w:rsidRPr="009D34CB" w:rsidR="0047416D" w:rsidP="00CA1FF0" w:rsidRDefault="0047416D" w14:paraId="42902053" w14:textId="6056D36C">
      <w:pPr>
        <w:tabs>
          <w:tab w:val="left" w:pos="2160"/>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2.3.2.</w:t>
      </w:r>
      <w:r w:rsidRPr="00CA1FF0">
        <w:rPr>
          <w:rFonts w:ascii="Arial" w:hAnsi="Arial"/>
          <w:b/>
          <w:sz w:val="20"/>
        </w:rPr>
        <w:t xml:space="preserve"> Guarantor Waiver of Guaranty and Acknowledgement of Continuing Obligations. </w:t>
      </w:r>
      <w:r w:rsidRPr="00CA1FF0">
        <w:rPr>
          <w:rFonts w:ascii="Arial" w:hAnsi="Arial"/>
          <w:sz w:val="20"/>
        </w:rPr>
        <w:t xml:space="preserve">Guarantor unconditionally and irrevocably waives any right to revoke this Guaranty and acknowledges that this Guaranty is continuing in nature and applies to all Guaranteed Obligations, whether existing now or in the future. </w:t>
      </w:r>
      <w:r w:rsidRPr="0047416D">
        <w:rPr>
          <w:rFonts w:ascii="Arial" w:hAnsi="Arial" w:eastAsia="Times New Roman" w:cs="Times New Roman"/>
          <w:sz w:val="20"/>
          <w:szCs w:val="20"/>
        </w:rPr>
        <w:t>The provisions of this</w:t>
      </w:r>
      <w:r w:rsidRPr="00CA1FF0">
        <w:rPr>
          <w:rFonts w:ascii="Arial" w:hAnsi="Arial"/>
          <w:sz w:val="20"/>
        </w:rPr>
        <w:t xml:space="preserve"> Guaranty will extend and be applicable to any modification of the PPA.</w:t>
      </w:r>
    </w:p>
    <w:p w:rsidRPr="009D34CB" w:rsidR="0047416D" w:rsidP="00CA1FF0" w:rsidRDefault="0047416D" w14:paraId="2E34F814" w14:textId="77777777">
      <w:pPr>
        <w:tabs>
          <w:tab w:val="left" w:pos="2160"/>
          <w:tab w:val="left" w:pos="5068"/>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2.3.3.</w:t>
      </w:r>
      <w:r w:rsidRPr="00CA1FF0">
        <w:rPr>
          <w:rFonts w:ascii="Arial" w:hAnsi="Arial"/>
          <w:b/>
          <w:sz w:val="20"/>
        </w:rPr>
        <w:t xml:space="preserve"> Waiver of Rights and Remedies.</w:t>
      </w:r>
      <w:r w:rsidRPr="00CA1FF0">
        <w:rPr>
          <w:rFonts w:ascii="Arial" w:hAnsi="Arial"/>
          <w:sz w:val="20"/>
        </w:rPr>
        <w:t xml:space="preserve"> Guarantor unconditionally and irrevocably waives all rights and remedies accorded by application of law to sureties or guarantors and Guarantor must not assert or take advantage of those rights or remedies, including:</w:t>
      </w:r>
    </w:p>
    <w:p w:rsidRPr="009D34CB" w:rsidR="0047416D" w:rsidP="000907B6" w:rsidRDefault="0047416D" w14:paraId="411DEEA2" w14:textId="77777777">
      <w:pPr>
        <w:widowControl w:val="0"/>
        <w:numPr>
          <w:ilvl w:val="6"/>
          <w:numId w:val="53"/>
        </w:numPr>
        <w:tabs>
          <w:tab w:val="left" w:pos="1260"/>
          <w:tab w:val="left" w:pos="2160"/>
          <w:tab w:val="left" w:pos="5788"/>
        </w:tabs>
        <w:autoSpaceDE w:val="0"/>
        <w:autoSpaceDN w:val="0"/>
        <w:adjustRightInd w:val="0"/>
        <w:spacing w:before="120" w:after="120" w:line="240" w:lineRule="auto"/>
        <w:ind w:left="806" w:firstLine="4"/>
        <w:jc w:val="both"/>
        <w:outlineLvl w:val="6"/>
        <w:rPr>
          <w:rFonts w:cs="Arial"/>
        </w:rPr>
      </w:pPr>
      <w:r w:rsidRPr="00CA1FF0">
        <w:rPr>
          <w:rFonts w:ascii="Arial" w:hAnsi="Arial"/>
          <w:sz w:val="20"/>
        </w:rPr>
        <w:t>any right to require Beneficiary to proceed against Company or any other person or to proceed against or exhaust any security held by Beneficiary at any time or to pursue any other remedy in Beneficiary’s power before proceeding against Guarantor;</w:t>
      </w:r>
    </w:p>
    <w:p w:rsidRPr="009D34CB" w:rsidR="0047416D" w:rsidP="000907B6" w:rsidRDefault="0047416D" w14:paraId="34588EC0" w14:textId="77777777">
      <w:pPr>
        <w:widowControl w:val="0"/>
        <w:numPr>
          <w:ilvl w:val="6"/>
          <w:numId w:val="53"/>
        </w:numPr>
        <w:tabs>
          <w:tab w:val="left" w:pos="1260"/>
          <w:tab w:val="left" w:pos="2160"/>
          <w:tab w:val="left" w:pos="5788"/>
        </w:tabs>
        <w:autoSpaceDE w:val="0"/>
        <w:autoSpaceDN w:val="0"/>
        <w:adjustRightInd w:val="0"/>
        <w:spacing w:before="120" w:after="120" w:line="240" w:lineRule="auto"/>
        <w:ind w:left="806" w:firstLine="4"/>
        <w:jc w:val="both"/>
        <w:outlineLvl w:val="6"/>
        <w:rPr>
          <w:rFonts w:cs="Arial"/>
        </w:rPr>
      </w:pPr>
      <w:r w:rsidRPr="00CA1FF0">
        <w:rPr>
          <w:rFonts w:ascii="Arial" w:hAnsi="Arial"/>
          <w:sz w:val="20"/>
        </w:rPr>
        <w:t>any defense that may arise because of the incapacity, lack of authority, death, or disability of any other Person or the failure of Beneficiary to file or enforce a claim against the estate (in administration, bankruptcy, or any other proceeding) of any other Person; or</w:t>
      </w:r>
    </w:p>
    <w:p w:rsidRPr="009D34CB" w:rsidR="0047416D" w:rsidP="000907B6" w:rsidRDefault="0047416D" w14:paraId="446923AE" w14:textId="77777777">
      <w:pPr>
        <w:widowControl w:val="0"/>
        <w:numPr>
          <w:ilvl w:val="6"/>
          <w:numId w:val="53"/>
        </w:numPr>
        <w:tabs>
          <w:tab w:val="left" w:pos="1260"/>
          <w:tab w:val="left" w:pos="2160"/>
          <w:tab w:val="left" w:pos="5788"/>
        </w:tabs>
        <w:autoSpaceDE w:val="0"/>
        <w:autoSpaceDN w:val="0"/>
        <w:adjustRightInd w:val="0"/>
        <w:spacing w:before="120" w:after="120" w:line="240" w:lineRule="auto"/>
        <w:ind w:left="806" w:firstLine="4"/>
        <w:jc w:val="both"/>
        <w:outlineLvl w:val="6"/>
        <w:rPr>
          <w:rFonts w:cs="Arial"/>
        </w:rPr>
      </w:pPr>
      <w:r w:rsidRPr="00CA1FF0">
        <w:rPr>
          <w:rFonts w:ascii="Arial" w:hAnsi="Arial"/>
          <w:sz w:val="20"/>
        </w:rPr>
        <w:t>any defense arising because of the exercise of any right or remedy available to, or election made by, Beneficiary under the U.S. Bankruptcy Code, whether as an unsecured or under secured creditor, seeking adequate protection or otherwise.</w:t>
      </w:r>
    </w:p>
    <w:p w:rsidRPr="009D34CB" w:rsidR="0047416D" w:rsidP="00CA1FF0" w:rsidRDefault="0047416D" w14:paraId="108AB270" w14:textId="77777777">
      <w:pPr>
        <w:tabs>
          <w:tab w:val="left" w:pos="2160"/>
          <w:tab w:val="left" w:pos="5068"/>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2.3.4.</w:t>
      </w:r>
      <w:r w:rsidRPr="00CA1FF0">
        <w:rPr>
          <w:rFonts w:ascii="Arial" w:hAnsi="Arial"/>
          <w:b/>
          <w:sz w:val="20"/>
        </w:rPr>
        <w:t xml:space="preserve"> Guarantor’s Waiver of Defenses Based on Set-Off or Counterclaim.</w:t>
      </w:r>
      <w:r w:rsidRPr="00CA1FF0">
        <w:rPr>
          <w:rFonts w:ascii="Arial" w:hAnsi="Arial"/>
          <w:sz w:val="20"/>
        </w:rPr>
        <w:t xml:space="preserve"> Guarantor unconditionally and irrevocably waives any defense based on any right of set-off or counterclaim against or concerning the obligations of Guarantor under this Guaranty.</w:t>
      </w:r>
    </w:p>
    <w:p w:rsidRPr="009D34CB" w:rsidR="0047416D" w:rsidP="00CA1FF0" w:rsidRDefault="0047416D" w14:paraId="33EC3F91" w14:textId="77777777">
      <w:pPr>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2.3.5.</w:t>
      </w:r>
      <w:r w:rsidRPr="00CA1FF0">
        <w:rPr>
          <w:rFonts w:ascii="Arial" w:hAnsi="Arial"/>
          <w:sz w:val="20"/>
        </w:rPr>
        <w:t xml:space="preserve"> </w:t>
      </w:r>
      <w:r w:rsidRPr="00CA1FF0">
        <w:rPr>
          <w:rFonts w:ascii="Arial" w:hAnsi="Arial"/>
          <w:b/>
          <w:sz w:val="20"/>
        </w:rPr>
        <w:t xml:space="preserve">Guarantor Waiver of Defenses, Claims, and Discharges. </w:t>
      </w:r>
      <w:r w:rsidRPr="00CA1FF0">
        <w:rPr>
          <w:rFonts w:ascii="Arial" w:hAnsi="Arial"/>
          <w:sz w:val="20"/>
        </w:rPr>
        <w:t>Guarantor unconditionally and irrevocably waives all defenses, claims, and discharges of Company, or any other obligor regarding the Guaranteed Obligations. Without limiting the generality of the preceding sentence, Guarantor will not assert, plead, or enforce against Beneficiary or any other Person any defense of waiver, release, statute of limitations, res judicata, statute of frauds, fraud, incapacity, minority, usury, illegality, or unenforceability that may be available to Company or any other person liable concerning any indebtedness, or any setoff available against Beneficiary to Company or any other Person,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law, for any deficiency remaining after foreclosure of any mortgage or security interest securing indebtedness, whether or not the liability of Company or any other person for the deficiency is discharged under statute or judicial decision.</w:t>
      </w:r>
    </w:p>
    <w:p w:rsidRPr="009D34CB" w:rsidR="0047416D" w:rsidP="00CA1FF0" w:rsidRDefault="0047416D" w14:paraId="094F5F18" w14:textId="716F839A">
      <w:pPr>
        <w:tabs>
          <w:tab w:val="left" w:pos="540"/>
        </w:tabs>
        <w:autoSpaceDE w:val="0"/>
        <w:autoSpaceDN w:val="0"/>
        <w:adjustRightInd w:val="0"/>
        <w:spacing w:before="120" w:after="120" w:line="240" w:lineRule="auto"/>
        <w:jc w:val="both"/>
        <w:outlineLvl w:val="1"/>
      </w:pPr>
      <w:r w:rsidRPr="00E408C9">
        <w:rPr>
          <w:rFonts w:ascii="Arial" w:hAnsi="Arial" w:eastAsia="Times New Roman" w:cs="Times New Roman"/>
          <w:bCs/>
        </w:rPr>
        <w:lastRenderedPageBreak/>
        <w:t>2.4</w:t>
      </w:r>
      <w:r w:rsidRPr="0047416D">
        <w:rPr>
          <w:rFonts w:ascii="Arial" w:hAnsi="Arial" w:eastAsia="Times New Roman" w:cs="Times New Roman"/>
        </w:rPr>
        <w:tab/>
      </w:r>
      <w:bookmarkStart w:name="_Toc206673980" w:id="1731"/>
      <w:r w:rsidRPr="0047416D">
        <w:rPr>
          <w:rFonts w:ascii="Arial" w:hAnsi="Arial"/>
        </w:rPr>
        <w:t>Subrogation.</w:t>
      </w:r>
      <w:bookmarkEnd w:id="1731"/>
      <w:r w:rsidRPr="00CA1FF0">
        <w:rPr>
          <w:rFonts w:ascii="Arial" w:hAnsi="Arial"/>
          <w:sz w:val="20"/>
        </w:rPr>
        <w:t xml:space="preserve"> Despite any payment or payments made by Guarantor under this Guaranty, Guarantor unconditionally and irrevocably waives any rights of subrogation to the rights of Beneficiary against Company and any rights of reimbursement, assignment, indemnification, or implied contract or any similar rights (including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p>
    <w:p w:rsidRPr="009D34CB" w:rsidR="0047416D" w:rsidP="00CA1FF0" w:rsidRDefault="0047416D" w14:paraId="44FFBEC9" w14:textId="37E5E0F4">
      <w:pPr>
        <w:tabs>
          <w:tab w:val="left" w:pos="540"/>
        </w:tabs>
        <w:autoSpaceDE w:val="0"/>
        <w:autoSpaceDN w:val="0"/>
        <w:adjustRightInd w:val="0"/>
        <w:spacing w:before="120" w:after="120" w:line="240" w:lineRule="auto"/>
        <w:jc w:val="both"/>
        <w:outlineLvl w:val="1"/>
      </w:pPr>
      <w:r w:rsidRPr="00E408C9">
        <w:rPr>
          <w:rFonts w:ascii="Arial" w:hAnsi="Arial" w:eastAsia="Times New Roman" w:cs="Times New Roman"/>
          <w:bCs/>
        </w:rPr>
        <w:t>2.5</w:t>
      </w:r>
      <w:r w:rsidRPr="0047416D">
        <w:rPr>
          <w:rFonts w:ascii="Arial" w:hAnsi="Arial" w:eastAsia="Times New Roman" w:cs="Times New Roman"/>
          <w:i/>
        </w:rPr>
        <w:tab/>
      </w:r>
      <w:bookmarkStart w:name="_Toc206673981" w:id="1732"/>
      <w:r w:rsidRPr="0047416D">
        <w:rPr>
          <w:rFonts w:ascii="Arial" w:hAnsi="Arial"/>
        </w:rPr>
        <w:t>Contribution, Indemnification, Reimbursement.</w:t>
      </w:r>
      <w:bookmarkEnd w:id="1732"/>
      <w:r w:rsidRPr="00CA1FF0">
        <w:rPr>
          <w:rFonts w:ascii="Arial" w:hAnsi="Arial"/>
          <w:sz w:val="20"/>
        </w:rPr>
        <w:t xml:space="preserve"> Guarantor unconditionally, irrevocably, and absolutely waives all right of contribution, indemnification, reimbursement, or similar rights against Company regarding the Guaranty, whether the rights arise under an express or implied contract or by operation of law, and it is the intention of Guarantor and Company that Guarantor will not be deemed to be a “creditor” (as defined in U.S. Bankruptcy Code Section 101 or any other applicable law) of Company because of the existence of this Guaranty if Company becomes a debtor in any proceeding under the U.S. Bankruptcy Code or any other applicable law.</w:t>
      </w:r>
    </w:p>
    <w:p w:rsidRPr="009D34CB" w:rsidR="0047416D" w:rsidP="00CA1FF0" w:rsidRDefault="0047416D" w14:paraId="2246FF29" w14:textId="73EBC64E">
      <w:pPr>
        <w:tabs>
          <w:tab w:val="left" w:pos="540"/>
        </w:tabs>
        <w:autoSpaceDE w:val="0"/>
        <w:autoSpaceDN w:val="0"/>
        <w:adjustRightInd w:val="0"/>
        <w:spacing w:before="120" w:after="120" w:line="240" w:lineRule="auto"/>
        <w:jc w:val="both"/>
        <w:outlineLvl w:val="1"/>
      </w:pPr>
      <w:r w:rsidRPr="00E408C9">
        <w:rPr>
          <w:rFonts w:ascii="Arial" w:hAnsi="Arial" w:eastAsia="Times New Roman" w:cs="Times New Roman"/>
          <w:bCs/>
        </w:rPr>
        <w:t>2.6</w:t>
      </w:r>
      <w:r w:rsidRPr="0047416D">
        <w:rPr>
          <w:rFonts w:ascii="Arial" w:hAnsi="Arial" w:eastAsia="Times New Roman" w:cs="Times New Roman"/>
          <w:i/>
        </w:rPr>
        <w:tab/>
      </w:r>
      <w:bookmarkStart w:name="_Toc206673982" w:id="1733"/>
      <w:r w:rsidRPr="0047416D">
        <w:rPr>
          <w:rFonts w:ascii="Arial" w:hAnsi="Arial"/>
        </w:rPr>
        <w:t>Agreement regarding Bankruptcy of Company.</w:t>
      </w:r>
      <w:bookmarkEnd w:id="1733"/>
      <w:r w:rsidRPr="00CA1FF0">
        <w:rPr>
          <w:rFonts w:ascii="Arial" w:hAnsi="Arial"/>
          <w:sz w:val="20"/>
        </w:rPr>
        <w:t xml:space="preserve"> So long as any Guaranteed Obligations are owed to Beneficiary, Guarantor must not, without the prior written consent of Beneficiary, commence, or join with any other person in commencing, any bankruptcy, reorganization or insolvency proceeding against Company.</w:t>
      </w:r>
    </w:p>
    <w:p w:rsidRPr="00CA1FF0" w:rsidR="0047416D" w:rsidP="00CA1FF0" w:rsidRDefault="0047416D" w14:paraId="18B78F14" w14:textId="77777777">
      <w:pPr>
        <w:keepNext/>
        <w:autoSpaceDE w:val="0"/>
        <w:autoSpaceDN w:val="0"/>
        <w:adjustRightInd w:val="0"/>
        <w:spacing w:before="240" w:after="120" w:line="240" w:lineRule="auto"/>
        <w:outlineLvl w:val="0"/>
        <w:rPr>
          <w:rFonts w:ascii="Arial" w:hAnsi="Arial"/>
          <w:caps/>
        </w:rPr>
      </w:pPr>
      <w:r w:rsidRPr="0047416D">
        <w:rPr>
          <w:rFonts w:ascii="Arial" w:hAnsi="Arial" w:eastAsia="Times New Roman" w:cs="Times New Roman"/>
          <w:b/>
          <w:caps/>
          <w:sz w:val="20"/>
          <w:szCs w:val="20"/>
        </w:rPr>
        <w:t xml:space="preserve">PART 3 </w:t>
      </w:r>
      <w:bookmarkStart w:name="_Toc206673983" w:id="1734"/>
      <w:r w:rsidRPr="00CA1FF0">
        <w:rPr>
          <w:rFonts w:ascii="Arial" w:hAnsi="Arial"/>
          <w:b/>
          <w:caps/>
          <w:sz w:val="20"/>
        </w:rPr>
        <w:t>Representations and Warranties</w:t>
      </w:r>
      <w:bookmarkEnd w:id="1734"/>
    </w:p>
    <w:p w:rsidRPr="009D34CB" w:rsidR="0047416D" w:rsidP="00CA1FF0" w:rsidRDefault="0047416D" w14:paraId="54F8BB2B" w14:textId="77777777">
      <w:pPr>
        <w:spacing w:before="120" w:after="120" w:line="240" w:lineRule="auto"/>
        <w:jc w:val="both"/>
        <w:rPr>
          <w:rFonts w:ascii="Arial" w:hAnsi="Arial"/>
        </w:rPr>
      </w:pPr>
      <w:bookmarkStart w:name="_Toc206673984" w:id="1735"/>
      <w:r w:rsidRPr="00CA1FF0">
        <w:rPr>
          <w:rFonts w:ascii="Arial" w:hAnsi="Arial"/>
          <w:sz w:val="20"/>
        </w:rPr>
        <w:t>Guarantor hereby represents and warrants as follows:</w:t>
      </w:r>
      <w:bookmarkEnd w:id="1735"/>
    </w:p>
    <w:p w:rsidRPr="009D34CB" w:rsidR="0047416D" w:rsidP="00CA1FF0" w:rsidRDefault="0047416D" w14:paraId="653156B5" w14:textId="77777777">
      <w:pPr>
        <w:tabs>
          <w:tab w:val="left" w:pos="540"/>
        </w:tabs>
        <w:autoSpaceDE w:val="0"/>
        <w:autoSpaceDN w:val="0"/>
        <w:adjustRightInd w:val="0"/>
        <w:spacing w:before="120" w:after="120" w:line="240" w:lineRule="auto"/>
        <w:jc w:val="both"/>
        <w:outlineLvl w:val="1"/>
      </w:pPr>
      <w:r w:rsidRPr="0047416D">
        <w:rPr>
          <w:rFonts w:ascii="Arial" w:hAnsi="Arial" w:eastAsia="Times New Roman" w:cs="Times New Roman"/>
          <w:b/>
          <w:sz w:val="20"/>
          <w:szCs w:val="20"/>
        </w:rPr>
        <w:t>3.1</w:t>
      </w:r>
      <w:r w:rsidRPr="0047416D">
        <w:rPr>
          <w:rFonts w:ascii="Arial" w:hAnsi="Arial" w:eastAsia="Times New Roman" w:cs="Times New Roman"/>
          <w:i/>
          <w:sz w:val="20"/>
          <w:szCs w:val="20"/>
        </w:rPr>
        <w:tab/>
      </w:r>
      <w:r w:rsidRPr="00CA1FF0">
        <w:rPr>
          <w:rFonts w:ascii="Arial" w:hAnsi="Arial"/>
          <w:b/>
          <w:sz w:val="20"/>
        </w:rPr>
        <w:t>Organization.</w:t>
      </w:r>
      <w:r w:rsidRPr="00CA1FF0">
        <w:rPr>
          <w:rFonts w:ascii="Arial" w:hAnsi="Arial"/>
          <w:sz w:val="20"/>
        </w:rPr>
        <w:t xml:space="preserve"> Guarantor is </w:t>
      </w:r>
      <w:r w:rsidRPr="00CA1FF0">
        <w:rPr>
          <w:rFonts w:ascii="Arial" w:hAnsi="Arial"/>
          <w:sz w:val="20"/>
          <w:highlight w:val="yellow"/>
        </w:rPr>
        <w:t xml:space="preserve">#a </w:t>
      </w:r>
      <w:r w:rsidRPr="00CA1FF0">
        <w:rPr>
          <w:rFonts w:ascii="Arial" w:hAnsi="Arial"/>
          <w:b/>
          <w:i/>
          <w:color w:val="FF0000"/>
          <w:sz w:val="20"/>
          <w:highlight w:val="yellow"/>
          <w:u w:val="single"/>
        </w:rPr>
        <w:t>OR</w:t>
      </w:r>
      <w:r w:rsidRPr="00CA1FF0">
        <w:rPr>
          <w:rFonts w:ascii="Arial" w:hAnsi="Arial"/>
          <w:sz w:val="20"/>
          <w:highlight w:val="yellow"/>
        </w:rPr>
        <w:t xml:space="preserve"> #an</w:t>
      </w:r>
      <w:r w:rsidRPr="00CA1FF0">
        <w:rPr>
          <w:rFonts w:ascii="Arial" w:hAnsi="Arial"/>
          <w:sz w:val="20"/>
        </w:rPr>
        <w:t xml:space="preserve"> </w:t>
      </w:r>
      <w:r w:rsidRPr="00CA1FF0">
        <w:rPr>
          <w:rFonts w:ascii="Arial" w:hAnsi="Arial"/>
          <w:sz w:val="20"/>
          <w:highlight w:val="yellow"/>
        </w:rPr>
        <w:t>#GuarantorEntityType#</w:t>
      </w:r>
      <w:r w:rsidRPr="00CA1FF0">
        <w:rPr>
          <w:rFonts w:ascii="Arial" w:hAnsi="Arial"/>
          <w:sz w:val="20"/>
        </w:rPr>
        <w:t xml:space="preserve"> organized, validly existing, and in good standing under the laws of the state of </w:t>
      </w:r>
      <w:r w:rsidRPr="00CA1FF0">
        <w:rPr>
          <w:rFonts w:ascii="Arial" w:hAnsi="Arial"/>
          <w:sz w:val="20"/>
          <w:highlight w:val="yellow"/>
        </w:rPr>
        <w:t>#GuarantorEntityRegistrationState</w:t>
      </w:r>
      <w:r w:rsidRPr="00CA1FF0">
        <w:rPr>
          <w:rFonts w:ascii="Arial" w:hAnsi="Arial"/>
          <w:sz w:val="20"/>
        </w:rPr>
        <w:t>.</w:t>
      </w:r>
    </w:p>
    <w:p w:rsidRPr="009D34CB" w:rsidR="0047416D" w:rsidP="00CA1FF0" w:rsidRDefault="0047416D" w14:paraId="30D841C9" w14:textId="77777777">
      <w:pPr>
        <w:tabs>
          <w:tab w:val="left" w:pos="540"/>
        </w:tabs>
        <w:autoSpaceDE w:val="0"/>
        <w:autoSpaceDN w:val="0"/>
        <w:adjustRightInd w:val="0"/>
        <w:spacing w:before="120" w:after="120" w:line="240" w:lineRule="auto"/>
        <w:jc w:val="both"/>
        <w:outlineLvl w:val="1"/>
      </w:pPr>
      <w:r w:rsidRPr="0047416D">
        <w:rPr>
          <w:rFonts w:ascii="Arial" w:hAnsi="Arial" w:eastAsia="Times New Roman" w:cs="Times New Roman"/>
          <w:b/>
          <w:sz w:val="20"/>
          <w:szCs w:val="20"/>
        </w:rPr>
        <w:t>3.2</w:t>
      </w:r>
      <w:r w:rsidRPr="0047416D">
        <w:rPr>
          <w:rFonts w:ascii="Arial" w:hAnsi="Arial" w:eastAsia="Times New Roman" w:cs="Times New Roman"/>
          <w:i/>
          <w:sz w:val="20"/>
          <w:szCs w:val="20"/>
        </w:rPr>
        <w:tab/>
      </w:r>
      <w:r w:rsidRPr="00CA1FF0">
        <w:rPr>
          <w:rFonts w:ascii="Arial" w:hAnsi="Arial"/>
          <w:b/>
          <w:sz w:val="20"/>
        </w:rPr>
        <w:t>Authorization; No Conflict.</w:t>
      </w:r>
      <w:r w:rsidRPr="00CA1FF0">
        <w:rPr>
          <w:rFonts w:ascii="Arial" w:hAnsi="Arial"/>
          <w:sz w:val="20"/>
        </w:rPr>
        <w:t xml:space="preserve"> The execution and delivery by Guarantor of this Guaranty, and the performance by Guarantor of its obligations under this Guaranty: (i) are within Guarantor’s </w:t>
      </w:r>
      <w:r w:rsidRPr="00CA1FF0">
        <w:rPr>
          <w:rFonts w:ascii="Arial" w:hAnsi="Arial"/>
          <w:sz w:val="20"/>
          <w:highlight w:val="yellow"/>
        </w:rPr>
        <w:t>#GuarantorEntityType#</w:t>
      </w:r>
      <w:r w:rsidRPr="00CA1FF0">
        <w:rPr>
          <w:rFonts w:ascii="Arial" w:hAnsi="Arial"/>
          <w:sz w:val="20"/>
        </w:rPr>
        <w:t xml:space="preserve"> powers; (ii) have been duly authorized by all necessary </w:t>
      </w:r>
      <w:r w:rsidRPr="00CA1FF0">
        <w:rPr>
          <w:rFonts w:ascii="Arial" w:hAnsi="Arial"/>
          <w:sz w:val="20"/>
          <w:highlight w:val="yellow"/>
        </w:rPr>
        <w:t>#GuarantorEntityType#</w:t>
      </w:r>
      <w:r w:rsidRPr="00CA1FF0">
        <w:rPr>
          <w:rFonts w:ascii="Arial" w:hAnsi="Arial"/>
          <w:sz w:val="20"/>
        </w:rPr>
        <w:t xml:space="preserve"> action; (iii) do not contravene its </w:t>
      </w:r>
      <w:r w:rsidRPr="00CA1FF0">
        <w:rPr>
          <w:rFonts w:ascii="Arial" w:hAnsi="Arial"/>
          <w:sz w:val="20"/>
          <w:highlight w:val="yellow"/>
        </w:rPr>
        <w:t xml:space="preserve">#bylaws </w:t>
      </w:r>
      <w:r w:rsidRPr="00CA1FF0">
        <w:rPr>
          <w:rFonts w:ascii="Arial" w:hAnsi="Arial"/>
          <w:b/>
          <w:i/>
          <w:color w:val="FF0000"/>
          <w:sz w:val="20"/>
          <w:highlight w:val="yellow"/>
          <w:u w:val="single"/>
        </w:rPr>
        <w:t>OR</w:t>
      </w:r>
      <w:r w:rsidRPr="00CA1FF0">
        <w:rPr>
          <w:rFonts w:ascii="Arial" w:hAnsi="Arial"/>
          <w:sz w:val="20"/>
          <w:highlight w:val="yellow"/>
        </w:rPr>
        <w:t xml:space="preserve"> #operating agreement </w:t>
      </w:r>
      <w:r w:rsidRPr="00CA1FF0">
        <w:rPr>
          <w:rFonts w:ascii="Arial" w:hAnsi="Arial"/>
          <w:b/>
          <w:i/>
          <w:color w:val="FF0000"/>
          <w:sz w:val="20"/>
          <w:highlight w:val="yellow"/>
          <w:u w:val="single"/>
        </w:rPr>
        <w:t>OR</w:t>
      </w:r>
      <w:r w:rsidRPr="00CA1FF0">
        <w:rPr>
          <w:rFonts w:ascii="Arial" w:hAnsi="Arial"/>
          <w:sz w:val="20"/>
          <w:highlight w:val="yellow"/>
        </w:rPr>
        <w:t xml:space="preserve"> #OtherOrganizationalDocument</w:t>
      </w:r>
      <w:r w:rsidRPr="00CA1FF0">
        <w:rPr>
          <w:rFonts w:ascii="Arial" w:hAnsi="Arial"/>
          <w:sz w:val="20"/>
        </w:rPr>
        <w:t xml:space="preserve"> or any law or regulation applicable to or binding on Guarantor or any of its properties; and (iv) do not require the consent or approval of any Person that has not already been obtained or the satisfaction or waiver of any conditions precedent to the effectiveness of this Guaranty that have not been satisfied or waived.</w:t>
      </w:r>
    </w:p>
    <w:p w:rsidRPr="009D34CB" w:rsidR="0047416D" w:rsidP="00CA1FF0" w:rsidRDefault="0047416D" w14:paraId="7360824D" w14:textId="77777777">
      <w:pPr>
        <w:tabs>
          <w:tab w:val="left" w:pos="540"/>
        </w:tabs>
        <w:autoSpaceDE w:val="0"/>
        <w:autoSpaceDN w:val="0"/>
        <w:adjustRightInd w:val="0"/>
        <w:spacing w:before="120" w:after="120" w:line="240" w:lineRule="auto"/>
        <w:jc w:val="both"/>
        <w:outlineLvl w:val="1"/>
      </w:pPr>
      <w:r w:rsidRPr="0047416D">
        <w:rPr>
          <w:rFonts w:ascii="Arial" w:hAnsi="Arial" w:eastAsia="Times New Roman" w:cs="Times New Roman"/>
          <w:b/>
          <w:sz w:val="20"/>
          <w:szCs w:val="20"/>
        </w:rPr>
        <w:t>3.3</w:t>
      </w:r>
      <w:r w:rsidRPr="0047416D">
        <w:rPr>
          <w:rFonts w:ascii="Arial" w:hAnsi="Arial" w:eastAsia="Times New Roman" w:cs="Times New Roman"/>
          <w:i/>
          <w:sz w:val="20"/>
          <w:szCs w:val="20"/>
        </w:rPr>
        <w:tab/>
      </w:r>
      <w:r w:rsidRPr="00CA1FF0">
        <w:rPr>
          <w:rFonts w:ascii="Arial" w:hAnsi="Arial"/>
          <w:b/>
          <w:sz w:val="20"/>
        </w:rPr>
        <w:t>Enforceability.</w:t>
      </w:r>
      <w:r w:rsidRPr="00CA1FF0">
        <w:rPr>
          <w:rFonts w:ascii="Arial" w:hAnsi="Arial"/>
          <w:sz w:val="20"/>
        </w:rPr>
        <w:t xml:space="preserve"> 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rsidRPr="009D34CB" w:rsidR="0047416D" w:rsidP="00CA1FF0" w:rsidRDefault="0047416D" w14:paraId="5873AC59" w14:textId="77777777">
      <w:pPr>
        <w:tabs>
          <w:tab w:val="left" w:pos="540"/>
        </w:tabs>
        <w:autoSpaceDE w:val="0"/>
        <w:autoSpaceDN w:val="0"/>
        <w:adjustRightInd w:val="0"/>
        <w:spacing w:before="120" w:after="120" w:line="240" w:lineRule="auto"/>
        <w:jc w:val="both"/>
        <w:outlineLvl w:val="1"/>
      </w:pPr>
      <w:r w:rsidRPr="0047416D">
        <w:rPr>
          <w:rFonts w:ascii="Arial" w:hAnsi="Arial" w:eastAsia="Times New Roman" w:cs="Times New Roman"/>
          <w:b/>
          <w:sz w:val="20"/>
          <w:szCs w:val="20"/>
        </w:rPr>
        <w:t>3.4</w:t>
      </w:r>
      <w:r w:rsidRPr="0047416D">
        <w:rPr>
          <w:rFonts w:ascii="Arial" w:hAnsi="Arial" w:eastAsia="Times New Roman" w:cs="Times New Roman"/>
          <w:i/>
          <w:sz w:val="20"/>
          <w:szCs w:val="20"/>
        </w:rPr>
        <w:tab/>
      </w:r>
      <w:r w:rsidRPr="00CA1FF0">
        <w:rPr>
          <w:rFonts w:ascii="Arial" w:hAnsi="Arial"/>
          <w:b/>
          <w:sz w:val="20"/>
        </w:rPr>
        <w:t>No Bankruptcy Proceedings.</w:t>
      </w:r>
      <w:r w:rsidRPr="00CA1FF0">
        <w:rPr>
          <w:rFonts w:ascii="Arial" w:hAnsi="Arial"/>
          <w:sz w:val="20"/>
        </w:rPr>
        <w:t xml:space="preserve"> There are no bankruptcy proceedings pending or being contemplated by Guarantor or, to Guarantor’s knowledge, threatened against it.</w:t>
      </w:r>
    </w:p>
    <w:p w:rsidRPr="009D34CB" w:rsidR="0047416D" w:rsidP="00CA1FF0" w:rsidRDefault="0047416D" w14:paraId="68A7AD38" w14:textId="77777777">
      <w:pPr>
        <w:tabs>
          <w:tab w:val="left" w:pos="540"/>
        </w:tabs>
        <w:autoSpaceDE w:val="0"/>
        <w:autoSpaceDN w:val="0"/>
        <w:adjustRightInd w:val="0"/>
        <w:spacing w:before="120" w:after="120" w:line="240" w:lineRule="auto"/>
        <w:jc w:val="both"/>
        <w:outlineLvl w:val="1"/>
      </w:pPr>
      <w:r w:rsidRPr="0047416D">
        <w:rPr>
          <w:rFonts w:ascii="Arial" w:hAnsi="Arial" w:eastAsia="Times New Roman" w:cs="Times New Roman"/>
          <w:b/>
          <w:sz w:val="20"/>
          <w:szCs w:val="20"/>
        </w:rPr>
        <w:t>3.5</w:t>
      </w:r>
      <w:r w:rsidRPr="0047416D">
        <w:rPr>
          <w:rFonts w:ascii="Arial" w:hAnsi="Arial" w:eastAsia="Times New Roman" w:cs="Times New Roman"/>
          <w:i/>
          <w:sz w:val="20"/>
          <w:szCs w:val="20"/>
        </w:rPr>
        <w:tab/>
      </w:r>
      <w:r w:rsidRPr="00CA1FF0">
        <w:rPr>
          <w:rFonts w:ascii="Arial" w:hAnsi="Arial"/>
          <w:b/>
          <w:sz w:val="20"/>
        </w:rPr>
        <w:t>No Legal Proceedings.</w:t>
      </w:r>
      <w:r w:rsidRPr="00CA1FF0">
        <w:rPr>
          <w:rFonts w:ascii="Arial" w:hAnsi="Arial"/>
          <w:sz w:val="20"/>
        </w:rPr>
        <w:t xml:space="preserve"> There are no legal proceedings that would be reasonably likely to materially adversely affect Guarantor’s ability to perform this Guaranty.</w:t>
      </w:r>
    </w:p>
    <w:p w:rsidRPr="00CA1FF0" w:rsidR="0047416D" w:rsidP="00CA1FF0" w:rsidRDefault="0047416D" w14:paraId="03AD23DA" w14:textId="77777777">
      <w:pPr>
        <w:keepNext/>
        <w:autoSpaceDE w:val="0"/>
        <w:autoSpaceDN w:val="0"/>
        <w:adjustRightInd w:val="0"/>
        <w:spacing w:before="240" w:after="120" w:line="240" w:lineRule="auto"/>
        <w:outlineLvl w:val="0"/>
        <w:rPr>
          <w:rFonts w:ascii="Arial" w:hAnsi="Arial"/>
          <w:b/>
          <w:caps/>
        </w:rPr>
      </w:pPr>
      <w:r w:rsidRPr="0047416D">
        <w:rPr>
          <w:rFonts w:ascii="Arial" w:hAnsi="Arial" w:eastAsia="Times New Roman" w:cs="Times New Roman"/>
          <w:b/>
          <w:caps/>
          <w:sz w:val="20"/>
          <w:szCs w:val="20"/>
        </w:rPr>
        <w:t xml:space="preserve">PART 4 - </w:t>
      </w:r>
      <w:bookmarkStart w:name="_Toc206673985" w:id="1736"/>
      <w:r w:rsidRPr="00CA1FF0">
        <w:rPr>
          <w:rFonts w:ascii="Arial" w:hAnsi="Arial"/>
          <w:b/>
          <w:caps/>
          <w:sz w:val="20"/>
        </w:rPr>
        <w:t>Miscellaneous</w:t>
      </w:r>
      <w:bookmarkEnd w:id="1736"/>
    </w:p>
    <w:p w:rsidRPr="009D34CB" w:rsidR="0047416D" w:rsidP="00CA1FF0" w:rsidRDefault="0047416D" w14:paraId="244501E4" w14:textId="0FCC6C16">
      <w:pPr>
        <w:tabs>
          <w:tab w:val="left" w:pos="540"/>
        </w:tabs>
        <w:autoSpaceDE w:val="0"/>
        <w:autoSpaceDN w:val="0"/>
        <w:adjustRightInd w:val="0"/>
        <w:spacing w:before="120" w:after="120" w:line="240" w:lineRule="auto"/>
        <w:jc w:val="both"/>
        <w:outlineLvl w:val="1"/>
      </w:pPr>
      <w:r w:rsidRPr="00DC0D29">
        <w:rPr>
          <w:rFonts w:ascii="Arial" w:hAnsi="Arial" w:eastAsia="Times New Roman" w:cs="Times New Roman"/>
          <w:bCs/>
        </w:rPr>
        <w:t>4.1</w:t>
      </w:r>
      <w:r w:rsidRPr="00DC0D29">
        <w:rPr>
          <w:rFonts w:ascii="Arial" w:hAnsi="Arial" w:eastAsia="Times New Roman" w:cs="Times New Roman"/>
          <w:i/>
        </w:rPr>
        <w:tab/>
      </w:r>
      <w:bookmarkStart w:name="_Toc206673986" w:id="1737"/>
      <w:r w:rsidRPr="00DC0D29">
        <w:rPr>
          <w:rFonts w:ascii="Arial" w:hAnsi="Arial"/>
        </w:rPr>
        <w:t>Continuing Guaranty; Assignment.</w:t>
      </w:r>
      <w:bookmarkEnd w:id="1737"/>
      <w:r w:rsidRPr="00DC0D29">
        <w:rPr>
          <w:rFonts w:ascii="Arial" w:hAnsi="Arial"/>
        </w:rPr>
        <w:t xml:space="preserve"> </w:t>
      </w:r>
      <w:r w:rsidRPr="00CA1FF0">
        <w:rPr>
          <w:rFonts w:ascii="Arial" w:hAnsi="Arial"/>
          <w:sz w:val="20"/>
        </w:rPr>
        <w:t xml:space="preserve">This Guaranty is a continuing guaranty and will: (i) remain in full force and effect until all of the Guaranty Obligations have been satisfied; (ii) consistent with the terms of this Guaranty, apply to all Guaranteed Obligations whenever arising; (iii) be binding upon Guarantor, its successors and assigns; and (iv) inure to the benefit of, and be enforceable by, Beneficiary and its permitted assignees under this Guaranty. Guarantor must not assign or delegate Guarantor’s rights or obligations </w:t>
      </w:r>
      <w:r w:rsidRPr="00CA1FF0">
        <w:rPr>
          <w:rFonts w:ascii="Arial" w:hAnsi="Arial"/>
          <w:sz w:val="20"/>
        </w:rPr>
        <w:lastRenderedPageBreak/>
        <w:t>under this Guaranty without: (i) the prior written consent of Beneficiary, which consent may be withheld in Beneficiary’s sole discretion; and (ii) a written assignment and assumption agreement in form and substance reasonably acceptable to Beneficiary. Without prejudice to the survival of any of the other agreements of Guarantor under this Guaranty, the agreements and obligations of Guarantor contained in Section 4.4 (</w:t>
      </w:r>
      <w:r w:rsidRPr="00CA1FF0">
        <w:rPr>
          <w:rFonts w:ascii="Arial" w:hAnsi="Arial"/>
          <w:i/>
          <w:sz w:val="20"/>
        </w:rPr>
        <w:t>Expenses</w:t>
      </w:r>
      <w:r w:rsidRPr="00CA1FF0">
        <w:rPr>
          <w:rFonts w:ascii="Arial" w:hAnsi="Arial"/>
          <w:sz w:val="20"/>
        </w:rPr>
        <w:t>) (regarding enforcement expenses) and the last sentence of Section 2.2.1</w:t>
      </w:r>
      <w:r w:rsidRPr="0047416D">
        <w:rPr>
          <w:rFonts w:ascii="Arial" w:hAnsi="Arial" w:eastAsia="Times New Roman" w:cs="Times New Roman"/>
          <w:sz w:val="20"/>
          <w:szCs w:val="20"/>
        </w:rPr>
        <w:t xml:space="preserve"> </w:t>
      </w:r>
      <w:r w:rsidRPr="00CA1FF0">
        <w:rPr>
          <w:rFonts w:ascii="Arial" w:hAnsi="Arial"/>
          <w:sz w:val="20"/>
        </w:rPr>
        <w:t>(</w:t>
      </w:r>
      <w:r w:rsidRPr="00CA1FF0">
        <w:rPr>
          <w:rFonts w:ascii="Arial" w:hAnsi="Arial"/>
          <w:i/>
          <w:sz w:val="20"/>
        </w:rPr>
        <w:t>Guarantor Guarantees</w:t>
      </w:r>
      <w:r w:rsidRPr="00CA1FF0">
        <w:rPr>
          <w:rFonts w:ascii="Arial" w:hAnsi="Arial"/>
          <w:sz w:val="20"/>
        </w:rPr>
        <w:t>) will survive the payment in full of the Guaranteed Obligations and all of the other amounts payable under this Guaranty.</w:t>
      </w:r>
    </w:p>
    <w:p w:rsidRPr="009D34CB" w:rsidR="0047416D" w:rsidP="00CA1FF0" w:rsidRDefault="0047416D" w14:paraId="06665B4D" w14:textId="77AFFBB9">
      <w:pPr>
        <w:tabs>
          <w:tab w:val="left" w:pos="540"/>
        </w:tabs>
        <w:spacing w:before="120" w:after="120" w:line="240" w:lineRule="auto"/>
        <w:jc w:val="both"/>
      </w:pPr>
      <w:r w:rsidRPr="009D34CB">
        <w:rPr>
          <w:rFonts w:ascii="Arial" w:hAnsi="Arial" w:eastAsia="Times New Roman"/>
        </w:rPr>
        <w:t>4.2</w:t>
      </w:r>
      <w:r w:rsidRPr="009D34CB">
        <w:rPr>
          <w:rFonts w:ascii="Arial" w:hAnsi="Arial" w:eastAsia="Calibri"/>
        </w:rPr>
        <w:tab/>
      </w:r>
      <w:bookmarkStart w:name="_Toc206673987" w:id="1738"/>
      <w:r w:rsidRPr="00DC0D29">
        <w:rPr>
          <w:rFonts w:ascii="Arial" w:hAnsi="Arial"/>
        </w:rPr>
        <w:t>Notices.</w:t>
      </w:r>
      <w:bookmarkEnd w:id="1738"/>
      <w:r w:rsidRPr="00CA1FF0">
        <w:rPr>
          <w:rFonts w:ascii="Arial" w:hAnsi="Arial" w:cs="Arial"/>
          <w:sz w:val="20"/>
          <w:szCs w:val="20"/>
        </w:rPr>
        <w:t xml:space="preserve"> </w:t>
      </w:r>
      <w:r w:rsidRPr="00CA1FF0">
        <w:rPr>
          <w:rFonts w:ascii="Arial" w:hAnsi="Arial"/>
          <w:sz w:val="20"/>
        </w:rPr>
        <w:t>All notices, requests, demands and other communications that are required or may be given under this Guaranty must be in writing and will be deemed to have been given when actually received if: (i) personally delivered; (ii) transmitted by facsimile, electronic, or digital transmission method; or (iii) if sent by certified or registered mail, return receipt requested. In each case, notice will be to the contacts identified in this Section 4.2 (</w:t>
      </w:r>
      <w:r w:rsidRPr="00CA1FF0">
        <w:rPr>
          <w:rFonts w:ascii="Arial" w:hAnsi="Arial"/>
          <w:i/>
          <w:sz w:val="20"/>
        </w:rPr>
        <w:t>Notices</w:t>
      </w:r>
      <w:r w:rsidRPr="00CA1FF0">
        <w:rPr>
          <w:rFonts w:ascii="Arial" w:hAnsi="Arial"/>
          <w:sz w:val="20"/>
        </w:rPr>
        <w:t>) or to the other place and with the other copies as Beneficiary or Guarantor may designate for itself by written notice to the other under this Section 4.2</w:t>
      </w:r>
      <w:r w:rsidRPr="0047416D">
        <w:rPr>
          <w:rFonts w:ascii="Arial" w:hAnsi="Arial" w:eastAsia="Times New Roman" w:cs="Times New Roman"/>
          <w:sz w:val="20"/>
          <w:szCs w:val="20"/>
        </w:rPr>
        <w:t>.</w:t>
      </w:r>
      <w:r w:rsidRPr="00CA1FF0">
        <w:rPr>
          <w:rFonts w:ascii="Arial" w:hAnsi="Arial"/>
          <w:sz w:val="20"/>
        </w:rPr>
        <w:t xml:space="preserve"> Delivery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815"/>
        <w:gridCol w:w="4545"/>
      </w:tblGrid>
      <w:tr w:rsidRPr="009D34CB" w:rsidR="0047416D" w14:paraId="5E151AB4" w14:textId="77777777">
        <w:trPr>
          <w:trHeight w:val="360"/>
        </w:trPr>
        <w:tc>
          <w:tcPr>
            <w:tcW w:w="5019" w:type="dxa"/>
            <w:vAlign w:val="center"/>
          </w:tcPr>
          <w:p w:rsidRPr="009D34CB" w:rsidR="0047416D" w:rsidP="0047416D" w:rsidRDefault="0047416D" w14:paraId="1FC959CA" w14:textId="77777777">
            <w:pPr>
              <w:keepNext/>
              <w:keepLines/>
              <w:spacing w:before="120" w:after="120" w:line="240" w:lineRule="auto"/>
              <w:rPr>
                <w:rFonts w:ascii="Arial" w:hAnsi="Arial" w:cs="Arial"/>
                <w:b/>
                <w:color w:val="000000"/>
                <w:sz w:val="20"/>
                <w:szCs w:val="20"/>
              </w:rPr>
            </w:pPr>
            <w:r w:rsidRPr="009D34CB">
              <w:rPr>
                <w:rFonts w:ascii="Arial" w:hAnsi="Arial" w:cs="Arial"/>
                <w:b/>
                <w:color w:val="000000"/>
                <w:sz w:val="20"/>
                <w:szCs w:val="20"/>
              </w:rPr>
              <w:t>Notice to GPC:</w:t>
            </w:r>
          </w:p>
        </w:tc>
        <w:tc>
          <w:tcPr>
            <w:tcW w:w="4989" w:type="dxa"/>
            <w:vAlign w:val="center"/>
          </w:tcPr>
          <w:p w:rsidRPr="009D34CB" w:rsidR="0047416D" w:rsidP="0047416D" w:rsidRDefault="0047416D" w14:paraId="0A86526F" w14:textId="77777777">
            <w:pPr>
              <w:keepNext/>
              <w:keepLines/>
              <w:spacing w:before="120" w:after="120" w:line="240" w:lineRule="auto"/>
              <w:rPr>
                <w:rFonts w:ascii="Arial" w:hAnsi="Arial" w:cs="Arial"/>
                <w:b/>
                <w:color w:val="000000"/>
                <w:sz w:val="20"/>
                <w:szCs w:val="20"/>
              </w:rPr>
            </w:pPr>
            <w:r w:rsidRPr="009D34CB">
              <w:rPr>
                <w:rFonts w:ascii="Arial" w:hAnsi="Arial" w:cs="Arial"/>
                <w:b/>
                <w:color w:val="000000"/>
                <w:sz w:val="20"/>
                <w:szCs w:val="20"/>
              </w:rPr>
              <w:t>With Copy to:</w:t>
            </w:r>
          </w:p>
        </w:tc>
      </w:tr>
      <w:tr w:rsidRPr="009D34CB" w:rsidR="0047416D" w14:paraId="7797397A" w14:textId="77777777">
        <w:tc>
          <w:tcPr>
            <w:tcW w:w="5019" w:type="dxa"/>
            <w:vAlign w:val="center"/>
          </w:tcPr>
          <w:p w:rsidRPr="0047416D" w:rsidR="0047416D" w:rsidP="0047416D" w:rsidRDefault="0047416D" w14:paraId="6AAE55F0" w14:textId="77777777">
            <w:pPr>
              <w:keepLines/>
              <w:spacing w:after="0" w:line="240" w:lineRule="auto"/>
              <w:rPr>
                <w:rFonts w:ascii="Arial" w:hAnsi="Arial" w:eastAsia="Calibri" w:cs="Times New Roman"/>
                <w:color w:val="000000"/>
                <w:sz w:val="20"/>
                <w:szCs w:val="20"/>
              </w:rPr>
            </w:pPr>
            <w:r w:rsidRPr="0047416D">
              <w:rPr>
                <w:rFonts w:ascii="Arial" w:hAnsi="Arial" w:eastAsia="Calibri" w:cs="Times New Roman"/>
                <w:color w:val="000000"/>
                <w:sz w:val="20"/>
                <w:szCs w:val="20"/>
              </w:rPr>
              <w:t>Georgia Power Company</w:t>
            </w:r>
          </w:p>
          <w:p w:rsidRPr="0047416D" w:rsidR="0047416D" w:rsidP="0047416D" w:rsidRDefault="0047416D" w14:paraId="3D23BD44" w14:textId="77777777">
            <w:pPr>
              <w:keepLines/>
              <w:spacing w:after="0" w:line="240" w:lineRule="auto"/>
              <w:rPr>
                <w:rFonts w:ascii="Arial" w:hAnsi="Arial" w:eastAsia="MS Gothic" w:cs="Times New Roman"/>
                <w:sz w:val="20"/>
                <w:szCs w:val="20"/>
              </w:rPr>
            </w:pPr>
            <w:r w:rsidRPr="0047416D">
              <w:rPr>
                <w:rFonts w:ascii="Arial" w:hAnsi="Arial" w:eastAsia="Calibri" w:cs="Times New Roman"/>
                <w:sz w:val="20"/>
                <w:szCs w:val="20"/>
              </w:rPr>
              <w:t>c/o Southern Company Services, Inc.</w:t>
            </w:r>
          </w:p>
          <w:p w:rsidRPr="0047416D" w:rsidR="0047416D" w:rsidP="0047416D" w:rsidRDefault="0047416D" w14:paraId="1F20B4D1" w14:textId="77777777">
            <w:pPr>
              <w:keepLines/>
              <w:spacing w:after="0" w:line="240" w:lineRule="auto"/>
              <w:rPr>
                <w:rFonts w:ascii="Arial" w:hAnsi="Arial" w:eastAsia="MS Gothic" w:cs="Times New Roman"/>
                <w:sz w:val="20"/>
                <w:szCs w:val="20"/>
              </w:rPr>
            </w:pPr>
            <w:r w:rsidRPr="0047416D">
              <w:rPr>
                <w:rFonts w:ascii="Arial" w:hAnsi="Arial" w:eastAsia="MS Gothic" w:cs="Times New Roman"/>
                <w:sz w:val="20"/>
                <w:szCs w:val="20"/>
              </w:rPr>
              <w:t>Attn: Assistant Treasurer, BIN SC 1407</w:t>
            </w:r>
          </w:p>
          <w:p w:rsidRPr="0047416D" w:rsidR="0047416D" w:rsidP="0047416D" w:rsidRDefault="0047416D" w14:paraId="44C58AF8" w14:textId="77777777">
            <w:pPr>
              <w:keepLines/>
              <w:spacing w:after="0" w:line="240" w:lineRule="auto"/>
              <w:rPr>
                <w:rFonts w:ascii="Arial" w:hAnsi="Arial" w:eastAsia="Calibri" w:cs="Times New Roman"/>
                <w:sz w:val="20"/>
                <w:szCs w:val="20"/>
              </w:rPr>
            </w:pPr>
            <w:r w:rsidRPr="0047416D">
              <w:rPr>
                <w:rFonts w:ascii="Arial" w:hAnsi="Arial" w:eastAsia="Calibri" w:cs="Times New Roman"/>
                <w:sz w:val="20"/>
                <w:szCs w:val="20"/>
              </w:rPr>
              <w:t xml:space="preserve">30 Ivan Allen Junior Boulevard, NW </w:t>
            </w:r>
          </w:p>
          <w:p w:rsidRPr="0047416D" w:rsidR="0047416D" w:rsidP="0047416D" w:rsidRDefault="0047416D" w14:paraId="69712C26" w14:textId="77777777">
            <w:pPr>
              <w:keepLines/>
              <w:spacing w:after="0" w:line="240" w:lineRule="auto"/>
              <w:rPr>
                <w:rFonts w:ascii="Arial" w:hAnsi="Arial" w:eastAsia="Calibri" w:cs="Times New Roman"/>
                <w:color w:val="000000"/>
                <w:sz w:val="20"/>
                <w:szCs w:val="20"/>
              </w:rPr>
            </w:pPr>
            <w:r w:rsidRPr="0047416D">
              <w:rPr>
                <w:rFonts w:ascii="Arial" w:hAnsi="Arial" w:eastAsia="Calibri" w:cs="Times New Roman"/>
                <w:color w:val="000000"/>
                <w:sz w:val="20"/>
                <w:szCs w:val="20"/>
              </w:rPr>
              <w:t>Atlanta, GA 30308</w:t>
            </w:r>
          </w:p>
          <w:p w:rsidRPr="0047416D" w:rsidR="0047416D" w:rsidP="0047416D" w:rsidRDefault="0047416D" w14:paraId="35B7A8C3" w14:textId="2C7F7729">
            <w:pPr>
              <w:keepLines/>
              <w:spacing w:after="0" w:line="240" w:lineRule="auto"/>
              <w:rPr>
                <w:rFonts w:ascii="Arial" w:hAnsi="Arial" w:eastAsia="Calibri" w:cs="Times New Roman"/>
                <w:color w:val="000000"/>
                <w:sz w:val="20"/>
                <w:szCs w:val="20"/>
              </w:rPr>
            </w:pPr>
            <w:hyperlink w:history="1" r:id="rId126">
              <w:r w:rsidRPr="00CA1FF0">
                <w:rPr>
                  <w:rFonts w:ascii="Arial" w:hAnsi="Arial"/>
                  <w:sz w:val="20"/>
                  <w:u w:val="single"/>
                </w:rPr>
                <w:t>G2GPCERG@southernco.com</w:t>
              </w:r>
            </w:hyperlink>
            <w:r w:rsidRPr="0047416D">
              <w:rPr>
                <w:rFonts w:ascii="Arial" w:hAnsi="Arial" w:eastAsia="Calibri" w:cs="Times New Roman"/>
                <w:sz w:val="20"/>
                <w:szCs w:val="20"/>
              </w:rPr>
              <w:t xml:space="preserve"> </w:t>
            </w:r>
          </w:p>
        </w:tc>
        <w:tc>
          <w:tcPr>
            <w:tcW w:w="4989" w:type="dxa"/>
          </w:tcPr>
          <w:p w:rsidRPr="0047416D" w:rsidR="0047416D" w:rsidP="0047416D" w:rsidRDefault="0047416D" w14:paraId="61D21D73" w14:textId="77777777">
            <w:pPr>
              <w:keepLines/>
              <w:spacing w:after="0" w:line="240" w:lineRule="auto"/>
              <w:rPr>
                <w:rFonts w:ascii="Arial" w:hAnsi="Arial" w:eastAsia="Calibri" w:cs="Times New Roman"/>
                <w:color w:val="000000"/>
                <w:sz w:val="20"/>
                <w:szCs w:val="20"/>
              </w:rPr>
            </w:pPr>
            <w:r w:rsidRPr="0047416D">
              <w:rPr>
                <w:rFonts w:ascii="Arial" w:hAnsi="Arial" w:eastAsia="Calibri" w:cs="Times New Roman"/>
                <w:color w:val="000000"/>
                <w:sz w:val="20"/>
                <w:szCs w:val="20"/>
              </w:rPr>
              <w:t>Georgia Power Company Legal Dept.</w:t>
            </w:r>
          </w:p>
          <w:p w:rsidRPr="0047416D" w:rsidR="0047416D" w:rsidP="0047416D" w:rsidRDefault="0047416D" w14:paraId="54C0B219" w14:textId="77777777">
            <w:pPr>
              <w:keepLines/>
              <w:spacing w:after="0" w:line="240" w:lineRule="auto"/>
              <w:rPr>
                <w:rFonts w:ascii="Arial" w:hAnsi="Arial" w:eastAsia="Calibri" w:cs="Times New Roman"/>
                <w:color w:val="000000"/>
                <w:sz w:val="20"/>
                <w:szCs w:val="20"/>
              </w:rPr>
            </w:pPr>
            <w:r w:rsidRPr="0047416D">
              <w:rPr>
                <w:rFonts w:ascii="Arial" w:hAnsi="Arial" w:eastAsia="Calibri" w:cs="Times New Roman"/>
                <w:color w:val="000000"/>
                <w:sz w:val="20"/>
                <w:szCs w:val="20"/>
              </w:rPr>
              <w:t>Attn: Commercial &amp; Transactions, Bin 10180</w:t>
            </w:r>
          </w:p>
          <w:p w:rsidRPr="0047416D" w:rsidR="0047416D" w:rsidP="0047416D" w:rsidRDefault="0047416D" w14:paraId="7F7D4371" w14:textId="77777777">
            <w:pPr>
              <w:keepLines/>
              <w:spacing w:after="0" w:line="240" w:lineRule="auto"/>
              <w:rPr>
                <w:rFonts w:ascii="Arial" w:hAnsi="Arial" w:eastAsia="Calibri" w:cs="Times New Roman"/>
                <w:color w:val="000000"/>
                <w:sz w:val="20"/>
                <w:szCs w:val="20"/>
              </w:rPr>
            </w:pPr>
            <w:r w:rsidRPr="0047416D">
              <w:rPr>
                <w:rFonts w:ascii="Arial" w:hAnsi="Arial" w:eastAsia="Calibri" w:cs="Times New Roman"/>
                <w:color w:val="000000"/>
                <w:sz w:val="20"/>
                <w:szCs w:val="20"/>
              </w:rPr>
              <w:t>241 Ralph McGill Blvd., N.E.</w:t>
            </w:r>
          </w:p>
          <w:p w:rsidRPr="0047416D" w:rsidR="0047416D" w:rsidP="0047416D" w:rsidRDefault="0047416D" w14:paraId="03914881" w14:textId="77777777">
            <w:pPr>
              <w:keepLines/>
              <w:spacing w:after="0" w:line="240" w:lineRule="auto"/>
              <w:rPr>
                <w:rFonts w:ascii="Arial" w:hAnsi="Arial" w:eastAsia="Calibri" w:cs="Times New Roman"/>
                <w:color w:val="000000"/>
                <w:sz w:val="20"/>
                <w:szCs w:val="20"/>
              </w:rPr>
            </w:pPr>
            <w:r w:rsidRPr="0047416D">
              <w:rPr>
                <w:rFonts w:ascii="Arial" w:hAnsi="Arial" w:eastAsia="Calibri" w:cs="Times New Roman"/>
                <w:color w:val="000000"/>
                <w:sz w:val="20"/>
                <w:szCs w:val="20"/>
              </w:rPr>
              <w:t>Atlanta, GA 30308</w:t>
            </w:r>
          </w:p>
        </w:tc>
      </w:tr>
      <w:tr w:rsidRPr="009D34CB" w:rsidR="0047416D" w14:paraId="2BB132D8" w14:textId="77777777">
        <w:trPr>
          <w:gridAfter w:val="1"/>
          <w:wAfter w:w="4932" w:type="dxa"/>
          <w:trHeight w:val="360"/>
        </w:trPr>
        <w:tc>
          <w:tcPr>
            <w:tcW w:w="5076" w:type="dxa"/>
            <w:vAlign w:val="center"/>
          </w:tcPr>
          <w:p w:rsidRPr="009D34CB" w:rsidR="0047416D" w:rsidP="0047416D" w:rsidRDefault="0047416D" w14:paraId="7F84FB7F" w14:textId="77777777">
            <w:pPr>
              <w:keepNext/>
              <w:keepLines/>
              <w:spacing w:after="0" w:line="240" w:lineRule="auto"/>
              <w:rPr>
                <w:rFonts w:ascii="Arial" w:hAnsi="Arial" w:cs="Arial"/>
                <w:b/>
                <w:color w:val="000000"/>
                <w:sz w:val="20"/>
                <w:szCs w:val="20"/>
              </w:rPr>
            </w:pPr>
            <w:r w:rsidRPr="0047416D">
              <w:rPr>
                <w:rFonts w:ascii="Arial" w:hAnsi="Arial" w:eastAsia="Times New Roman" w:cs="Times New Roman"/>
                <w:sz w:val="20"/>
                <w:szCs w:val="20"/>
              </w:rPr>
              <w:br/>
            </w:r>
            <w:r w:rsidRPr="009D34CB">
              <w:rPr>
                <w:rFonts w:ascii="Arial" w:hAnsi="Arial" w:cs="Arial"/>
                <w:b/>
                <w:color w:val="000000"/>
                <w:sz w:val="20"/>
                <w:szCs w:val="20"/>
              </w:rPr>
              <w:t>Notice to Guarantor:</w:t>
            </w:r>
          </w:p>
        </w:tc>
      </w:tr>
      <w:tr w:rsidRPr="009D34CB" w:rsidR="0047416D" w14:paraId="1D75C950" w14:textId="77777777">
        <w:trPr>
          <w:gridAfter w:val="1"/>
          <w:wAfter w:w="4932" w:type="dxa"/>
        </w:trPr>
        <w:tc>
          <w:tcPr>
            <w:tcW w:w="5076" w:type="dxa"/>
            <w:vAlign w:val="center"/>
          </w:tcPr>
          <w:p w:rsidRPr="0047416D" w:rsidR="0047416D" w:rsidP="0047416D" w:rsidRDefault="0047416D" w14:paraId="47F85E1D" w14:textId="77777777">
            <w:pPr>
              <w:keepNext/>
              <w:keepLines/>
              <w:spacing w:after="0" w:line="240" w:lineRule="auto"/>
              <w:rPr>
                <w:rFonts w:ascii="Arial" w:hAnsi="Arial" w:eastAsia="Calibri" w:cs="Times New Roman"/>
                <w:color w:val="000000"/>
                <w:sz w:val="20"/>
                <w:szCs w:val="20"/>
                <w:highlight w:val="yellow"/>
              </w:rPr>
            </w:pPr>
            <w:r w:rsidRPr="0047416D">
              <w:rPr>
                <w:rFonts w:ascii="Arial" w:hAnsi="Arial" w:eastAsia="Calibri" w:cs="Times New Roman"/>
                <w:color w:val="000000"/>
                <w:sz w:val="20"/>
                <w:szCs w:val="20"/>
                <w:highlight w:val="yellow"/>
              </w:rPr>
              <w:t>#CompanyName</w:t>
            </w:r>
          </w:p>
          <w:p w:rsidRPr="0047416D" w:rsidR="0047416D" w:rsidP="0047416D" w:rsidRDefault="0047416D" w14:paraId="1E3F499E" w14:textId="77777777">
            <w:pPr>
              <w:keepNext/>
              <w:keepLines/>
              <w:spacing w:after="0" w:line="240" w:lineRule="auto"/>
              <w:rPr>
                <w:rFonts w:ascii="Arial" w:hAnsi="Arial" w:eastAsia="Calibri" w:cs="Times New Roman"/>
                <w:color w:val="000000"/>
                <w:sz w:val="20"/>
                <w:szCs w:val="20"/>
                <w:highlight w:val="yellow"/>
              </w:rPr>
            </w:pPr>
            <w:r w:rsidRPr="0047416D">
              <w:rPr>
                <w:rFonts w:ascii="Arial" w:hAnsi="Arial" w:eastAsia="Calibri" w:cs="Times New Roman"/>
                <w:color w:val="000000"/>
                <w:sz w:val="20"/>
                <w:szCs w:val="20"/>
                <w:highlight w:val="yellow"/>
              </w:rPr>
              <w:t>Attn: #IndividualName</w:t>
            </w:r>
          </w:p>
          <w:p w:rsidRPr="0047416D" w:rsidR="0047416D" w:rsidP="0047416D" w:rsidRDefault="0047416D" w14:paraId="7CF7E605" w14:textId="77777777">
            <w:pPr>
              <w:keepNext/>
              <w:keepLines/>
              <w:spacing w:after="0" w:line="240" w:lineRule="auto"/>
              <w:rPr>
                <w:rFonts w:ascii="Arial" w:hAnsi="Arial" w:eastAsia="Calibri" w:cs="Times New Roman"/>
                <w:color w:val="000000"/>
                <w:sz w:val="20"/>
                <w:szCs w:val="20"/>
                <w:highlight w:val="yellow"/>
              </w:rPr>
            </w:pPr>
            <w:r w:rsidRPr="0047416D">
              <w:rPr>
                <w:rFonts w:ascii="Arial" w:hAnsi="Arial" w:eastAsia="Calibri" w:cs="Times New Roman"/>
                <w:color w:val="000000"/>
                <w:sz w:val="20"/>
                <w:szCs w:val="20"/>
                <w:highlight w:val="yellow"/>
              </w:rPr>
              <w:t>#Title</w:t>
            </w:r>
          </w:p>
          <w:p w:rsidRPr="0047416D" w:rsidR="0047416D" w:rsidP="0047416D" w:rsidRDefault="0047416D" w14:paraId="4D4053CA" w14:textId="77777777">
            <w:pPr>
              <w:keepNext/>
              <w:keepLines/>
              <w:spacing w:after="0" w:line="240" w:lineRule="auto"/>
              <w:rPr>
                <w:rFonts w:ascii="Arial" w:hAnsi="Arial" w:eastAsia="Calibri" w:cs="Times New Roman"/>
                <w:color w:val="000000"/>
                <w:sz w:val="20"/>
                <w:szCs w:val="20"/>
                <w:highlight w:val="yellow"/>
              </w:rPr>
            </w:pPr>
            <w:r w:rsidRPr="0047416D">
              <w:rPr>
                <w:rFonts w:ascii="Arial" w:hAnsi="Arial" w:eastAsia="Calibri" w:cs="Times New Roman"/>
                <w:color w:val="000000"/>
                <w:sz w:val="20"/>
                <w:szCs w:val="20"/>
                <w:highlight w:val="yellow"/>
              </w:rPr>
              <w:t>#StreetAddress</w:t>
            </w:r>
          </w:p>
          <w:p w:rsidRPr="0047416D" w:rsidR="0047416D" w:rsidP="0047416D" w:rsidRDefault="0047416D" w14:paraId="37DB3D88" w14:textId="77777777">
            <w:pPr>
              <w:keepNext/>
              <w:keepLines/>
              <w:spacing w:after="0" w:line="240" w:lineRule="auto"/>
              <w:rPr>
                <w:rFonts w:ascii="Arial" w:hAnsi="Arial" w:eastAsia="Calibri" w:cs="Times New Roman"/>
                <w:color w:val="000000"/>
                <w:sz w:val="20"/>
                <w:szCs w:val="20"/>
              </w:rPr>
            </w:pPr>
            <w:r w:rsidRPr="0047416D">
              <w:rPr>
                <w:rFonts w:ascii="Arial" w:hAnsi="Arial" w:eastAsia="Calibri" w:cs="Times New Roman"/>
                <w:color w:val="000000"/>
                <w:sz w:val="20"/>
                <w:szCs w:val="20"/>
                <w:highlight w:val="yellow"/>
              </w:rPr>
              <w:t>#City, #State #ZipCode</w:t>
            </w:r>
          </w:p>
          <w:p w:rsidRPr="0047416D" w:rsidR="0047416D" w:rsidP="0047416D" w:rsidRDefault="0047416D" w14:paraId="70D45961" w14:textId="77777777">
            <w:pPr>
              <w:keepNext/>
              <w:keepLines/>
              <w:spacing w:after="0" w:line="240" w:lineRule="auto"/>
              <w:rPr>
                <w:rFonts w:ascii="Arial" w:hAnsi="Arial" w:eastAsia="Calibri" w:cs="Times New Roman"/>
                <w:color w:val="0563C1"/>
                <w:sz w:val="20"/>
                <w:szCs w:val="20"/>
              </w:rPr>
            </w:pPr>
            <w:r w:rsidRPr="0047416D">
              <w:rPr>
                <w:rFonts w:ascii="Arial" w:hAnsi="Arial" w:eastAsia="Calibri" w:cs="Times New Roman"/>
                <w:sz w:val="20"/>
                <w:szCs w:val="20"/>
                <w:highlight w:val="yellow"/>
              </w:rPr>
              <w:t>#Email#</w:t>
            </w:r>
          </w:p>
        </w:tc>
      </w:tr>
    </w:tbl>
    <w:p w:rsidRPr="009D34CB" w:rsidR="0047416D" w:rsidP="00CA1FF0" w:rsidRDefault="0047416D" w14:paraId="4AB8CB44" w14:textId="23DF7802">
      <w:pPr>
        <w:tabs>
          <w:tab w:val="left" w:pos="540"/>
        </w:tabs>
        <w:spacing w:before="120" w:after="120" w:line="240" w:lineRule="auto"/>
        <w:jc w:val="both"/>
      </w:pPr>
      <w:r w:rsidRPr="00DC0D29">
        <w:rPr>
          <w:rFonts w:ascii="Arial" w:hAnsi="Arial" w:eastAsia="Times New Roman" w:cs="Times New Roman"/>
          <w:bCs/>
        </w:rPr>
        <w:t>4.3</w:t>
      </w:r>
      <w:r w:rsidRPr="00DC0D29">
        <w:rPr>
          <w:rFonts w:ascii="Arial" w:hAnsi="Arial" w:eastAsia="Times New Roman" w:cs="Times New Roman"/>
          <w:bCs/>
          <w:i/>
        </w:rPr>
        <w:tab/>
      </w:r>
      <w:bookmarkStart w:name="_Toc206673988" w:id="1739"/>
      <w:r w:rsidRPr="00DC0D29">
        <w:rPr>
          <w:rFonts w:ascii="Arial" w:hAnsi="Arial"/>
          <w:bCs/>
        </w:rPr>
        <w:t>Delay and Waiver</w:t>
      </w:r>
      <w:r w:rsidRPr="0047416D">
        <w:rPr>
          <w:rFonts w:ascii="Arial" w:hAnsi="Arial"/>
        </w:rPr>
        <w:t>.</w:t>
      </w:r>
      <w:bookmarkEnd w:id="1739"/>
      <w:r w:rsidRPr="0047416D">
        <w:rPr>
          <w:rFonts w:ascii="Arial" w:hAnsi="Arial"/>
        </w:rPr>
        <w:t xml:space="preserve"> </w:t>
      </w:r>
      <w:r w:rsidRPr="00CA1FF0">
        <w:rPr>
          <w:rFonts w:ascii="Arial" w:hAnsi="Arial"/>
          <w:sz w:val="20"/>
        </w:rPr>
        <w:t>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law.</w:t>
      </w:r>
    </w:p>
    <w:p w:rsidRPr="009D34CB" w:rsidR="0047416D" w:rsidP="00CA1FF0" w:rsidRDefault="0047416D" w14:paraId="2E5ADB4D" w14:textId="3AA4A153">
      <w:pPr>
        <w:tabs>
          <w:tab w:val="left" w:pos="540"/>
        </w:tabs>
        <w:autoSpaceDE w:val="0"/>
        <w:autoSpaceDN w:val="0"/>
        <w:adjustRightInd w:val="0"/>
        <w:spacing w:before="120" w:after="120" w:line="240" w:lineRule="auto"/>
        <w:jc w:val="both"/>
        <w:outlineLvl w:val="1"/>
      </w:pPr>
      <w:r w:rsidRPr="00DC0D29">
        <w:rPr>
          <w:rFonts w:ascii="Arial" w:hAnsi="Arial" w:eastAsia="Times New Roman" w:cs="Times New Roman"/>
          <w:bCs/>
        </w:rPr>
        <w:t>4.4</w:t>
      </w:r>
      <w:r w:rsidRPr="00DC0D29">
        <w:rPr>
          <w:rFonts w:ascii="Arial" w:hAnsi="Arial" w:eastAsia="Times New Roman" w:cs="Times New Roman"/>
          <w:bCs/>
          <w:i/>
        </w:rPr>
        <w:tab/>
      </w:r>
      <w:bookmarkStart w:name="_Toc206673989" w:id="1740"/>
      <w:r w:rsidRPr="00DC0D29">
        <w:rPr>
          <w:rFonts w:ascii="Arial" w:hAnsi="Arial"/>
          <w:bCs/>
        </w:rPr>
        <w:t>Expenses.</w:t>
      </w:r>
      <w:bookmarkEnd w:id="1740"/>
      <w:r w:rsidRPr="00DC0D29">
        <w:rPr>
          <w:rFonts w:ascii="Arial" w:hAnsi="Arial"/>
          <w:bCs/>
        </w:rPr>
        <w:t xml:space="preserve"> </w:t>
      </w:r>
      <w:r w:rsidRPr="00CA1FF0">
        <w:rPr>
          <w:rFonts w:ascii="Arial" w:hAnsi="Arial"/>
          <w:sz w:val="20"/>
        </w:rPr>
        <w:t>Guarantor agrees to pay or reimburse Beneficiary and any permitted assignees of Beneficiary on demand for its reasonable costs, charges, and expenses (including reasonable fees and expenses of counsel) incurred in connection with the enforcement of this Guaranty or caused by any breach by Guarantor of any of its obligations under this Guaranty, including any actions taken in any bankruptcy or insolvency proceedings, if Guarantor is required to pay under this Guaranty.</w:t>
      </w:r>
    </w:p>
    <w:p w:rsidRPr="009D34CB" w:rsidR="0047416D" w:rsidP="00CA1FF0" w:rsidRDefault="0047416D" w14:paraId="6E9BEC84" w14:textId="7A6BC94D">
      <w:pPr>
        <w:tabs>
          <w:tab w:val="left" w:pos="540"/>
        </w:tabs>
        <w:autoSpaceDE w:val="0"/>
        <w:autoSpaceDN w:val="0"/>
        <w:adjustRightInd w:val="0"/>
        <w:spacing w:before="120" w:after="120" w:line="240" w:lineRule="auto"/>
        <w:jc w:val="both"/>
        <w:outlineLvl w:val="1"/>
      </w:pPr>
      <w:r w:rsidRPr="00DC0D29">
        <w:rPr>
          <w:rFonts w:ascii="Arial" w:hAnsi="Arial" w:eastAsia="Times New Roman" w:cs="Times New Roman"/>
          <w:bCs/>
        </w:rPr>
        <w:t>4.5</w:t>
      </w:r>
      <w:r w:rsidRPr="00DC0D29">
        <w:rPr>
          <w:rFonts w:ascii="Arial" w:hAnsi="Arial" w:eastAsia="Times New Roman" w:cs="Times New Roman"/>
          <w:bCs/>
          <w:i/>
        </w:rPr>
        <w:tab/>
      </w:r>
      <w:bookmarkStart w:name="_Toc206673990" w:id="1741"/>
      <w:r w:rsidRPr="00DC0D29">
        <w:rPr>
          <w:rFonts w:ascii="Arial" w:hAnsi="Arial"/>
          <w:bCs/>
        </w:rPr>
        <w:t>Entire Agreement; Amendments; Other Guarantees.</w:t>
      </w:r>
      <w:bookmarkEnd w:id="1741"/>
      <w:r w:rsidRPr="00DC0D29">
        <w:rPr>
          <w:rFonts w:ascii="Arial" w:hAnsi="Arial"/>
          <w:bCs/>
        </w:rPr>
        <w:t xml:space="preserve"> </w:t>
      </w:r>
      <w:r w:rsidRPr="00CA1FF0">
        <w:rPr>
          <w:rFonts w:ascii="Arial" w:hAnsi="Arial"/>
          <w:sz w:val="20"/>
        </w:rPr>
        <w:t>This Guaranty and any agreement, document, or instrument attached to this Guaranty or referred to in this Guaranty integrate all the terms and conditions 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Guarantor and Beneficiary and any permitted assignees of Beneficiary. Without limiting the preceding in this Section 4.5 (</w:t>
      </w:r>
      <w:r w:rsidRPr="00CA1FF0">
        <w:rPr>
          <w:rFonts w:ascii="Arial" w:hAnsi="Arial"/>
          <w:i/>
          <w:sz w:val="20"/>
        </w:rPr>
        <w:t>Entire Agreement; Amendments; Other Guarantees</w:t>
      </w:r>
      <w:r w:rsidRPr="00CA1FF0">
        <w:rPr>
          <w:rFonts w:ascii="Arial" w:hAnsi="Arial"/>
          <w:sz w:val="20"/>
        </w:rPr>
        <w:t xml:space="preserve">): (i)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 </w:t>
      </w:r>
      <w:r w:rsidRPr="00CA1FF0">
        <w:rPr>
          <w:rFonts w:ascii="Arial" w:hAnsi="Arial"/>
          <w:sz w:val="20"/>
        </w:rPr>
        <w:lastRenderedPageBreak/>
        <w:t>Beneficiary’s rights and remedies under this Guaranty are in addition to and cumulative with those under any other guaranty executed by Guarantor in favor of Beneficiary or any affiliate of Beneficiary on or about the Effective Date or at any other time.</w:t>
      </w:r>
    </w:p>
    <w:p w:rsidRPr="009D34CB" w:rsidR="0047416D" w:rsidP="00CA1FF0" w:rsidRDefault="0047416D" w14:paraId="6ECD7218" w14:textId="18BFE0F0">
      <w:pPr>
        <w:tabs>
          <w:tab w:val="left" w:pos="540"/>
        </w:tabs>
        <w:autoSpaceDE w:val="0"/>
        <w:autoSpaceDN w:val="0"/>
        <w:adjustRightInd w:val="0"/>
        <w:spacing w:before="120" w:after="120" w:line="240" w:lineRule="auto"/>
        <w:jc w:val="both"/>
        <w:outlineLvl w:val="1"/>
      </w:pPr>
      <w:r w:rsidRPr="009D34CB">
        <w:rPr>
          <w:rFonts w:ascii="Arial" w:hAnsi="Arial" w:eastAsia="Times New Roman"/>
        </w:rPr>
        <w:t>4.6</w:t>
      </w:r>
      <w:r w:rsidRPr="00DC0D29">
        <w:rPr>
          <w:rFonts w:ascii="Arial" w:hAnsi="Arial" w:eastAsia="Times New Roman" w:cs="Times New Roman"/>
          <w:i/>
        </w:rPr>
        <w:tab/>
      </w:r>
      <w:bookmarkStart w:name="_Toc206673991" w:id="1742"/>
      <w:r w:rsidRPr="00DC0D29">
        <w:rPr>
          <w:rFonts w:ascii="Arial" w:hAnsi="Arial"/>
        </w:rPr>
        <w:t>Headings</w:t>
      </w:r>
      <w:r w:rsidRPr="0047416D">
        <w:rPr>
          <w:rFonts w:ascii="Arial" w:hAnsi="Arial"/>
        </w:rPr>
        <w:t>.</w:t>
      </w:r>
      <w:bookmarkEnd w:id="1742"/>
      <w:r w:rsidRPr="00CA1FF0">
        <w:rPr>
          <w:rFonts w:ascii="Arial" w:hAnsi="Arial"/>
          <w:sz w:val="20"/>
        </w:rPr>
        <w:t xml:space="preserve"> The headings of the various Sections of this Guaranty are for convenience of reference only and will not modify, define, or limit any of the terms or provisions in this Guaranty.</w:t>
      </w:r>
    </w:p>
    <w:p w:rsidRPr="009D34CB" w:rsidR="0047416D" w:rsidP="00CA1FF0" w:rsidRDefault="0047416D" w14:paraId="5A9F0385" w14:textId="77777777">
      <w:pPr>
        <w:tabs>
          <w:tab w:val="left" w:pos="540"/>
        </w:tabs>
        <w:autoSpaceDE w:val="0"/>
        <w:autoSpaceDN w:val="0"/>
        <w:adjustRightInd w:val="0"/>
        <w:spacing w:before="120" w:after="120" w:line="240" w:lineRule="auto"/>
        <w:jc w:val="both"/>
        <w:outlineLvl w:val="1"/>
        <w:rPr>
          <w:rFonts w:ascii="Arial" w:hAnsi="Arial"/>
        </w:rPr>
      </w:pPr>
      <w:r w:rsidRPr="0047416D">
        <w:rPr>
          <w:rFonts w:ascii="Arial" w:hAnsi="Arial" w:eastAsia="Times New Roman" w:cs="Times New Roman"/>
          <w:b/>
          <w:sz w:val="20"/>
          <w:szCs w:val="20"/>
        </w:rPr>
        <w:t>4.7</w:t>
      </w:r>
      <w:r w:rsidRPr="0047416D">
        <w:rPr>
          <w:rFonts w:ascii="Arial" w:hAnsi="Arial" w:eastAsia="Times New Roman" w:cs="Times New Roman"/>
          <w:i/>
          <w:sz w:val="20"/>
          <w:szCs w:val="20"/>
        </w:rPr>
        <w:tab/>
      </w:r>
      <w:bookmarkStart w:name="_Toc206673992" w:id="1743"/>
      <w:r w:rsidRPr="00CA1FF0">
        <w:rPr>
          <w:rFonts w:ascii="Arial" w:hAnsi="Arial"/>
          <w:b/>
          <w:sz w:val="20"/>
        </w:rPr>
        <w:t>Governing Law; Consent to Jurisdiction.</w:t>
      </w:r>
      <w:bookmarkEnd w:id="1743"/>
      <w:r w:rsidRPr="00CA1FF0">
        <w:rPr>
          <w:rFonts w:ascii="Arial" w:hAnsi="Arial"/>
          <w:sz w:val="20"/>
        </w:rPr>
        <w:t xml:space="preserve"> </w:t>
      </w:r>
    </w:p>
    <w:p w:rsidRPr="009D34CB" w:rsidR="0047416D" w:rsidP="00CA1FF0" w:rsidRDefault="0047416D" w14:paraId="2156E873" w14:textId="77777777">
      <w:pPr>
        <w:tabs>
          <w:tab w:val="left" w:pos="2250"/>
        </w:tabs>
        <w:autoSpaceDE w:val="0"/>
        <w:autoSpaceDN w:val="0"/>
        <w:adjustRightInd w:val="0"/>
        <w:spacing w:before="120" w:after="120" w:line="240" w:lineRule="auto"/>
        <w:ind w:left="270"/>
        <w:jc w:val="both"/>
        <w:outlineLvl w:val="1"/>
      </w:pPr>
      <w:r w:rsidRPr="0047416D">
        <w:rPr>
          <w:rFonts w:ascii="Arial" w:hAnsi="Arial" w:eastAsia="Times New Roman" w:cs="Times New Roman"/>
          <w:b/>
          <w:sz w:val="20"/>
          <w:szCs w:val="20"/>
        </w:rPr>
        <w:t>4.7.1.</w:t>
      </w:r>
      <w:r w:rsidRPr="00CA1FF0">
        <w:rPr>
          <w:rFonts w:ascii="Arial" w:hAnsi="Arial"/>
          <w:b/>
          <w:sz w:val="20"/>
        </w:rPr>
        <w:t xml:space="preserve"> Governing Law. </w:t>
      </w:r>
      <w:r w:rsidRPr="00CA1FF0">
        <w:rPr>
          <w:rFonts w:ascii="Arial" w:hAnsi="Arial"/>
          <w:sz w:val="20"/>
        </w:rPr>
        <w:t>This Guaranty will be construed and interpreted, and the rights of the parties determined, in accordance with the laws of the state of Georgia, without giving effect to principles of conflicts of law that would require the application of the laws of another jurisdiction.</w:t>
      </w:r>
    </w:p>
    <w:p w:rsidRPr="009D34CB" w:rsidR="0047416D" w:rsidP="00CA1FF0" w:rsidRDefault="0047416D" w14:paraId="1E20432B" w14:textId="6BAC7161">
      <w:pPr>
        <w:tabs>
          <w:tab w:val="left" w:pos="2160"/>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4.7.2.</w:t>
      </w:r>
      <w:r w:rsidRPr="00CA1FF0">
        <w:rPr>
          <w:rFonts w:ascii="Arial" w:hAnsi="Arial"/>
          <w:sz w:val="20"/>
        </w:rPr>
        <w:t xml:space="preserve"> </w:t>
      </w:r>
      <w:r w:rsidRPr="00CA1FF0">
        <w:rPr>
          <w:rFonts w:ascii="Arial" w:hAnsi="Arial"/>
          <w:b/>
          <w:sz w:val="20"/>
        </w:rPr>
        <w:t xml:space="preserve">Consent to Jurisdiction. </w:t>
      </w:r>
      <w:r w:rsidRPr="009159D1" w:rsidR="00235099">
        <w:rPr>
          <w:rFonts w:ascii="Arial" w:hAnsi="Arial"/>
          <w:b/>
          <w:sz w:val="20"/>
          <w:u w:val="single"/>
        </w:rPr>
        <w:t xml:space="preserve">Guarantor irrevocably and unconditionally: (i) agrees that </w:t>
      </w:r>
      <w:r w:rsidRPr="00D22EF6" w:rsidR="00235099">
        <w:rPr>
          <w:rFonts w:ascii="Arial" w:hAnsi="Arial" w:eastAsia="Times New Roman" w:cs="Times New Roman"/>
          <w:b/>
          <w:bCs/>
          <w:sz w:val="20"/>
          <w:szCs w:val="20"/>
          <w:u w:val="single"/>
        </w:rPr>
        <w:t xml:space="preserve">any </w:t>
      </w:r>
      <w:r w:rsidRPr="009159D1" w:rsidR="00235099">
        <w:rPr>
          <w:rFonts w:ascii="Arial" w:hAnsi="Arial"/>
          <w:b/>
          <w:sz w:val="20"/>
          <w:u w:val="single"/>
        </w:rPr>
        <w:t xml:space="preserve">suit, action, or other legal proceeding arising out of this Guaranty </w:t>
      </w:r>
      <w:r w:rsidRPr="00D22EF6" w:rsidR="00235099">
        <w:rPr>
          <w:rFonts w:ascii="Arial" w:hAnsi="Arial" w:eastAsia="Times New Roman" w:cs="Times New Roman"/>
          <w:b/>
          <w:bCs/>
          <w:sz w:val="20"/>
          <w:szCs w:val="20"/>
          <w:u w:val="single"/>
        </w:rPr>
        <w:t>must</w:t>
      </w:r>
      <w:r w:rsidRPr="009159D1" w:rsidR="00235099">
        <w:rPr>
          <w:rFonts w:ascii="Arial" w:hAnsi="Arial"/>
          <w:b/>
          <w:sz w:val="20"/>
          <w:u w:val="single"/>
        </w:rPr>
        <w:t xml:space="preserve"> be brought in </w:t>
      </w:r>
      <w:r w:rsidRPr="00D22EF6" w:rsidR="00235099">
        <w:rPr>
          <w:rFonts w:ascii="Arial" w:hAnsi="Arial" w:eastAsia="Times New Roman" w:cs="Times New Roman"/>
          <w:b/>
          <w:bCs/>
          <w:sz w:val="20"/>
          <w:szCs w:val="20"/>
          <w:u w:val="single"/>
        </w:rPr>
        <w:t>federal or state court located in the state</w:t>
      </w:r>
      <w:r w:rsidRPr="009159D1" w:rsidR="00235099">
        <w:rPr>
          <w:rFonts w:ascii="Arial" w:hAnsi="Arial"/>
          <w:b/>
          <w:sz w:val="20"/>
          <w:u w:val="single"/>
        </w:rPr>
        <w:t xml:space="preserve"> of Georgia; (ii) </w:t>
      </w:r>
      <w:r w:rsidRPr="00D22EF6" w:rsidR="00235099">
        <w:rPr>
          <w:rFonts w:ascii="Arial" w:hAnsi="Arial" w:eastAsia="Times New Roman" w:cs="Times New Roman"/>
          <w:b/>
          <w:bCs/>
          <w:sz w:val="20"/>
          <w:szCs w:val="20"/>
          <w:u w:val="single"/>
        </w:rPr>
        <w:t>submits</w:t>
      </w:r>
      <w:r w:rsidRPr="009159D1" w:rsidR="00235099">
        <w:rPr>
          <w:rFonts w:ascii="Arial" w:hAnsi="Arial"/>
          <w:b/>
          <w:sz w:val="20"/>
          <w:u w:val="single"/>
        </w:rPr>
        <w:t xml:space="preserve"> to the </w:t>
      </w:r>
      <w:r w:rsidRPr="00D22EF6" w:rsidR="00235099">
        <w:rPr>
          <w:rFonts w:ascii="Arial" w:hAnsi="Arial" w:eastAsia="Times New Roman" w:cs="Times New Roman"/>
          <w:b/>
          <w:bCs/>
          <w:sz w:val="20"/>
          <w:szCs w:val="20"/>
          <w:u w:val="single"/>
        </w:rPr>
        <w:t xml:space="preserve">exclusive </w:t>
      </w:r>
      <w:r w:rsidRPr="009159D1" w:rsidR="00235099">
        <w:rPr>
          <w:rFonts w:ascii="Arial" w:hAnsi="Arial"/>
          <w:b/>
          <w:sz w:val="20"/>
          <w:u w:val="single"/>
        </w:rPr>
        <w:t xml:space="preserve">jurisdiction of those courts </w:t>
      </w:r>
      <w:r w:rsidRPr="00D22EF6" w:rsidR="00235099">
        <w:rPr>
          <w:rFonts w:ascii="Arial" w:hAnsi="Arial" w:eastAsia="Times New Roman" w:cs="Times New Roman"/>
          <w:b/>
          <w:bCs/>
          <w:sz w:val="20"/>
          <w:szCs w:val="20"/>
          <w:u w:val="single"/>
        </w:rPr>
        <w:t>for any such suit</w:t>
      </w:r>
      <w:r w:rsidRPr="009159D1" w:rsidR="00235099">
        <w:rPr>
          <w:rFonts w:ascii="Arial" w:hAnsi="Arial"/>
          <w:b/>
          <w:sz w:val="20"/>
          <w:u w:val="single"/>
        </w:rPr>
        <w:t xml:space="preserve">, action, or proceeding; and (iii) waives any objection </w:t>
      </w:r>
      <w:r w:rsidRPr="00D22EF6" w:rsidR="00235099">
        <w:rPr>
          <w:rFonts w:ascii="Arial" w:hAnsi="Arial" w:eastAsia="Times New Roman" w:cs="Times New Roman"/>
          <w:b/>
          <w:bCs/>
          <w:sz w:val="20"/>
          <w:szCs w:val="20"/>
          <w:u w:val="single"/>
        </w:rPr>
        <w:t xml:space="preserve">to venue in those courts and any claim </w:t>
      </w:r>
      <w:r w:rsidRPr="009159D1" w:rsidR="00235099">
        <w:rPr>
          <w:rFonts w:ascii="Arial" w:hAnsi="Arial"/>
          <w:b/>
          <w:sz w:val="20"/>
          <w:u w:val="single"/>
        </w:rPr>
        <w:t xml:space="preserve">that the suit, action, or proceeding </w:t>
      </w:r>
      <w:r w:rsidRPr="00D22EF6" w:rsidR="00235099">
        <w:rPr>
          <w:rFonts w:ascii="Arial" w:hAnsi="Arial" w:eastAsia="Times New Roman" w:cs="Times New Roman"/>
          <w:b/>
          <w:bCs/>
          <w:sz w:val="20"/>
          <w:szCs w:val="20"/>
          <w:u w:val="single"/>
        </w:rPr>
        <w:t>has been brought in an inconvenient forum</w:t>
      </w:r>
      <w:r w:rsidR="00235099">
        <w:rPr>
          <w:rFonts w:ascii="Arial" w:hAnsi="Arial" w:eastAsia="Times New Roman" w:cs="Times New Roman"/>
          <w:b/>
          <w:bCs/>
          <w:sz w:val="20"/>
          <w:szCs w:val="20"/>
          <w:u w:val="single"/>
        </w:rPr>
        <w:t xml:space="preserve">. </w:t>
      </w:r>
      <w:r w:rsidRPr="00CA1FF0">
        <w:rPr>
          <w:rFonts w:ascii="Arial" w:hAnsi="Arial"/>
          <w:sz w:val="20"/>
          <w:highlight w:val="yellow"/>
        </w:rPr>
        <w:t>[</w:t>
      </w:r>
      <w:r w:rsidRPr="00CA1FF0">
        <w:rPr>
          <w:rFonts w:ascii="Arial" w:hAnsi="Arial"/>
          <w:b/>
          <w:sz w:val="20"/>
          <w:highlight w:val="yellow"/>
        </w:rPr>
        <w:t>Applicable Only to Foreign Guarantor:</w:t>
      </w:r>
      <w:r w:rsidRPr="00CA1FF0">
        <w:rPr>
          <w:rFonts w:ascii="Arial" w:hAnsi="Arial"/>
          <w:sz w:val="20"/>
          <w:highlight w:val="yellow"/>
        </w:rPr>
        <w:t xml:space="preserve"> Guarantor and Beneficiary further agree that a final judgment in any action or proceeding arising out of or relating to this Guaranty will be conclusive and may be enforced in any other jurisdiction within or outside the Untied States by suit on the judgment, a certified or exemplified copy of which will be conclusive evidence of the fact and the amount of indebtedness or liability therein described, or in any other manner provided by applicable law.]</w:t>
      </w:r>
    </w:p>
    <w:p w:rsidRPr="009D34CB" w:rsidR="0047416D" w:rsidP="00CA1FF0" w:rsidRDefault="0047416D" w14:paraId="56BD95B9" w14:textId="77777777">
      <w:pPr>
        <w:tabs>
          <w:tab w:val="left" w:pos="2160"/>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4.7.3.</w:t>
      </w:r>
      <w:r w:rsidRPr="00CA1FF0">
        <w:rPr>
          <w:rFonts w:ascii="Arial" w:hAnsi="Arial"/>
          <w:b/>
          <w:sz w:val="20"/>
        </w:rPr>
        <w:t xml:space="preserve"> </w:t>
      </w:r>
      <w:r w:rsidRPr="00CA1FF0">
        <w:rPr>
          <w:rFonts w:ascii="Arial" w:hAnsi="Arial"/>
          <w:b/>
          <w:sz w:val="20"/>
          <w:highlight w:val="yellow"/>
        </w:rPr>
        <w:t>[Applicable Only to Foreign Guarantor: Guarantor’s Process Agent.</w:t>
      </w:r>
      <w:r w:rsidRPr="00CA1FF0">
        <w:rPr>
          <w:rFonts w:ascii="Arial" w:hAnsi="Arial"/>
          <w:sz w:val="20"/>
          <w:highlight w:val="yellow"/>
        </w:rPr>
        <w:t xml:space="preserve"> Guarantor irrevocably designates, appoints and empowers [_________________________________________ Georgia, ____ United States of America] as its authorized agent to receive on its behalf and on behalf of its property service of copies of the summons and complaint and any other process which may be served in any action or proceeding between Beneficiary and Guarantor arising out of or relating to this Guaranty. The service may be made by mailing or delivering a copy of the process in care of the process agent, and Guarantor irrevocably authorizes and directs its designated process agent to accept the service on its behalf. Guarantor further agrees that failure by a process agent appointed in accordance with this section to notify Guarantor of the process will not invalidate the process or service or the proceeding concerned. Despite the preceding sentences, nothing in this Guaranty will affect the rights of either party to serve process in any other manner permitted by applicable law. Guarantor will maintain the process agent, or any other Person located within the State of Georgia as may be acceptable to Beneficiary, as its agent for service of process in the State of Georgia during the duration of this Guaranty and twelve months after, at Guarantor’s sole cost and expense. If for any reason, the appointed process agent is no longer acting as process agent, Guarantor must promptly (and in any event within seven Days)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in this Section 4.7.3, Beneficiary may appoint the replacement process agent on behalf of Guarantor, at Guarantor’s sole cost and expense.]</w:t>
      </w:r>
    </w:p>
    <w:p w:rsidRPr="009D34CB" w:rsidR="0047416D" w:rsidP="00CA1FF0" w:rsidRDefault="0047416D" w14:paraId="4225B086" w14:textId="77777777">
      <w:pPr>
        <w:tabs>
          <w:tab w:val="left" w:pos="2160"/>
        </w:tabs>
        <w:autoSpaceDE w:val="0"/>
        <w:autoSpaceDN w:val="0"/>
        <w:adjustRightInd w:val="0"/>
        <w:spacing w:after="0" w:line="240" w:lineRule="auto"/>
        <w:ind w:left="274"/>
        <w:jc w:val="both"/>
        <w:outlineLvl w:val="5"/>
      </w:pPr>
      <w:r w:rsidRPr="0047416D">
        <w:rPr>
          <w:rFonts w:ascii="Arial" w:hAnsi="Arial" w:eastAsia="Times New Roman" w:cs="Times New Roman"/>
          <w:b/>
          <w:bCs/>
          <w:sz w:val="20"/>
          <w:szCs w:val="20"/>
        </w:rPr>
        <w:t>4.7.4</w:t>
      </w:r>
      <w:r w:rsidRPr="00CA1FF0">
        <w:rPr>
          <w:rFonts w:ascii="Arial" w:hAnsi="Arial"/>
          <w:b/>
          <w:sz w:val="20"/>
        </w:rPr>
        <w:t xml:space="preserve"> </w:t>
      </w:r>
      <w:r w:rsidRPr="00CA1FF0">
        <w:rPr>
          <w:rFonts w:ascii="Arial" w:hAnsi="Arial"/>
          <w:b/>
          <w:sz w:val="20"/>
          <w:highlight w:val="yellow"/>
        </w:rPr>
        <w:t>[Applicable Only to Foreign Guarantor: Payment in U.S. Dollars; Judgement Currency.</w:t>
      </w:r>
      <w:r w:rsidRPr="00CA1FF0">
        <w:rPr>
          <w:rFonts w:ascii="Arial" w:hAnsi="Arial"/>
          <w:sz w:val="20"/>
          <w:highlight w:val="yellow"/>
        </w:rPr>
        <w:t xml:space="preserve"> This Guaranty is made by the Guarantor regarding a transaction in which the specification of payment in United States Dollars (“</w:t>
      </w:r>
      <w:r w:rsidRPr="00CA1FF0">
        <w:rPr>
          <w:rFonts w:ascii="Arial" w:hAnsi="Arial"/>
          <w:b/>
          <w:sz w:val="20"/>
          <w:highlight w:val="yellow"/>
        </w:rPr>
        <w:t>Dollars</w:t>
      </w:r>
      <w:r w:rsidRPr="00CA1FF0">
        <w:rPr>
          <w:rFonts w:ascii="Arial" w:hAnsi="Arial"/>
          <w:sz w:val="20"/>
          <w:highlight w:val="yellow"/>
        </w:rPr>
        <w:t>”) and payment at the designated place of payment is of the essence, and Dollars will be the currency of accounting in all events. The payment obligations of the Guarantor under this Guaranty will not be discharged by any amount paid in another currency or in another place, whether in accordance with a judgment or otherwise, to the extent that any amount paid on conversion to Dollars and transferred to the designated place of payment under normal banking procedures does not yield the amount of Dollars due under this Guaranty.]</w:t>
      </w:r>
    </w:p>
    <w:p w:rsidRPr="009D34CB" w:rsidR="0047416D" w:rsidP="00CA1FF0" w:rsidRDefault="0047416D" w14:paraId="3AF1E81C" w14:textId="77777777">
      <w:pPr>
        <w:tabs>
          <w:tab w:val="left" w:pos="2160"/>
        </w:tabs>
        <w:autoSpaceDE w:val="0"/>
        <w:autoSpaceDN w:val="0"/>
        <w:adjustRightInd w:val="0"/>
        <w:spacing w:before="120" w:after="0" w:line="240" w:lineRule="auto"/>
        <w:ind w:left="274"/>
        <w:jc w:val="both"/>
        <w:outlineLvl w:val="5"/>
        <w:rPr>
          <w:highlight w:val="yellow"/>
        </w:rPr>
      </w:pPr>
      <w:r w:rsidRPr="0047416D">
        <w:rPr>
          <w:rFonts w:ascii="Arial" w:hAnsi="Arial" w:eastAsia="Times New Roman" w:cs="Times New Roman"/>
          <w:b/>
          <w:bCs/>
          <w:sz w:val="20"/>
          <w:szCs w:val="20"/>
        </w:rPr>
        <w:t>4.7.5</w:t>
      </w:r>
      <w:r w:rsidRPr="00CA1FF0">
        <w:rPr>
          <w:rFonts w:ascii="Arial" w:hAnsi="Arial"/>
          <w:b/>
          <w:sz w:val="20"/>
        </w:rPr>
        <w:t xml:space="preserve"> </w:t>
      </w:r>
      <w:r w:rsidRPr="00CA1FF0">
        <w:rPr>
          <w:rFonts w:ascii="Arial" w:hAnsi="Arial"/>
          <w:b/>
          <w:sz w:val="20"/>
          <w:highlight w:val="yellow"/>
        </w:rPr>
        <w:t>[Applicable Only to Foreign Guarantor:</w:t>
      </w:r>
      <w:r w:rsidRPr="00CA1FF0">
        <w:rPr>
          <w:rFonts w:ascii="Arial" w:hAnsi="Arial"/>
          <w:sz w:val="20"/>
          <w:highlight w:val="yellow"/>
        </w:rPr>
        <w:t xml:space="preserve"> </w:t>
      </w:r>
      <w:r w:rsidRPr="00CA1FF0">
        <w:rPr>
          <w:rFonts w:ascii="Arial" w:hAnsi="Arial"/>
          <w:b/>
          <w:sz w:val="20"/>
          <w:highlight w:val="yellow"/>
        </w:rPr>
        <w:t>Withholding Taxes.</w:t>
      </w:r>
      <w:r w:rsidRPr="00CA1FF0">
        <w:rPr>
          <w:rFonts w:ascii="Arial" w:hAnsi="Arial"/>
          <w:sz w:val="20"/>
          <w:highlight w:val="yellow"/>
        </w:rPr>
        <w:t xml:space="preserve"> </w:t>
      </w:r>
    </w:p>
    <w:p w:rsidRPr="009D34CB" w:rsidR="0047416D" w:rsidP="00CA1FF0" w:rsidRDefault="0047416D" w14:paraId="6D62556F" w14:textId="77777777">
      <w:pPr>
        <w:autoSpaceDE w:val="0"/>
        <w:autoSpaceDN w:val="0"/>
        <w:adjustRightInd w:val="0"/>
        <w:spacing w:before="120" w:after="0" w:line="240" w:lineRule="auto"/>
        <w:ind w:left="1170" w:hanging="364"/>
        <w:jc w:val="both"/>
        <w:outlineLvl w:val="5"/>
        <w:rPr>
          <w:rFonts w:cs="Arial"/>
          <w:highlight w:val="yellow"/>
        </w:rPr>
      </w:pPr>
      <w:r w:rsidRPr="0047416D">
        <w:rPr>
          <w:rFonts w:ascii="Arial" w:hAnsi="Arial" w:eastAsia="Times New Roman" w:cs="Times New Roman"/>
          <w:b/>
          <w:bCs/>
          <w:sz w:val="20"/>
          <w:szCs w:val="20"/>
          <w:highlight w:val="yellow"/>
        </w:rPr>
        <w:t>a.</w:t>
      </w:r>
      <w:r w:rsidRPr="0047416D">
        <w:rPr>
          <w:rFonts w:ascii="Arial" w:hAnsi="Arial" w:eastAsia="Times New Roman" w:cs="Times New Roman"/>
          <w:sz w:val="20"/>
          <w:szCs w:val="20"/>
          <w:highlight w:val="yellow"/>
        </w:rPr>
        <w:t xml:space="preserve"> </w:t>
      </w:r>
      <w:r w:rsidRPr="0047416D">
        <w:rPr>
          <w:rFonts w:ascii="Arial" w:hAnsi="Arial" w:eastAsia="Times New Roman" w:cs="Times New Roman"/>
          <w:sz w:val="20"/>
          <w:szCs w:val="20"/>
          <w:highlight w:val="yellow"/>
        </w:rPr>
        <w:tab/>
      </w:r>
      <w:r w:rsidRPr="00CA1FF0">
        <w:rPr>
          <w:rFonts w:ascii="Arial" w:hAnsi="Arial"/>
          <w:sz w:val="20"/>
          <w:highlight w:val="yellow"/>
        </w:rPr>
        <w:t xml:space="preserve">Each payment by Guarantor to Beneficiary in accordance with this Guaranty must be made free and clear of, and without deduction or withholding for or on Beneficiary of, any present or </w:t>
      </w:r>
      <w:r w:rsidRPr="00CA1FF0">
        <w:rPr>
          <w:rFonts w:ascii="Arial" w:hAnsi="Arial"/>
          <w:sz w:val="20"/>
          <w:highlight w:val="yellow"/>
        </w:rPr>
        <w:lastRenderedPageBreak/>
        <w:t>future taxes, duties, assessments, fees, deductions, withholding, levies, imposts, or charges of whatsoever nature (other than taxes imposed on income or gross revenue), together with any liabilities (including penalties, interest and expenses) in regarding the preceding imposed or levied by or on behalf of the government of any jurisdiction(s) in which the Guarantor is organized, headquartered, or conducting business, or any political subdivision of the government or any authority or agency of the government having the power to tax (“</w:t>
      </w:r>
      <w:r w:rsidRPr="00CA1FF0">
        <w:rPr>
          <w:rFonts w:ascii="Arial" w:hAnsi="Arial"/>
          <w:b/>
          <w:sz w:val="20"/>
          <w:highlight w:val="yellow"/>
        </w:rPr>
        <w:t>Withholding Taxes</w:t>
      </w:r>
      <w:r w:rsidRPr="00CA1FF0">
        <w:rPr>
          <w:rFonts w:ascii="Arial" w:hAnsi="Arial"/>
          <w:sz w:val="20"/>
          <w:highlight w:val="yellow"/>
        </w:rPr>
        <w:t>”), unless the deduction or withholding is required by the laws of any jurisdiction(s) in which the Guarantor is organized, headquartered, or conducting business, or any province or political subdivision of the jurisdiction(s) or by the administrative practice of any taxing authority. If any such deduction or withholding is required, or if no such deduction or withholding is required but Withholding Taxes are otherwise payable concerning the payment, Guarantor must:</w:t>
      </w:r>
    </w:p>
    <w:p w:rsidRPr="009D34CB" w:rsidR="0047416D" w:rsidP="00CA1FF0" w:rsidRDefault="0047416D" w14:paraId="7074664D" w14:textId="77777777">
      <w:pPr>
        <w:autoSpaceDE w:val="0"/>
        <w:autoSpaceDN w:val="0"/>
        <w:adjustRightInd w:val="0"/>
        <w:spacing w:before="120" w:after="0" w:line="240" w:lineRule="auto"/>
        <w:ind w:left="1440" w:hanging="274"/>
        <w:jc w:val="both"/>
        <w:outlineLvl w:val="5"/>
        <w:rPr>
          <w:rFonts w:cs="Arial"/>
          <w:highlight w:val="yellow"/>
        </w:rPr>
      </w:pPr>
      <w:r w:rsidRPr="0047416D">
        <w:rPr>
          <w:rFonts w:ascii="Arial" w:hAnsi="Arial" w:eastAsia="Times New Roman" w:cs="Times New Roman"/>
          <w:sz w:val="20"/>
          <w:szCs w:val="20"/>
          <w:highlight w:val="yellow"/>
        </w:rPr>
        <w:t xml:space="preserve">i.  </w:t>
      </w:r>
      <w:r w:rsidRPr="00CA1FF0">
        <w:rPr>
          <w:rFonts w:ascii="Arial" w:hAnsi="Arial"/>
          <w:sz w:val="20"/>
          <w:highlight w:val="yellow"/>
        </w:rPr>
        <w:t>Pay any additional amount to Beneficiary as may be necessary to ensure that Beneficiary receives and retains a net sum after such deduction, withholding, or payment of Withholding Taxes (including any deduction, withholding, or payment of Withholding Taxes regarding the additional amount), free from any liability regrading the Withholding Taxes, equal to the sum that Beneficiary would have received and retained had no such deduction or withholding of Withholding Taxes been made or required to be made and had no such Withholding Taxes been payable;</w:t>
      </w:r>
    </w:p>
    <w:p w:rsidRPr="009D34CB" w:rsidR="0047416D" w:rsidP="00CA1FF0" w:rsidRDefault="0047416D" w14:paraId="3C85963A" w14:textId="77777777">
      <w:pPr>
        <w:autoSpaceDE w:val="0"/>
        <w:autoSpaceDN w:val="0"/>
        <w:adjustRightInd w:val="0"/>
        <w:spacing w:before="120" w:after="0" w:line="240" w:lineRule="auto"/>
        <w:ind w:left="1440" w:hanging="274"/>
        <w:jc w:val="both"/>
        <w:outlineLvl w:val="5"/>
        <w:rPr>
          <w:rFonts w:cs="Arial"/>
          <w:highlight w:val="yellow"/>
        </w:rPr>
      </w:pPr>
      <w:r w:rsidRPr="0047416D">
        <w:rPr>
          <w:rFonts w:ascii="Arial" w:hAnsi="Arial" w:eastAsia="Times New Roman" w:cs="Times New Roman"/>
          <w:sz w:val="20"/>
          <w:szCs w:val="20"/>
          <w:highlight w:val="yellow"/>
        </w:rPr>
        <w:t>ii.</w:t>
      </w:r>
      <w:r w:rsidRPr="0047416D">
        <w:rPr>
          <w:rFonts w:ascii="Arial" w:hAnsi="Arial" w:eastAsia="Times New Roman" w:cs="Times New Roman"/>
          <w:sz w:val="20"/>
          <w:szCs w:val="20"/>
          <w:highlight w:val="yellow"/>
        </w:rPr>
        <w:tab/>
      </w:r>
      <w:r w:rsidRPr="00CA1FF0">
        <w:rPr>
          <w:rFonts w:ascii="Arial" w:hAnsi="Arial"/>
          <w:sz w:val="20"/>
          <w:highlight w:val="yellow"/>
        </w:rPr>
        <w:t>Deduct the Withholding Taxes from the payment:</w:t>
      </w:r>
    </w:p>
    <w:p w:rsidRPr="009D34CB" w:rsidR="0047416D" w:rsidP="00CA1FF0" w:rsidRDefault="0047416D" w14:paraId="6BE10B74" w14:textId="77777777">
      <w:pPr>
        <w:autoSpaceDE w:val="0"/>
        <w:autoSpaceDN w:val="0"/>
        <w:adjustRightInd w:val="0"/>
        <w:spacing w:before="120" w:after="0" w:line="240" w:lineRule="auto"/>
        <w:ind w:left="1440" w:hanging="274"/>
        <w:jc w:val="both"/>
        <w:outlineLvl w:val="5"/>
        <w:rPr>
          <w:rFonts w:cs="Arial"/>
          <w:highlight w:val="yellow"/>
        </w:rPr>
      </w:pPr>
      <w:r w:rsidRPr="0047416D">
        <w:rPr>
          <w:rFonts w:ascii="Arial" w:hAnsi="Arial" w:eastAsia="Times New Roman" w:cs="Times New Roman"/>
          <w:sz w:val="20"/>
          <w:szCs w:val="20"/>
          <w:highlight w:val="yellow"/>
        </w:rPr>
        <w:t>iii.</w:t>
      </w:r>
      <w:r w:rsidRPr="0047416D">
        <w:rPr>
          <w:rFonts w:ascii="Arial" w:hAnsi="Arial" w:eastAsia="Times New Roman" w:cs="Times New Roman"/>
          <w:sz w:val="20"/>
          <w:szCs w:val="20"/>
          <w:highlight w:val="yellow"/>
        </w:rPr>
        <w:tab/>
      </w:r>
      <w:r w:rsidRPr="00CA1FF0">
        <w:rPr>
          <w:rFonts w:ascii="Arial" w:hAnsi="Arial"/>
          <w:sz w:val="20"/>
          <w:highlight w:val="yellow"/>
        </w:rPr>
        <w:t>Pay the full amount deducted to the relevant authority on account of the Withholding Taxes within the time provided under, and otherwise in accordance with applicable law or any jurisdiction; and</w:t>
      </w:r>
    </w:p>
    <w:p w:rsidRPr="009D34CB" w:rsidR="0047416D" w:rsidP="00CA1FF0" w:rsidRDefault="0047416D" w14:paraId="33815FEC" w14:textId="77777777">
      <w:pPr>
        <w:autoSpaceDE w:val="0"/>
        <w:autoSpaceDN w:val="0"/>
        <w:adjustRightInd w:val="0"/>
        <w:spacing w:before="120" w:after="0" w:line="240" w:lineRule="auto"/>
        <w:ind w:left="1440" w:hanging="274"/>
        <w:jc w:val="both"/>
        <w:outlineLvl w:val="5"/>
        <w:rPr>
          <w:rFonts w:cs="Arial"/>
          <w:highlight w:val="yellow"/>
        </w:rPr>
      </w:pPr>
      <w:r w:rsidRPr="0047416D">
        <w:rPr>
          <w:rFonts w:ascii="Arial" w:hAnsi="Arial" w:eastAsia="Times New Roman" w:cs="Times New Roman"/>
          <w:sz w:val="20"/>
          <w:szCs w:val="20"/>
          <w:highlight w:val="yellow"/>
        </w:rPr>
        <w:t>iv.</w:t>
      </w:r>
      <w:r w:rsidRPr="0047416D">
        <w:rPr>
          <w:rFonts w:ascii="Arial" w:hAnsi="Arial" w:eastAsia="Times New Roman" w:cs="Times New Roman"/>
          <w:sz w:val="20"/>
          <w:szCs w:val="20"/>
          <w:highlight w:val="yellow"/>
        </w:rPr>
        <w:tab/>
      </w:r>
      <w:r w:rsidRPr="00CA1FF0">
        <w:rPr>
          <w:rFonts w:ascii="Arial" w:hAnsi="Arial"/>
          <w:sz w:val="20"/>
          <w:highlight w:val="yellow"/>
        </w:rPr>
        <w:t>Promptly after the date the Withholding Taxes are due under the applicable law of any jurisdiction, deliver to Beneficiary the forms prescribed by the relevant authority of the Withholding Taxes.</w:t>
      </w:r>
    </w:p>
    <w:p w:rsidRPr="009D34CB" w:rsidR="0047416D" w:rsidP="00CA1FF0" w:rsidRDefault="0047416D" w14:paraId="0549A11A" w14:textId="14251D53">
      <w:pPr>
        <w:autoSpaceDE w:val="0"/>
        <w:autoSpaceDN w:val="0"/>
        <w:adjustRightInd w:val="0"/>
        <w:spacing w:before="120" w:after="0" w:line="240" w:lineRule="auto"/>
        <w:ind w:left="1170" w:hanging="274"/>
        <w:jc w:val="both"/>
        <w:outlineLvl w:val="5"/>
        <w:rPr>
          <w:rFonts w:cs="Arial"/>
          <w:highlight w:val="yellow"/>
        </w:rPr>
      </w:pPr>
      <w:r w:rsidRPr="0047416D">
        <w:rPr>
          <w:rFonts w:ascii="Arial" w:hAnsi="Arial" w:eastAsia="Times New Roman" w:cs="Times New Roman"/>
          <w:sz w:val="20"/>
          <w:szCs w:val="20"/>
          <w:highlight w:val="yellow"/>
        </w:rPr>
        <w:t>b.</w:t>
      </w:r>
      <w:r w:rsidRPr="0047416D">
        <w:rPr>
          <w:rFonts w:ascii="Arial" w:hAnsi="Arial" w:eastAsia="Times New Roman" w:cs="Times New Roman"/>
          <w:sz w:val="20"/>
          <w:szCs w:val="20"/>
          <w:highlight w:val="yellow"/>
        </w:rPr>
        <w:tab/>
      </w:r>
      <w:r w:rsidRPr="00CA1FF0">
        <w:rPr>
          <w:rFonts w:ascii="Arial" w:hAnsi="Arial"/>
          <w:sz w:val="20"/>
          <w:highlight w:val="yellow"/>
        </w:rPr>
        <w:t>Without duplication of Section 4.7.5.</w:t>
      </w:r>
      <w:r w:rsidRPr="0047416D">
        <w:rPr>
          <w:rFonts w:ascii="Arial" w:hAnsi="Arial" w:eastAsia="Times New Roman" w:cs="Times New Roman"/>
          <w:sz w:val="20"/>
          <w:szCs w:val="20"/>
          <w:highlight w:val="yellow"/>
        </w:rPr>
        <w:t>a</w:t>
      </w:r>
      <w:r w:rsidRPr="00CA1FF0">
        <w:rPr>
          <w:rFonts w:ascii="Arial" w:hAnsi="Arial"/>
          <w:sz w:val="20"/>
          <w:highlight w:val="yellow"/>
        </w:rPr>
        <w:t xml:space="preserve"> above, Guarantor agrees to indemnify and hold harmless Beneficiary for any Withholding Taxes that may become payable by Beneficiary concerning any payment made by Guarantor under this Guaranty. Without limiting the generality of the preceding sentence, if:</w:t>
      </w:r>
    </w:p>
    <w:p w:rsidRPr="009D34CB" w:rsidR="0047416D" w:rsidP="00CA1FF0" w:rsidRDefault="0047416D" w14:paraId="74B6170B" w14:textId="77777777">
      <w:pPr>
        <w:autoSpaceDE w:val="0"/>
        <w:autoSpaceDN w:val="0"/>
        <w:adjustRightInd w:val="0"/>
        <w:spacing w:before="120" w:after="0" w:line="240" w:lineRule="auto"/>
        <w:ind w:left="1440" w:hanging="274"/>
        <w:jc w:val="both"/>
        <w:outlineLvl w:val="5"/>
        <w:rPr>
          <w:rFonts w:cs="Arial"/>
          <w:highlight w:val="yellow"/>
        </w:rPr>
      </w:pPr>
      <w:r w:rsidRPr="0047416D">
        <w:rPr>
          <w:rFonts w:ascii="Arial" w:hAnsi="Arial" w:eastAsia="Times New Roman" w:cs="Times New Roman"/>
          <w:sz w:val="20"/>
          <w:szCs w:val="20"/>
          <w:highlight w:val="yellow"/>
        </w:rPr>
        <w:t>i.</w:t>
      </w:r>
      <w:r w:rsidRPr="0047416D">
        <w:rPr>
          <w:rFonts w:ascii="Arial" w:hAnsi="Arial" w:eastAsia="Times New Roman" w:cs="Times New Roman"/>
          <w:sz w:val="20"/>
          <w:szCs w:val="20"/>
          <w:highlight w:val="yellow"/>
        </w:rPr>
        <w:tab/>
      </w:r>
      <w:r w:rsidRPr="00CA1FF0">
        <w:rPr>
          <w:rFonts w:ascii="Arial" w:hAnsi="Arial"/>
          <w:sz w:val="20"/>
          <w:highlight w:val="yellow"/>
        </w:rPr>
        <w:t>Guarantor or Beneficiary is assessed or reassessed by any applicable taxing authority for any Withholding Taxes regarding any payment made by the Guarantor under this Guaranty, Guarantor must pay the Withholding Taxes together with interest or penalties on the Withholding Taxes to the taxing authority on behalf of Beneficiary and without recourse against Beneficiary within 30 Days of demand by Beneficiary; or</w:t>
      </w:r>
    </w:p>
    <w:p w:rsidRPr="009D34CB" w:rsidR="0047416D" w:rsidP="00CA1FF0" w:rsidRDefault="0047416D" w14:paraId="089EEE78" w14:textId="6EE2AD3A">
      <w:pPr>
        <w:autoSpaceDE w:val="0"/>
        <w:autoSpaceDN w:val="0"/>
        <w:adjustRightInd w:val="0"/>
        <w:spacing w:before="120" w:after="0" w:line="240" w:lineRule="auto"/>
        <w:ind w:left="1440" w:hanging="274"/>
        <w:jc w:val="both"/>
        <w:outlineLvl w:val="5"/>
        <w:rPr>
          <w:rFonts w:cs="Arial"/>
          <w:highlight w:val="yellow"/>
        </w:rPr>
      </w:pPr>
      <w:r w:rsidRPr="0047416D">
        <w:rPr>
          <w:rFonts w:ascii="Arial" w:hAnsi="Arial" w:eastAsia="Times New Roman" w:cs="Times New Roman"/>
          <w:sz w:val="20"/>
          <w:szCs w:val="20"/>
          <w:highlight w:val="yellow"/>
        </w:rPr>
        <w:t>ii.</w:t>
      </w:r>
      <w:r w:rsidRPr="0047416D">
        <w:rPr>
          <w:rFonts w:ascii="Arial" w:hAnsi="Arial" w:eastAsia="Times New Roman" w:cs="Times New Roman"/>
          <w:sz w:val="20"/>
          <w:szCs w:val="20"/>
          <w:highlight w:val="yellow"/>
        </w:rPr>
        <w:tab/>
      </w:r>
      <w:r w:rsidRPr="00CA1FF0">
        <w:rPr>
          <w:rFonts w:ascii="Arial" w:hAnsi="Arial"/>
          <w:sz w:val="20"/>
          <w:highlight w:val="yellow"/>
        </w:rPr>
        <w:t>Beneficiary pays any Withholding Taxes regarding any payment made by Guarantor under this Guaranty, Guarantor agrees to indemnify Beneficiary upon receipt of the notice called or in Section 4.7.5.</w:t>
      </w:r>
      <w:r w:rsidRPr="0047416D">
        <w:rPr>
          <w:rFonts w:ascii="Arial" w:hAnsi="Arial" w:eastAsia="Times New Roman" w:cs="Times New Roman"/>
          <w:sz w:val="20"/>
          <w:szCs w:val="20"/>
          <w:highlight w:val="yellow"/>
        </w:rPr>
        <w:t>d</w:t>
      </w:r>
      <w:r w:rsidRPr="00CA1FF0">
        <w:rPr>
          <w:rFonts w:ascii="Arial" w:hAnsi="Arial"/>
          <w:sz w:val="20"/>
          <w:highlight w:val="yellow"/>
        </w:rPr>
        <w:t>. below.</w:t>
      </w:r>
    </w:p>
    <w:p w:rsidRPr="009D34CB" w:rsidR="0047416D" w:rsidP="00CA1FF0" w:rsidRDefault="0047416D" w14:paraId="542F339B" w14:textId="22934390">
      <w:pPr>
        <w:autoSpaceDE w:val="0"/>
        <w:autoSpaceDN w:val="0"/>
        <w:adjustRightInd w:val="0"/>
        <w:spacing w:before="120" w:after="0" w:line="240" w:lineRule="auto"/>
        <w:ind w:left="1170" w:hanging="274"/>
        <w:jc w:val="both"/>
        <w:outlineLvl w:val="5"/>
        <w:rPr>
          <w:rFonts w:cs="Arial"/>
          <w:highlight w:val="yellow"/>
        </w:rPr>
      </w:pPr>
      <w:r w:rsidRPr="0047416D">
        <w:rPr>
          <w:rFonts w:ascii="Arial" w:hAnsi="Arial" w:eastAsia="Times New Roman" w:cs="Times New Roman"/>
          <w:sz w:val="20"/>
          <w:szCs w:val="20"/>
          <w:highlight w:val="yellow"/>
        </w:rPr>
        <w:t>c.</w:t>
      </w:r>
      <w:r w:rsidRPr="0047416D">
        <w:rPr>
          <w:rFonts w:ascii="Arial" w:hAnsi="Arial" w:eastAsia="Times New Roman" w:cs="Times New Roman"/>
          <w:sz w:val="20"/>
          <w:szCs w:val="20"/>
          <w:highlight w:val="yellow"/>
        </w:rPr>
        <w:tab/>
      </w:r>
      <w:r w:rsidRPr="00CA1FF0">
        <w:rPr>
          <w:rFonts w:ascii="Arial" w:hAnsi="Arial"/>
          <w:sz w:val="20"/>
          <w:highlight w:val="yellow"/>
        </w:rPr>
        <w:t>Without duplication of Section 4.7.5.</w:t>
      </w:r>
      <w:r w:rsidRPr="0047416D">
        <w:rPr>
          <w:rFonts w:ascii="Arial" w:hAnsi="Arial" w:eastAsia="Times New Roman" w:cs="Times New Roman"/>
          <w:sz w:val="20"/>
          <w:szCs w:val="20"/>
          <w:highlight w:val="yellow"/>
        </w:rPr>
        <w:t>a</w:t>
      </w:r>
      <w:r w:rsidRPr="00CA1FF0">
        <w:rPr>
          <w:rFonts w:ascii="Arial" w:hAnsi="Arial"/>
          <w:sz w:val="20"/>
          <w:highlight w:val="yellow"/>
        </w:rPr>
        <w:t xml:space="preserve">. or </w:t>
      </w:r>
      <w:r w:rsidRPr="0047416D">
        <w:rPr>
          <w:rFonts w:ascii="Arial" w:hAnsi="Arial" w:eastAsia="Times New Roman" w:cs="Times New Roman"/>
          <w:sz w:val="20"/>
          <w:szCs w:val="20"/>
          <w:highlight w:val="yellow"/>
        </w:rPr>
        <w:t>b</w:t>
      </w:r>
      <w:r w:rsidRPr="00CA1FF0">
        <w:rPr>
          <w:rFonts w:ascii="Arial" w:hAnsi="Arial"/>
          <w:sz w:val="20"/>
          <w:highlight w:val="yellow"/>
        </w:rPr>
        <w:t>. above, Guarantor agrees to indemnify and hold harmless Beneficiary for any additional taxes on net income that Beneficiary may be obligated to pay because of the receipt by it or payment by Guarantor of any amount under this Section 4.7.5.</w:t>
      </w:r>
    </w:p>
    <w:p w:rsidRPr="009D34CB" w:rsidR="0047416D" w:rsidP="00CA1FF0" w:rsidRDefault="0047416D" w14:paraId="31DB9C1F" w14:textId="77777777">
      <w:pPr>
        <w:autoSpaceDE w:val="0"/>
        <w:autoSpaceDN w:val="0"/>
        <w:adjustRightInd w:val="0"/>
        <w:spacing w:before="120" w:after="0" w:line="240" w:lineRule="auto"/>
        <w:ind w:left="1170" w:hanging="274"/>
        <w:jc w:val="both"/>
        <w:outlineLvl w:val="5"/>
        <w:rPr>
          <w:rFonts w:cs="Arial"/>
          <w:highlight w:val="yellow"/>
        </w:rPr>
      </w:pPr>
      <w:r w:rsidRPr="0047416D">
        <w:rPr>
          <w:rFonts w:ascii="Arial" w:hAnsi="Arial" w:eastAsia="Times New Roman" w:cs="Times New Roman"/>
          <w:sz w:val="20"/>
          <w:szCs w:val="20"/>
          <w:highlight w:val="yellow"/>
        </w:rPr>
        <w:t>d.</w:t>
      </w:r>
      <w:r w:rsidRPr="0047416D">
        <w:rPr>
          <w:rFonts w:ascii="Arial" w:hAnsi="Arial" w:eastAsia="Times New Roman" w:cs="Times New Roman"/>
          <w:sz w:val="20"/>
          <w:szCs w:val="20"/>
          <w:highlight w:val="yellow"/>
        </w:rPr>
        <w:tab/>
      </w:r>
      <w:r w:rsidRPr="00CA1FF0">
        <w:rPr>
          <w:rFonts w:ascii="Arial" w:hAnsi="Arial"/>
          <w:sz w:val="20"/>
          <w:highlight w:val="yellow"/>
        </w:rPr>
        <w:t>Beneficiary will promptly notify Guarantor of any Withholding Taxes that Beneficiary has paid or received an assessment or reassessment from any applicable taxing authority and for which the Guarantor is required to indemnify it in accordance with this Section 4.7.5 and of the amount payable to it by Guarantor this Section 4.7.5, and Guarantor will indemnify Beneficiary within 60 Days of receipt of such notice. Beneficiary will reasonably determine the amount payable to it, will contest in good faith any taxes that Beneficiary believes in good faith are not assessable, and the determination will, absent manifest error, be final and binding on Guarantor.</w:t>
      </w:r>
    </w:p>
    <w:p w:rsidRPr="009D34CB" w:rsidR="0047416D" w:rsidP="00CA1FF0" w:rsidRDefault="0047416D" w14:paraId="510130CB" w14:textId="77777777">
      <w:pPr>
        <w:autoSpaceDE w:val="0"/>
        <w:autoSpaceDN w:val="0"/>
        <w:adjustRightInd w:val="0"/>
        <w:spacing w:before="120" w:after="0" w:line="240" w:lineRule="auto"/>
        <w:ind w:left="1170" w:hanging="274"/>
        <w:jc w:val="both"/>
        <w:outlineLvl w:val="5"/>
        <w:rPr>
          <w:rFonts w:cs="Arial"/>
        </w:rPr>
      </w:pPr>
      <w:r w:rsidRPr="0047416D">
        <w:rPr>
          <w:rFonts w:ascii="Arial" w:hAnsi="Arial" w:eastAsia="Times New Roman" w:cs="Times New Roman"/>
          <w:sz w:val="20"/>
          <w:szCs w:val="20"/>
          <w:highlight w:val="yellow"/>
        </w:rPr>
        <w:lastRenderedPageBreak/>
        <w:t>e.</w:t>
      </w:r>
      <w:r w:rsidRPr="0047416D">
        <w:rPr>
          <w:rFonts w:ascii="Arial" w:hAnsi="Arial" w:eastAsia="Times New Roman" w:cs="Times New Roman"/>
          <w:sz w:val="20"/>
          <w:szCs w:val="20"/>
          <w:highlight w:val="yellow"/>
        </w:rPr>
        <w:tab/>
      </w:r>
      <w:r w:rsidRPr="00CA1FF0">
        <w:rPr>
          <w:rFonts w:ascii="Arial" w:hAnsi="Arial"/>
          <w:sz w:val="20"/>
          <w:highlight w:val="yellow"/>
        </w:rPr>
        <w:t>Guarantor’s obligations under this Section 4.7.5 will survive for one year following termination of this Guaranty and the payment of all amounts payable under other provisions of this Guaranty.</w:t>
      </w:r>
    </w:p>
    <w:p w:rsidRPr="009D34CB" w:rsidR="0047416D" w:rsidP="00CA1FF0" w:rsidRDefault="0047416D" w14:paraId="35B9CC4A" w14:textId="0693A41D">
      <w:pPr>
        <w:tabs>
          <w:tab w:val="left" w:pos="2160"/>
        </w:tabs>
        <w:autoSpaceDE w:val="0"/>
        <w:autoSpaceDN w:val="0"/>
        <w:adjustRightInd w:val="0"/>
        <w:spacing w:before="120" w:after="0" w:line="240" w:lineRule="auto"/>
        <w:ind w:left="274"/>
        <w:jc w:val="both"/>
        <w:outlineLvl w:val="5"/>
      </w:pPr>
      <w:r w:rsidRPr="0047416D">
        <w:rPr>
          <w:rFonts w:ascii="Arial" w:hAnsi="Arial" w:eastAsia="Times New Roman" w:cs="Times New Roman"/>
          <w:b/>
          <w:bCs/>
          <w:sz w:val="20"/>
          <w:szCs w:val="20"/>
        </w:rPr>
        <w:t>4.7.6.</w:t>
      </w:r>
      <w:r w:rsidRPr="00CA1FF0">
        <w:rPr>
          <w:rFonts w:ascii="Arial" w:hAnsi="Arial"/>
          <w:b/>
          <w:sz w:val="20"/>
        </w:rPr>
        <w:t xml:space="preserve"> </w:t>
      </w:r>
      <w:r w:rsidRPr="00CA1FF0">
        <w:rPr>
          <w:rFonts w:ascii="Arial" w:hAnsi="Arial"/>
          <w:b/>
          <w:sz w:val="20"/>
          <w:highlight w:val="yellow"/>
        </w:rPr>
        <w:t>[Applicable Only to Foreign Guarantor: Waiver of Objection to Venue.</w:t>
      </w:r>
      <w:r w:rsidRPr="00CA1FF0">
        <w:rPr>
          <w:rFonts w:ascii="Arial" w:hAnsi="Arial"/>
          <w:sz w:val="20"/>
          <w:highlight w:val="yellow"/>
        </w:rPr>
        <w:t xml:space="preserve"> </w:t>
      </w:r>
      <w:r w:rsidRPr="00CA1FF0">
        <w:rPr>
          <w:rFonts w:ascii="Arial" w:hAnsi="Arial"/>
          <w:b/>
          <w:sz w:val="20"/>
          <w:highlight w:val="yellow"/>
        </w:rPr>
        <w:t xml:space="preserve">GUARANTOR </w:t>
      </w:r>
      <w:r w:rsidRPr="0047416D">
        <w:rPr>
          <w:rFonts w:ascii="Arial" w:hAnsi="Arial" w:eastAsia="Times New Roman" w:cs="Times New Roman"/>
          <w:b/>
          <w:bCs/>
          <w:sz w:val="20"/>
          <w:szCs w:val="20"/>
          <w:highlight w:val="yellow"/>
        </w:rPr>
        <w:t xml:space="preserve">HEREBY </w:t>
      </w:r>
      <w:r w:rsidRPr="00CA1FF0">
        <w:rPr>
          <w:rFonts w:ascii="Arial" w:hAnsi="Arial"/>
          <w:b/>
          <w:sz w:val="20"/>
          <w:highlight w:val="yellow"/>
        </w:rPr>
        <w:t xml:space="preserve">IRREVOCABLY WAIVES, TO THE FULLEST EXTENT PERMITTED BY APPLICABLE LAW, ANY OBJECTION </w:t>
      </w:r>
      <w:r w:rsidRPr="0047416D">
        <w:rPr>
          <w:rFonts w:ascii="Arial" w:hAnsi="Arial" w:eastAsia="Times New Roman" w:cs="Times New Roman"/>
          <w:b/>
          <w:bCs/>
          <w:sz w:val="20"/>
          <w:szCs w:val="20"/>
          <w:highlight w:val="yellow"/>
        </w:rPr>
        <w:t>WHICH IT</w:t>
      </w:r>
      <w:r w:rsidRPr="00CA1FF0">
        <w:rPr>
          <w:rFonts w:ascii="Arial" w:hAnsi="Arial"/>
          <w:b/>
          <w:sz w:val="20"/>
          <w:highlight w:val="yellow"/>
        </w:rPr>
        <w:t xml:space="preserve"> MAY NOW OR HEREAFTER HAVE TO THE LAYING OF VENUE OF ANY SUIT, ACTION OR PROCEEDING BETWEEN THEM ARISING OUT OF OR RELATING TO THIS GUARANTY BROUGHT IN ANY COURT IN OR OF THE STATE OF GEORGIA, AND HEREBY FURTHER IRREVOCABLY WAIVES ANY CLAIM THAT ANY SUCH SUIT, ACTION OR PROCEEDING BROUGHT IN ANY COURT IN OR OF THE STATE OF GEORGIA HAS BEEN BROUGHT IN AN INCONVENIENT FORUM.</w:t>
      </w:r>
      <w:r w:rsidRPr="00CA1FF0">
        <w:rPr>
          <w:rFonts w:ascii="Arial" w:hAnsi="Arial"/>
          <w:sz w:val="20"/>
          <w:highlight w:val="yellow"/>
        </w:rPr>
        <w:t>]</w:t>
      </w:r>
      <w:r w:rsidRPr="00CA1FF0">
        <w:rPr>
          <w:rFonts w:ascii="Arial" w:hAnsi="Arial"/>
          <w:sz w:val="20"/>
        </w:rPr>
        <w:t xml:space="preserve"> </w:t>
      </w:r>
    </w:p>
    <w:p w:rsidRPr="0047416D" w:rsidR="0047416D" w:rsidP="0047416D" w:rsidRDefault="0047416D" w14:paraId="33DF05FB" w14:textId="77777777">
      <w:pPr>
        <w:tabs>
          <w:tab w:val="left" w:pos="2160"/>
        </w:tabs>
        <w:autoSpaceDE w:val="0"/>
        <w:autoSpaceDN w:val="0"/>
        <w:adjustRightInd w:val="0"/>
        <w:spacing w:after="0" w:line="240" w:lineRule="auto"/>
        <w:ind w:left="274"/>
        <w:jc w:val="both"/>
        <w:outlineLvl w:val="5"/>
        <w:rPr>
          <w:rFonts w:ascii="Arial" w:hAnsi="Arial" w:eastAsia="Times New Roman" w:cs="Times New Roman"/>
          <w:sz w:val="20"/>
          <w:szCs w:val="20"/>
        </w:rPr>
      </w:pPr>
    </w:p>
    <w:p w:rsidRPr="009D34CB" w:rsidR="0047416D" w:rsidP="00CA1FF0" w:rsidRDefault="0047416D" w14:paraId="0DF53286" w14:textId="0DC563F2">
      <w:pPr>
        <w:tabs>
          <w:tab w:val="left" w:pos="2160"/>
        </w:tabs>
        <w:autoSpaceDE w:val="0"/>
        <w:autoSpaceDN w:val="0"/>
        <w:adjustRightInd w:val="0"/>
        <w:spacing w:after="0" w:line="240" w:lineRule="auto"/>
        <w:ind w:left="274"/>
        <w:jc w:val="both"/>
        <w:outlineLvl w:val="5"/>
      </w:pPr>
      <w:r w:rsidRPr="0047416D">
        <w:rPr>
          <w:rFonts w:ascii="Arial" w:hAnsi="Arial" w:eastAsia="Times New Roman" w:cs="Times New Roman"/>
          <w:b/>
          <w:bCs/>
          <w:sz w:val="20"/>
          <w:szCs w:val="20"/>
        </w:rPr>
        <w:t>4.7.7.</w:t>
      </w:r>
      <w:r w:rsidRPr="00CA1FF0">
        <w:rPr>
          <w:rFonts w:ascii="Arial" w:hAnsi="Arial"/>
          <w:b/>
          <w:sz w:val="20"/>
        </w:rPr>
        <w:t xml:space="preserve"> </w:t>
      </w:r>
      <w:r w:rsidRPr="00CA1FF0">
        <w:rPr>
          <w:rFonts w:ascii="Arial" w:hAnsi="Arial"/>
          <w:b/>
          <w:sz w:val="20"/>
          <w:highlight w:val="yellow"/>
        </w:rPr>
        <w:t>[Applicable Only to Foreign Guarantor: Waiver of Immunity.</w:t>
      </w:r>
      <w:r w:rsidRPr="00CA1FF0">
        <w:rPr>
          <w:rFonts w:ascii="Arial" w:hAnsi="Arial"/>
          <w:sz w:val="20"/>
          <w:highlight w:val="yellow"/>
        </w:rPr>
        <w:t xml:space="preserve"> </w:t>
      </w:r>
      <w:r w:rsidRPr="00CA1FF0">
        <w:rPr>
          <w:rFonts w:ascii="Arial" w:hAnsi="Arial"/>
          <w:b/>
          <w:sz w:val="20"/>
          <w:highlight w:val="yellow"/>
        </w:rPr>
        <w:t>TO THE EXTENT THAT</w:t>
      </w:r>
      <w:r w:rsidRPr="0047416D">
        <w:rPr>
          <w:rFonts w:ascii="Arial" w:hAnsi="Arial" w:eastAsia="Times New Roman" w:cs="Times New Roman"/>
          <w:b/>
          <w:bCs/>
          <w:sz w:val="20"/>
          <w:szCs w:val="20"/>
          <w:highlight w:val="yellow"/>
        </w:rPr>
        <w:t xml:space="preserve"> THE</w:t>
      </w:r>
      <w:r w:rsidRPr="00CA1FF0">
        <w:rPr>
          <w:rFonts w:ascii="Arial" w:hAnsi="Arial"/>
          <w:b/>
          <w:sz w:val="20"/>
          <w:highlight w:val="yellow"/>
        </w:rPr>
        <w:t xml:space="preserve"> GUARANTOR HAS OR HEREAFTER MAY ACQUIRE ANY IMMUNITY FROM JURISDICTION OF ANY COURT IN THE STATE OF GEORGIA OR FROM ANY LEGAL PROCESS THEREIN, GUARANTOR HEREBY WAIVES, TO THE FULLEST EXTENT PERMITTED BY LAW, SUCH IMMUNITY</w:t>
      </w:r>
      <w:r w:rsidRPr="0047416D">
        <w:rPr>
          <w:rFonts w:ascii="Arial" w:hAnsi="Arial" w:eastAsia="Times New Roman" w:cs="Times New Roman"/>
          <w:b/>
          <w:bCs/>
          <w:sz w:val="20"/>
          <w:szCs w:val="20"/>
          <w:highlight w:val="yellow"/>
        </w:rPr>
        <w:t>,</w:t>
      </w:r>
      <w:r w:rsidRPr="00CA1FF0">
        <w:rPr>
          <w:rFonts w:ascii="Arial" w:hAnsi="Arial"/>
          <w:b/>
          <w:sz w:val="20"/>
          <w:highlight w:val="yellow"/>
        </w:rPr>
        <w:t xml:space="preserve"> AND AGREES NOT TO ASSERT, BY WAY OF MOTION, AS A DEFENSE, OR OTHERWISE, IN ANY SUCH SUIT, ACTION OR PROCEEDING, THE DEFENSE OF SOVEREIGN IMMUNITY, OR ANY CLAIM: </w:t>
      </w:r>
      <w:r w:rsidRPr="0047416D">
        <w:rPr>
          <w:rFonts w:ascii="Arial" w:hAnsi="Arial" w:eastAsia="Times New Roman" w:cs="Times New Roman"/>
          <w:b/>
          <w:bCs/>
          <w:sz w:val="20"/>
          <w:szCs w:val="20"/>
          <w:highlight w:val="yellow"/>
        </w:rPr>
        <w:t xml:space="preserve">(1) </w:t>
      </w:r>
      <w:r w:rsidRPr="00CA1FF0">
        <w:rPr>
          <w:rFonts w:ascii="Arial" w:hAnsi="Arial"/>
          <w:b/>
          <w:sz w:val="20"/>
          <w:highlight w:val="yellow"/>
        </w:rPr>
        <w:t xml:space="preserve">THAT IS NOT PERSONALLY SUBJECT TO THE JURISDICTION OF THE COURTS IN THE STATE OF GEORGIA BY REASON OF SOVEREIGN IMMUNITY OR OTHERWISE; (2) </w:t>
      </w:r>
      <w:r w:rsidRPr="0047416D">
        <w:rPr>
          <w:rFonts w:ascii="Arial" w:hAnsi="Arial" w:eastAsia="Times New Roman" w:cs="Times New Roman"/>
          <w:b/>
          <w:bCs/>
          <w:sz w:val="20"/>
          <w:szCs w:val="20"/>
          <w:highlight w:val="yellow"/>
        </w:rPr>
        <w:t>THAT IT</w:t>
      </w:r>
      <w:r w:rsidRPr="00CA1FF0">
        <w:rPr>
          <w:rFonts w:ascii="Arial" w:hAnsi="Arial"/>
          <w:b/>
          <w:sz w:val="20"/>
          <w:highlight w:val="yellow"/>
        </w:rPr>
        <w:t xml:space="preserve"> IS IMMUNE FROM ANY LEGAL PROCESS (WHETHER THROUGH SERVICE OR NOTICE, ATTACHMENT PRIOR TO THE JUDGMENT, ATTACHMENTS IN AID OF EXECUTION, EXECUTION OR OTHERWISE) REGARDING ITSELF OR ITS PROPERTY, BY REASON OF SOVEREIGN IMMUNITY; (3) THAT ANY ACTION IS BROUGHT IN AN INCONVENIENT FORUM; (4) THAT THE VENUE OF ANY ACTION IS IMPROPER; OR (5) THAT THIS GUARANTY MAY NOT BE ENFORCED IN OR BY A FEDERAL COURT IN THE STATE OF GEORGIA. THE GUARANTOR EXPRESSLY ACKNOWLEDGES THAT THE FOREGOING WAIVERS AND SUBMISSIONS TO JURISDICTION ARE INTENDED TO BE IRREVOCABLE UNDER THE LAWS OF THE STATE OF GEORGIA AND OF THE UNITED STATES OF AMERICA AND OF THE LAWS APPLICABLE TO THE GUARANTOR, INCLUDING THE LAWS OF THE JURISDICTION IN WHICH THE GUARANTOR IS ORGANIZED.]</w:t>
      </w:r>
    </w:p>
    <w:p w:rsidRPr="009D34CB" w:rsidR="0047416D" w:rsidP="00CA1FF0" w:rsidRDefault="0047416D" w14:paraId="129FE4F9" w14:textId="77777777">
      <w:pPr>
        <w:tabs>
          <w:tab w:val="left" w:pos="2160"/>
        </w:tabs>
        <w:autoSpaceDE w:val="0"/>
        <w:autoSpaceDN w:val="0"/>
        <w:adjustRightInd w:val="0"/>
        <w:spacing w:before="120" w:after="120" w:line="240" w:lineRule="auto"/>
        <w:ind w:left="270"/>
        <w:jc w:val="both"/>
        <w:outlineLvl w:val="5"/>
      </w:pPr>
      <w:r w:rsidRPr="0047416D">
        <w:rPr>
          <w:rFonts w:ascii="Arial" w:hAnsi="Arial" w:eastAsia="Times New Roman" w:cs="Times New Roman"/>
          <w:b/>
          <w:sz w:val="20"/>
          <w:szCs w:val="20"/>
        </w:rPr>
        <w:t>4.7.8.</w:t>
      </w:r>
      <w:r w:rsidRPr="00CA1FF0">
        <w:rPr>
          <w:rFonts w:ascii="Arial" w:hAnsi="Arial"/>
          <w:b/>
          <w:sz w:val="20"/>
        </w:rPr>
        <w:t xml:space="preserve"> Waiver of Right to Jury Trial. GUARANTOR UNCONDITIONALLY AND IRREVOCABLY WAIVES ALL RIGHT TO TRIAL BY JURY IN ANY ACTION, PROCEEDING, OR COUNTERCLAIM (WHETHER BASED ON CONTRACT, TORT, OR OTHERWISE) ARISING OUT OF OR RELATING TO, THIS GUARANTY, OR THE ACTIONS OF BENEFICIARY IN THE NEGOTIATION, ADMINISTRATION, PERFORMANCE OR ENFORCEMENT OF THIS GUARANTY.</w:t>
      </w:r>
    </w:p>
    <w:p w:rsidRPr="009D34CB" w:rsidR="0047416D" w:rsidP="00CA1FF0" w:rsidRDefault="0047416D" w14:paraId="1B1FD0F8" w14:textId="493B5ED4">
      <w:pPr>
        <w:tabs>
          <w:tab w:val="left" w:pos="540"/>
        </w:tabs>
        <w:autoSpaceDE w:val="0"/>
        <w:autoSpaceDN w:val="0"/>
        <w:adjustRightInd w:val="0"/>
        <w:spacing w:before="120" w:after="120" w:line="240" w:lineRule="auto"/>
        <w:jc w:val="both"/>
        <w:outlineLvl w:val="1"/>
      </w:pPr>
      <w:r w:rsidRPr="009D34CB">
        <w:rPr>
          <w:rFonts w:ascii="Arial" w:hAnsi="Arial" w:eastAsia="Times New Roman"/>
        </w:rPr>
        <w:t>4.8</w:t>
      </w:r>
      <w:r w:rsidRPr="00DC0D29">
        <w:rPr>
          <w:rFonts w:ascii="Arial" w:hAnsi="Arial" w:eastAsia="Times New Roman" w:cs="Times New Roman"/>
          <w:bCs/>
          <w:i/>
        </w:rPr>
        <w:tab/>
      </w:r>
      <w:bookmarkStart w:name="_Toc206673993" w:id="1744"/>
      <w:r w:rsidRPr="00DC0D29">
        <w:rPr>
          <w:rFonts w:ascii="Arial" w:hAnsi="Arial"/>
          <w:bCs/>
        </w:rPr>
        <w:t>Severability.</w:t>
      </w:r>
      <w:bookmarkEnd w:id="1744"/>
      <w:r w:rsidRPr="00DC0D29">
        <w:rPr>
          <w:rFonts w:ascii="Arial" w:hAnsi="Arial"/>
          <w:bCs/>
        </w:rPr>
        <w:t xml:space="preserve"> </w:t>
      </w:r>
      <w:r w:rsidRPr="00CA1FF0">
        <w:rPr>
          <w:rFonts w:ascii="Arial" w:hAnsi="Arial"/>
          <w:sz w:val="20"/>
        </w:rPr>
        <w:t>Any provision of this Guaranty that is prohibited or unenforceable will be ineffective to the extent of the prohibition or unenforceability without invalidating the remaining provisions of this Guaranty.</w:t>
      </w:r>
    </w:p>
    <w:p w:rsidRPr="009D34CB" w:rsidR="0047416D" w:rsidP="00CA1FF0" w:rsidRDefault="0047416D" w14:paraId="2EA06986" w14:textId="77777777">
      <w:pPr>
        <w:widowControl w:val="0"/>
        <w:tabs>
          <w:tab w:val="left" w:pos="540"/>
          <w:tab w:val="left" w:pos="2188"/>
        </w:tabs>
        <w:autoSpaceDE w:val="0"/>
        <w:autoSpaceDN w:val="0"/>
        <w:adjustRightInd w:val="0"/>
        <w:spacing w:before="120" w:after="120" w:line="240" w:lineRule="auto"/>
        <w:jc w:val="both"/>
        <w:outlineLvl w:val="1"/>
        <w:rPr>
          <w:rFonts w:ascii="Arial" w:hAnsi="Arial"/>
        </w:rPr>
      </w:pPr>
      <w:r w:rsidRPr="0047416D">
        <w:rPr>
          <w:rFonts w:ascii="Arial" w:hAnsi="Arial" w:eastAsia="Calibri" w:cs="Times New Roman"/>
          <w:b/>
          <w:sz w:val="20"/>
          <w:szCs w:val="20"/>
        </w:rPr>
        <w:t>4.9</w:t>
      </w:r>
      <w:r w:rsidRPr="0047416D">
        <w:rPr>
          <w:rFonts w:ascii="Arial" w:hAnsi="Arial" w:eastAsia="Calibri" w:cs="Times New Roman"/>
          <w:sz w:val="20"/>
          <w:szCs w:val="20"/>
        </w:rPr>
        <w:tab/>
      </w:r>
      <w:bookmarkStart w:name="_Toc206673994" w:id="1745"/>
      <w:r w:rsidRPr="00CA1FF0">
        <w:rPr>
          <w:rFonts w:ascii="Arial" w:hAnsi="Arial"/>
          <w:b/>
          <w:sz w:val="20"/>
        </w:rPr>
        <w:t>Execution and Attestation.</w:t>
      </w:r>
      <w:bookmarkEnd w:id="1745"/>
      <w:r w:rsidRPr="00CA1FF0">
        <w:rPr>
          <w:rFonts w:ascii="Arial" w:hAnsi="Arial"/>
          <w:sz w:val="20"/>
        </w:rPr>
        <w:t xml:space="preserve"> </w:t>
      </w:r>
    </w:p>
    <w:p w:rsidRPr="009D34CB" w:rsidR="0047416D" w:rsidP="00CA1FF0" w:rsidRDefault="0047416D" w14:paraId="5AFD12B1" w14:textId="77777777">
      <w:pPr>
        <w:widowControl w:val="0"/>
        <w:autoSpaceDE w:val="0"/>
        <w:autoSpaceDN w:val="0"/>
        <w:adjustRightInd w:val="0"/>
        <w:spacing w:before="120" w:after="120" w:line="240" w:lineRule="auto"/>
        <w:ind w:left="270"/>
        <w:jc w:val="both"/>
        <w:outlineLvl w:val="1"/>
      </w:pPr>
      <w:r w:rsidRPr="0047416D">
        <w:rPr>
          <w:rFonts w:ascii="Arial" w:hAnsi="Arial" w:eastAsia="Calibri" w:cs="Times New Roman"/>
          <w:b/>
          <w:sz w:val="20"/>
          <w:szCs w:val="20"/>
        </w:rPr>
        <w:t>4.9.1.</w:t>
      </w:r>
      <w:r w:rsidRPr="00CA1FF0">
        <w:rPr>
          <w:rFonts w:ascii="Arial" w:hAnsi="Arial"/>
          <w:b/>
          <w:sz w:val="20"/>
        </w:rPr>
        <w:t xml:space="preserve"> Electronic Signature. </w:t>
      </w:r>
      <w:r w:rsidRPr="00CA1FF0">
        <w:rPr>
          <w:rFonts w:ascii="Arial" w:hAnsi="Arial"/>
          <w:sz w:val="20"/>
        </w:rPr>
        <w:t>This Guaranty may be executed by handwritten signature or Electronic Signature. An “</w:t>
      </w:r>
      <w:r w:rsidRPr="00CA1FF0">
        <w:rPr>
          <w:rFonts w:ascii="Arial" w:hAnsi="Arial"/>
          <w:b/>
          <w:sz w:val="20"/>
        </w:rPr>
        <w:t>Electronic Signature</w:t>
      </w:r>
      <w:r w:rsidRPr="00CA1FF0">
        <w:rPr>
          <w:rFonts w:ascii="Arial" w:hAnsi="Arial"/>
          <w:sz w:val="20"/>
        </w:rPr>
        <w:t>” means any electronic sound, symbol, or process attached to or logically associated with a record and executed and adopted by a Person with the intent to sign the record, including facsimile or e-mail electronic signatures. Guarantor acknowledges that electronic records and</w:t>
      </w:r>
      <w:r w:rsidRPr="00CA1FF0">
        <w:rPr>
          <w:rFonts w:ascii="Arial" w:hAnsi="Arial"/>
          <w:b/>
          <w:sz w:val="20"/>
        </w:rPr>
        <w:t> </w:t>
      </w:r>
      <w:r w:rsidRPr="00CA1FF0">
        <w:rPr>
          <w:rFonts w:ascii="Arial" w:hAnsi="Arial"/>
          <w:sz w:val="20"/>
        </w:rPr>
        <w:t xml:space="preserve">Electronic Signatures may be used in connection with the execution of this Guaranty and Electronic Signatures transmitted by electronic mail in so-called “.pdf” format will be legal and binding and will have the same full force and effect as if a paper original of this Guaranty had been delivered and signed using a handwritten signature. Guarantor: (i) agrees that an Electronic Signature, whether digital or encrypted, is intended to authenticate this Guaranty and to have the same effect as a handwritten signature; (ii) intends to be bound by the signature (whether original, faxed, or electronic) on any document sent or delivered by facsimile, electronic mail, or other electronic means; (iii) is aware that Beneficiary will rely on the signatures; and (iv) waives any defenses to the enforcement of the terms </w:t>
      </w:r>
      <w:r w:rsidRPr="00CA1FF0">
        <w:rPr>
          <w:rFonts w:ascii="Arial" w:hAnsi="Arial"/>
          <w:sz w:val="20"/>
        </w:rPr>
        <w:lastRenderedPageBreak/>
        <w:t>of this Guaranty based on the forms of signature described in this Section 4.9 (</w:t>
      </w:r>
      <w:r w:rsidRPr="00CA1FF0">
        <w:rPr>
          <w:rFonts w:ascii="Arial" w:hAnsi="Arial"/>
          <w:i/>
          <w:sz w:val="20"/>
        </w:rPr>
        <w:t>Execution and Attestation</w:t>
      </w:r>
      <w:r w:rsidRPr="00CA1FF0">
        <w:rPr>
          <w:rFonts w:ascii="Arial" w:hAnsi="Arial"/>
          <w:sz w:val="20"/>
        </w:rPr>
        <w:t>). If Guarantor executes this Guaranty by Electronic Signature, Guarantor expressly consents under the Electronic Signatures in Global and National Commerce Act (“</w:t>
      </w:r>
      <w:r w:rsidRPr="00CA1FF0">
        <w:rPr>
          <w:rFonts w:ascii="Arial" w:hAnsi="Arial"/>
          <w:b/>
          <w:sz w:val="20"/>
        </w:rPr>
        <w:t>E-SIGN</w:t>
      </w:r>
      <w:r w:rsidRPr="00CA1FF0">
        <w:rPr>
          <w:rFonts w:ascii="Arial" w:hAnsi="Arial"/>
          <w:sz w:val="20"/>
        </w:rPr>
        <w:t>”), and Uniform Electronic Transactions Act as enacted in the State of Georgia (“</w:t>
      </w:r>
      <w:r w:rsidRPr="00CA1FF0">
        <w:rPr>
          <w:rFonts w:ascii="Arial" w:hAnsi="Arial"/>
          <w:b/>
          <w:sz w:val="20"/>
        </w:rPr>
        <w:t>UETA</w:t>
      </w:r>
      <w:r w:rsidRPr="00CA1FF0">
        <w:rPr>
          <w:rFonts w:ascii="Arial" w:hAnsi="Arial"/>
          <w:sz w:val="20"/>
        </w:rPr>
        <w:t>”), that a signature by fax, email, or other electronic means will constitute an Electronic Signature to an Electronic Record under both E-SIGN and UETA regarding this transaction.</w:t>
      </w:r>
    </w:p>
    <w:p w:rsidRPr="009D34CB" w:rsidR="0047416D" w:rsidP="00CA1FF0" w:rsidRDefault="0047416D" w14:paraId="39C30869" w14:textId="77777777">
      <w:pPr>
        <w:widowControl w:val="0"/>
        <w:tabs>
          <w:tab w:val="left" w:pos="1440"/>
          <w:tab w:val="left" w:pos="2188"/>
        </w:tabs>
        <w:autoSpaceDE w:val="0"/>
        <w:autoSpaceDN w:val="0"/>
        <w:adjustRightInd w:val="0"/>
        <w:spacing w:before="120" w:after="120" w:line="240" w:lineRule="auto"/>
        <w:ind w:left="270"/>
        <w:jc w:val="both"/>
        <w:outlineLvl w:val="1"/>
      </w:pPr>
      <w:r w:rsidRPr="0047416D">
        <w:rPr>
          <w:rFonts w:ascii="Arial" w:hAnsi="Arial" w:eastAsia="Calibri" w:cs="Times New Roman"/>
          <w:b/>
          <w:sz w:val="20"/>
          <w:szCs w:val="20"/>
        </w:rPr>
        <w:t>4.9.2.</w:t>
      </w:r>
      <w:r w:rsidRPr="00CA1FF0">
        <w:rPr>
          <w:rFonts w:ascii="Arial" w:hAnsi="Arial"/>
          <w:b/>
          <w:sz w:val="20"/>
        </w:rPr>
        <w:t xml:space="preserve"> Digital or Electronic Signature. </w:t>
      </w:r>
      <w:r w:rsidRPr="00CA1FF0">
        <w:rPr>
          <w:rFonts w:ascii="Arial" w:hAnsi="Arial"/>
          <w:sz w:val="20"/>
        </w:rPr>
        <w:t>In addition to his Guaranty, any other documents to be delivered in connection with this Guaranty may be executed by handwritten signature or Electronic Signature. Guarantor acknowledges that any digital or Electronic Signature (including pdf, facsimile, or electronically imaged signatures provided by DocuSign or any other digital signature provider) appearing on this Guaranty or other documents to be delivered in connection with this Guaranty are the same as handwritten signatures for the purposes of validity, enforceability, or admissibility, and that delivery to Beneficiary of an Electronic Signature, or a signed copy of, this Guaranty and related documents may be made by facsimile, email, or other electronic transmission.</w:t>
      </w:r>
    </w:p>
    <w:p w:rsidRPr="0047416D" w:rsidR="0047416D" w:rsidP="0047416D" w:rsidRDefault="0047416D" w14:paraId="0A268482" w14:textId="77777777">
      <w:pPr>
        <w:keepNext/>
        <w:keepLines/>
        <w:spacing w:before="120" w:after="120" w:line="240" w:lineRule="auto"/>
        <w:jc w:val="both"/>
        <w:rPr>
          <w:rFonts w:ascii="Arial" w:hAnsi="Arial" w:eastAsia="Calibri" w:cs="Times New Roman"/>
          <w:sz w:val="20"/>
          <w:szCs w:val="20"/>
        </w:rPr>
      </w:pPr>
      <w:r w:rsidRPr="0047416D">
        <w:rPr>
          <w:rFonts w:ascii="Arial" w:hAnsi="Arial" w:eastAsia="Times New Roman" w:cs="Times New Roman"/>
          <w:sz w:val="20"/>
          <w:szCs w:val="20"/>
        </w:rPr>
        <w:t xml:space="preserve">Guarantor has caused this Guaranty to be executed and delivered under seal by its authorized representative as of Effective Date. </w:t>
      </w:r>
    </w:p>
    <w:p w:rsidRPr="0047416D" w:rsidR="0047416D" w:rsidP="00CA1FF0" w:rsidRDefault="0047416D" w14:paraId="02B612F9" w14:textId="77777777">
      <w:pPr>
        <w:keepNext/>
        <w:keepLines/>
        <w:tabs>
          <w:tab w:val="left" w:pos="720"/>
        </w:tabs>
        <w:spacing w:before="120" w:after="120" w:line="240" w:lineRule="auto"/>
        <w:rPr>
          <w:rFonts w:ascii="Arial" w:hAnsi="Arial" w:eastAsia="Calibri" w:cs="Times New Roman"/>
          <w:sz w:val="20"/>
          <w:szCs w:val="20"/>
        </w:rPr>
      </w:pPr>
    </w:p>
    <w:tbl>
      <w:tblPr>
        <w:tblW w:w="5130" w:type="dxa"/>
        <w:tblLayout w:type="fixed"/>
        <w:tblCellMar>
          <w:left w:w="29" w:type="dxa"/>
          <w:right w:w="29" w:type="dxa"/>
        </w:tblCellMar>
        <w:tblLook w:val="01E0" w:firstRow="1" w:lastRow="1" w:firstColumn="1" w:lastColumn="1" w:noHBand="0" w:noVBand="0"/>
      </w:tblPr>
      <w:tblGrid>
        <w:gridCol w:w="1008"/>
        <w:gridCol w:w="4122"/>
      </w:tblGrid>
      <w:tr w:rsidRPr="0047416D" w:rsidR="0047416D" w14:paraId="60FDD32A" w14:textId="77777777">
        <w:trPr>
          <w:cantSplit/>
          <w:trHeight w:val="432"/>
        </w:trPr>
        <w:tc>
          <w:tcPr>
            <w:tcW w:w="5130" w:type="dxa"/>
            <w:gridSpan w:val="2"/>
          </w:tcPr>
          <w:p w:rsidRPr="00CA1FF0" w:rsidR="0047416D" w:rsidP="00CA1FF0" w:rsidRDefault="0047416D" w14:paraId="1E028039" w14:textId="77777777">
            <w:pPr>
              <w:keepNext/>
              <w:keepLines/>
              <w:widowControl w:val="0"/>
              <w:autoSpaceDE w:val="0"/>
              <w:autoSpaceDN w:val="0"/>
              <w:adjustRightInd w:val="0"/>
              <w:spacing w:before="120" w:after="120" w:line="240" w:lineRule="auto"/>
              <w:jc w:val="both"/>
              <w:rPr>
                <w:rFonts w:ascii="Arial" w:hAnsi="Arial"/>
                <w:b/>
                <w:spacing w:val="-6"/>
                <w:sz w:val="20"/>
              </w:rPr>
            </w:pPr>
            <w:r w:rsidRPr="00CA1FF0">
              <w:rPr>
                <w:rFonts w:ascii="Arial" w:hAnsi="Arial"/>
                <w:b/>
                <w:spacing w:val="-6"/>
                <w:sz w:val="20"/>
                <w:highlight w:val="yellow"/>
              </w:rPr>
              <w:t>#GuarantorLegalName#</w:t>
            </w:r>
          </w:p>
        </w:tc>
      </w:tr>
      <w:tr w:rsidRPr="0047416D" w:rsidR="0047416D" w14:paraId="465C5FBA" w14:textId="77777777">
        <w:trPr>
          <w:cantSplit/>
          <w:trHeight w:val="504"/>
        </w:trPr>
        <w:tc>
          <w:tcPr>
            <w:tcW w:w="1008" w:type="dxa"/>
            <w:vAlign w:val="bottom"/>
          </w:tcPr>
          <w:p w:rsidRPr="00CA1FF0" w:rsidR="0047416D" w:rsidP="00CA1FF0" w:rsidRDefault="0047416D" w14:paraId="049AD58B" w14:textId="77777777">
            <w:pPr>
              <w:autoSpaceDE w:val="0"/>
              <w:autoSpaceDN w:val="0"/>
              <w:adjustRightInd w:val="0"/>
              <w:spacing w:before="120" w:after="120" w:line="240" w:lineRule="auto"/>
              <w:jc w:val="both"/>
              <w:rPr>
                <w:rFonts w:ascii="Arial" w:hAnsi="Arial"/>
                <w:sz w:val="18"/>
              </w:rPr>
            </w:pPr>
            <w:r w:rsidRPr="00CA1FF0">
              <w:rPr>
                <w:rFonts w:ascii="Arial" w:hAnsi="Arial"/>
                <w:sz w:val="18"/>
              </w:rPr>
              <w:t>By:</w:t>
            </w:r>
          </w:p>
        </w:tc>
        <w:tc>
          <w:tcPr>
            <w:tcW w:w="4093" w:type="dxa"/>
            <w:tcBorders>
              <w:bottom w:val="single" w:color="auto" w:sz="4" w:space="0"/>
            </w:tcBorders>
            <w:vAlign w:val="bottom"/>
          </w:tcPr>
          <w:p w:rsidRPr="0047416D" w:rsidR="0047416D" w:rsidP="00CA1FF0" w:rsidRDefault="0047416D" w14:paraId="42FEDC75" w14:textId="77777777">
            <w:pPr>
              <w:keepLines/>
              <w:spacing w:before="120" w:after="120" w:line="240" w:lineRule="auto"/>
              <w:rPr>
                <w:rFonts w:ascii="Arial" w:hAnsi="Arial" w:eastAsia="Calibri" w:cs="Times New Roman"/>
                <w:sz w:val="20"/>
                <w:szCs w:val="20"/>
              </w:rPr>
            </w:pPr>
          </w:p>
        </w:tc>
      </w:tr>
      <w:tr w:rsidRPr="0047416D" w:rsidR="0047416D" w14:paraId="6DF8DA25" w14:textId="77777777">
        <w:trPr>
          <w:cantSplit/>
          <w:trHeight w:val="504"/>
        </w:trPr>
        <w:tc>
          <w:tcPr>
            <w:tcW w:w="1008" w:type="dxa"/>
            <w:vAlign w:val="bottom"/>
          </w:tcPr>
          <w:p w:rsidRPr="00CA1FF0" w:rsidR="0047416D" w:rsidP="00CA1FF0" w:rsidRDefault="0047416D" w14:paraId="60D139A3" w14:textId="77777777">
            <w:pPr>
              <w:autoSpaceDE w:val="0"/>
              <w:autoSpaceDN w:val="0"/>
              <w:adjustRightInd w:val="0"/>
              <w:spacing w:before="120" w:after="120" w:line="240" w:lineRule="auto"/>
              <w:jc w:val="both"/>
              <w:rPr>
                <w:rFonts w:ascii="Arial" w:hAnsi="Arial"/>
                <w:sz w:val="18"/>
              </w:rPr>
            </w:pPr>
            <w:r w:rsidRPr="00CA1FF0">
              <w:rPr>
                <w:rFonts w:ascii="Arial" w:hAnsi="Arial"/>
                <w:sz w:val="18"/>
              </w:rPr>
              <w:t>Name</w:t>
            </w:r>
          </w:p>
          <w:p w:rsidRPr="00CA1FF0" w:rsidR="0047416D" w:rsidP="00CA1FF0" w:rsidRDefault="0047416D" w14:paraId="559CFE9A" w14:textId="77777777">
            <w:pPr>
              <w:autoSpaceDE w:val="0"/>
              <w:autoSpaceDN w:val="0"/>
              <w:adjustRightInd w:val="0"/>
              <w:spacing w:before="120" w:after="120" w:line="240" w:lineRule="auto"/>
              <w:jc w:val="both"/>
              <w:rPr>
                <w:rFonts w:ascii="Arial" w:hAnsi="Arial"/>
                <w:sz w:val="18"/>
              </w:rPr>
            </w:pPr>
            <w:r w:rsidRPr="00CA1FF0">
              <w:rPr>
                <w:rFonts w:ascii="Arial" w:hAnsi="Arial"/>
                <w:sz w:val="18"/>
              </w:rPr>
              <w:t>Printed:</w:t>
            </w:r>
          </w:p>
        </w:tc>
        <w:tc>
          <w:tcPr>
            <w:tcW w:w="4093" w:type="dxa"/>
            <w:tcBorders>
              <w:top w:val="single" w:color="auto" w:sz="4" w:space="0"/>
              <w:bottom w:val="single" w:color="auto" w:sz="4" w:space="0"/>
            </w:tcBorders>
            <w:vAlign w:val="bottom"/>
          </w:tcPr>
          <w:p w:rsidRPr="0047416D" w:rsidR="0047416D" w:rsidP="00CA1FF0" w:rsidRDefault="0047416D" w14:paraId="02E0325D" w14:textId="77777777">
            <w:pPr>
              <w:keepLines/>
              <w:spacing w:before="120" w:after="120" w:line="240" w:lineRule="auto"/>
              <w:rPr>
                <w:rFonts w:ascii="Arial" w:hAnsi="Arial" w:eastAsia="Calibri" w:cs="Times New Roman"/>
                <w:sz w:val="20"/>
                <w:szCs w:val="20"/>
              </w:rPr>
            </w:pPr>
          </w:p>
        </w:tc>
      </w:tr>
      <w:tr w:rsidRPr="0047416D" w:rsidR="0047416D" w14:paraId="6959D106" w14:textId="77777777">
        <w:trPr>
          <w:cantSplit/>
          <w:trHeight w:val="504"/>
        </w:trPr>
        <w:tc>
          <w:tcPr>
            <w:tcW w:w="1008" w:type="dxa"/>
            <w:vAlign w:val="bottom"/>
          </w:tcPr>
          <w:p w:rsidRPr="00CA1FF0" w:rsidR="0047416D" w:rsidP="00CA1FF0" w:rsidRDefault="0047416D" w14:paraId="7ED5BEC4" w14:textId="77777777">
            <w:pPr>
              <w:autoSpaceDE w:val="0"/>
              <w:autoSpaceDN w:val="0"/>
              <w:adjustRightInd w:val="0"/>
              <w:spacing w:before="120" w:after="120" w:line="240" w:lineRule="auto"/>
              <w:jc w:val="both"/>
              <w:rPr>
                <w:rFonts w:ascii="Arial" w:hAnsi="Arial"/>
                <w:sz w:val="18"/>
              </w:rPr>
            </w:pPr>
            <w:r w:rsidRPr="00CA1FF0">
              <w:rPr>
                <w:rFonts w:ascii="Arial" w:hAnsi="Arial"/>
                <w:sz w:val="18"/>
              </w:rPr>
              <w:t>Title:</w:t>
            </w:r>
          </w:p>
        </w:tc>
        <w:tc>
          <w:tcPr>
            <w:tcW w:w="4093" w:type="dxa"/>
            <w:tcBorders>
              <w:top w:val="single" w:color="auto" w:sz="4" w:space="0"/>
              <w:bottom w:val="single" w:color="auto" w:sz="4" w:space="0"/>
            </w:tcBorders>
            <w:vAlign w:val="bottom"/>
          </w:tcPr>
          <w:p w:rsidRPr="0047416D" w:rsidR="0047416D" w:rsidP="00CA1FF0" w:rsidRDefault="0047416D" w14:paraId="690469C0" w14:textId="77777777">
            <w:pPr>
              <w:keepLines/>
              <w:spacing w:before="120" w:after="120" w:line="240" w:lineRule="auto"/>
              <w:rPr>
                <w:rFonts w:ascii="Arial" w:hAnsi="Arial" w:eastAsia="Calibri" w:cs="Times New Roman"/>
                <w:sz w:val="20"/>
                <w:szCs w:val="20"/>
              </w:rPr>
            </w:pPr>
          </w:p>
        </w:tc>
      </w:tr>
      <w:tr w:rsidRPr="0047416D" w:rsidR="0047416D" w14:paraId="46750C35" w14:textId="77777777">
        <w:trPr>
          <w:cantSplit/>
          <w:trHeight w:val="504"/>
        </w:trPr>
        <w:tc>
          <w:tcPr>
            <w:tcW w:w="1008" w:type="dxa"/>
            <w:vAlign w:val="bottom"/>
          </w:tcPr>
          <w:p w:rsidRPr="00CA1FF0" w:rsidR="0047416D" w:rsidP="00CA1FF0" w:rsidRDefault="0047416D" w14:paraId="35B4D10F" w14:textId="77777777">
            <w:pPr>
              <w:autoSpaceDE w:val="0"/>
              <w:autoSpaceDN w:val="0"/>
              <w:adjustRightInd w:val="0"/>
              <w:spacing w:before="120" w:after="120" w:line="240" w:lineRule="auto"/>
              <w:jc w:val="both"/>
              <w:rPr>
                <w:rFonts w:ascii="Arial" w:hAnsi="Arial"/>
                <w:sz w:val="18"/>
              </w:rPr>
            </w:pPr>
            <w:r w:rsidRPr="00CA1FF0">
              <w:rPr>
                <w:rFonts w:ascii="Arial" w:hAnsi="Arial"/>
                <w:sz w:val="18"/>
              </w:rPr>
              <w:t>Date:</w:t>
            </w:r>
          </w:p>
        </w:tc>
        <w:tc>
          <w:tcPr>
            <w:tcW w:w="4093" w:type="dxa"/>
            <w:tcBorders>
              <w:top w:val="single" w:color="auto" w:sz="4" w:space="0"/>
              <w:bottom w:val="single" w:color="auto" w:sz="4" w:space="0"/>
            </w:tcBorders>
            <w:vAlign w:val="bottom"/>
          </w:tcPr>
          <w:p w:rsidRPr="0047416D" w:rsidR="0047416D" w:rsidP="00CA1FF0" w:rsidRDefault="0047416D" w14:paraId="74C50C48" w14:textId="77777777">
            <w:pPr>
              <w:keepLines/>
              <w:spacing w:before="120" w:after="120" w:line="240" w:lineRule="auto"/>
              <w:rPr>
                <w:rFonts w:ascii="Arial" w:hAnsi="Arial" w:eastAsia="Calibri" w:cs="Times New Roman"/>
                <w:sz w:val="20"/>
                <w:szCs w:val="20"/>
              </w:rPr>
            </w:pPr>
          </w:p>
        </w:tc>
      </w:tr>
    </w:tbl>
    <w:p w:rsidR="00466961" w:rsidP="0047416D" w:rsidRDefault="00466961" w14:paraId="2FFCCE82" w14:textId="32AE5B7A">
      <w:pPr>
        <w:pStyle w:val="zGTitleExhibit"/>
        <w:jc w:val="left"/>
      </w:pPr>
    </w:p>
    <w:p w:rsidR="00466961" w:rsidP="00C243AB" w:rsidRDefault="00466961" w14:paraId="65BC4F89" w14:textId="77777777">
      <w:pPr>
        <w:pStyle w:val="zGTitleExhibit"/>
      </w:pPr>
    </w:p>
    <w:p w:rsidR="00466961" w:rsidP="00C243AB" w:rsidRDefault="00466961" w14:paraId="04442971" w14:textId="77777777">
      <w:pPr>
        <w:pStyle w:val="zGTitleExhibit"/>
      </w:pPr>
    </w:p>
    <w:p w:rsidR="00466961" w:rsidP="00C243AB" w:rsidRDefault="00466961" w14:paraId="0C9A417F" w14:textId="77777777">
      <w:pPr>
        <w:pStyle w:val="zGTitleExhibit"/>
      </w:pPr>
    </w:p>
    <w:p w:rsidR="00466961" w:rsidP="00C243AB" w:rsidRDefault="00466961" w14:paraId="14CF564B" w14:textId="77777777">
      <w:pPr>
        <w:pStyle w:val="zGTitleExhibit"/>
      </w:pPr>
    </w:p>
    <w:p w:rsidR="00466961" w:rsidP="00C243AB" w:rsidRDefault="00466961" w14:paraId="712E34B7" w14:textId="77777777">
      <w:pPr>
        <w:pStyle w:val="zGTitleExhibit"/>
      </w:pPr>
    </w:p>
    <w:p w:rsidR="00466961" w:rsidP="00C243AB" w:rsidRDefault="00466961" w14:paraId="14A93689" w14:textId="77777777">
      <w:pPr>
        <w:pStyle w:val="zGTitleExhibit"/>
      </w:pPr>
    </w:p>
    <w:p w:rsidR="00466961" w:rsidP="00C243AB" w:rsidRDefault="00466961" w14:paraId="3A9DE888" w14:textId="77777777">
      <w:pPr>
        <w:pStyle w:val="zGTitleExhibit"/>
      </w:pPr>
    </w:p>
    <w:p w:rsidR="00466961" w:rsidP="00C243AB" w:rsidRDefault="00466961" w14:paraId="56EE7D2D" w14:textId="77777777">
      <w:pPr>
        <w:pStyle w:val="zGTitleExhibit"/>
      </w:pPr>
    </w:p>
    <w:p w:rsidR="00466961" w:rsidP="00C243AB" w:rsidRDefault="00466961" w14:paraId="16450409" w14:textId="77777777">
      <w:pPr>
        <w:pStyle w:val="zGTitleExhibit"/>
      </w:pPr>
    </w:p>
    <w:p w:rsidR="00466961" w:rsidP="00CA1FF0" w:rsidRDefault="00466961" w14:paraId="4C076EDA" w14:textId="77777777">
      <w:pPr>
        <w:pStyle w:val="zGTitleExhibit"/>
        <w:jc w:val="left"/>
      </w:pPr>
    </w:p>
    <w:p w:rsidR="00466961" w:rsidP="00CA1FF0" w:rsidRDefault="00466961" w14:paraId="543486A6" w14:textId="77777777">
      <w:pPr>
        <w:pStyle w:val="zGTitleExhibit"/>
      </w:pPr>
    </w:p>
    <w:p w:rsidR="00050A04" w:rsidP="00C243AB" w:rsidRDefault="00050A04" w14:paraId="7E1E65E4" w14:textId="77777777">
      <w:pPr>
        <w:pStyle w:val="zGTitleExhibit"/>
      </w:pPr>
    </w:p>
    <w:p w:rsidR="00924643" w:rsidRDefault="00924643" w14:paraId="75B9188D" w14:textId="77777777">
      <w:pPr>
        <w:rPr>
          <w:rFonts w:ascii="Arial" w:hAnsi="Arial" w:eastAsia="Times New Roman" w:cs="Times New Roman"/>
          <w:b/>
          <w:bCs/>
          <w:caps/>
          <w:kern w:val="32"/>
          <w:szCs w:val="32"/>
          <w:u w:val="single"/>
        </w:rPr>
      </w:pPr>
      <w:bookmarkStart w:name="_Toc194937608" w:id="1746"/>
      <w:r>
        <w:br w:type="page"/>
      </w:r>
    </w:p>
    <w:p w:rsidRPr="00BE5492" w:rsidR="002D54C4" w:rsidP="00C243AB" w:rsidRDefault="008B55A2" w14:paraId="6F37E8FE" w14:textId="77777777">
      <w:pPr>
        <w:pStyle w:val="zGTitleExhibit"/>
      </w:pPr>
      <w:bookmarkStart w:name="_Toc174624992" w:id="1747"/>
      <w:bookmarkStart w:name="_Toc227451705" w:id="1748"/>
      <w:r>
        <w:lastRenderedPageBreak/>
        <w:t>Exhibit M – VIE Certification</w:t>
      </w:r>
      <w:bookmarkEnd w:id="1723"/>
      <w:bookmarkEnd w:id="1746"/>
      <w:bookmarkEnd w:id="1747"/>
      <w:bookmarkEnd w:id="1748"/>
    </w:p>
    <w:p w:rsidRPr="00412C31" w:rsidR="002D54C4" w:rsidP="00443731" w:rsidRDefault="008B55A2" w14:paraId="4EF23A34" w14:textId="5E1A1869">
      <w:pPr>
        <w:suppressAutoHyphens/>
        <w:adjustRightInd w:val="0"/>
        <w:spacing w:after="0"/>
        <w:jc w:val="both"/>
        <w:textAlignment w:val="baseline"/>
        <w:rPr>
          <w:rFonts w:ascii="Arial" w:hAnsi="Arial" w:eastAsia="Times New Roman" w:cs="Arial"/>
          <w:sz w:val="20"/>
          <w:szCs w:val="20"/>
        </w:rPr>
      </w:pPr>
      <w:r>
        <w:rPr>
          <w:rFonts w:ascii="Arial" w:hAnsi="Arial" w:eastAsia="Times New Roman" w:cs="Arial"/>
          <w:b/>
          <w:sz w:val="20"/>
          <w:szCs w:val="20"/>
        </w:rPr>
        <w:t xml:space="preserve">AGREEMENT – </w:t>
      </w:r>
      <w:r>
        <w:rPr>
          <w:rFonts w:ascii="Arial" w:hAnsi="Arial" w:eastAsia="Times New Roman" w:cs="Arial"/>
          <w:b/>
          <w:bCs/>
          <w:sz w:val="20"/>
          <w:szCs w:val="20"/>
        </w:rPr>
        <w:t xml:space="preserve">Power </w:t>
      </w:r>
      <w:r>
        <w:rPr>
          <w:rFonts w:ascii="Arial" w:hAnsi="Arial" w:cs="Arial"/>
          <w:b/>
          <w:bCs/>
          <w:sz w:val="20"/>
          <w:szCs w:val="20"/>
        </w:rPr>
        <w:t xml:space="preserve">Purchase Agreement for Firm Capacity, Energy Storage Services, and Ancillary Services from a Battery Energy Storage System </w:t>
      </w:r>
      <w:r w:rsidR="00373BDD">
        <w:rPr>
          <w:rFonts w:ascii="Arial" w:hAnsi="Arial" w:cs="Arial"/>
          <w:b/>
          <w:bCs/>
          <w:sz w:val="20"/>
          <w:szCs w:val="20"/>
        </w:rPr>
        <w:t>[</w:t>
      </w:r>
      <w:r w:rsidRPr="00373BDD" w:rsidR="00373BDD">
        <w:rPr>
          <w:rFonts w:ascii="Arial" w:hAnsi="Arial" w:cs="Arial"/>
          <w:b/>
          <w:bCs/>
          <w:sz w:val="20"/>
          <w:szCs w:val="20"/>
          <w:highlight w:val="yellow"/>
        </w:rPr>
        <w:t>Paired with a Renewable Resource</w:t>
      </w:r>
      <w:r w:rsidR="00373BDD">
        <w:rPr>
          <w:rFonts w:ascii="Arial" w:hAnsi="Arial" w:cs="Arial"/>
          <w:b/>
          <w:bCs/>
          <w:sz w:val="20"/>
          <w:szCs w:val="20"/>
        </w:rPr>
        <w:t xml:space="preserve">] for </w:t>
      </w:r>
      <w:r w:rsidRPr="00CE05DD" w:rsidR="00CE05DD">
        <w:rPr>
          <w:rFonts w:ascii="Arial" w:hAnsi="Arial" w:cs="Arial"/>
          <w:b/>
          <w:sz w:val="20"/>
          <w:szCs w:val="20"/>
        </w:rPr>
        <w:t>2026 All-Source Capacity Request for Proposals for Need Years 2032</w:t>
      </w:r>
      <w:r w:rsidR="000F49F2">
        <w:rPr>
          <w:rFonts w:ascii="Arial" w:hAnsi="Arial" w:cs="Arial"/>
          <w:b/>
          <w:sz w:val="20"/>
          <w:szCs w:val="20"/>
        </w:rPr>
        <w:t>-</w:t>
      </w:r>
      <w:r w:rsidRPr="00CE05DD" w:rsidR="00CE05DD">
        <w:rPr>
          <w:rFonts w:ascii="Arial" w:hAnsi="Arial" w:cs="Arial"/>
          <w:b/>
          <w:sz w:val="20"/>
          <w:szCs w:val="20"/>
        </w:rPr>
        <w:t>2033</w:t>
      </w:r>
      <w:r w:rsidR="00373BDD">
        <w:rPr>
          <w:rFonts w:ascii="Arial" w:hAnsi="Arial" w:cs="Arial"/>
          <w:b/>
          <w:bCs/>
          <w:sz w:val="20"/>
          <w:szCs w:val="20"/>
        </w:rPr>
        <w:t xml:space="preserve"> </w:t>
      </w:r>
      <w:r>
        <w:rPr>
          <w:rFonts w:ascii="Arial" w:hAnsi="Arial" w:cs="Arial"/>
          <w:b/>
          <w:bCs/>
          <w:sz w:val="20"/>
          <w:szCs w:val="20"/>
        </w:rPr>
        <w:t>a</w:t>
      </w:r>
      <w:r>
        <w:rPr>
          <w:rStyle w:val="normaltextrun"/>
          <w:rFonts w:ascii="Arial" w:hAnsi="Arial" w:cs="Arial"/>
          <w:b/>
          <w:bCs/>
          <w:sz w:val="20"/>
          <w:szCs w:val="20"/>
          <w:shd w:val="clear" w:color="auto" w:fill="FFFFFF"/>
        </w:rPr>
        <w:t xml:space="preserve">t </w:t>
      </w:r>
      <w:r>
        <w:rPr>
          <w:rStyle w:val="normaltextrun"/>
          <w:rFonts w:ascii="Arial" w:hAnsi="Arial" w:cs="Arial"/>
          <w:b/>
          <w:bCs/>
          <w:sz w:val="20"/>
          <w:szCs w:val="20"/>
          <w:highlight w:val="yellow"/>
          <w:shd w:val="clear" w:color="auto" w:fill="FFFFFF"/>
        </w:rPr>
        <w:t>#Facility Name#</w:t>
      </w:r>
      <w:r>
        <w:rPr>
          <w:rFonts w:ascii="Arial" w:hAnsi="Arial" w:eastAsia="Times New Roman" w:cs="Arial"/>
          <w:sz w:val="20"/>
          <w:szCs w:val="20"/>
        </w:rPr>
        <w:t xml:space="preserve"> dated </w:t>
      </w:r>
      <w:r>
        <w:rPr>
          <w:rFonts w:ascii="Arial" w:hAnsi="Arial" w:eastAsia="Calibri" w:cs="Arial"/>
          <w:sz w:val="20"/>
          <w:szCs w:val="20"/>
          <w:highlight w:val="yellow"/>
        </w:rPr>
        <w:t>#Month</w:t>
      </w:r>
      <w:r>
        <w:rPr>
          <w:rFonts w:ascii="Arial" w:hAnsi="Arial" w:eastAsia="Calibri" w:cs="Arial"/>
          <w:sz w:val="20"/>
          <w:szCs w:val="20"/>
        </w:rPr>
        <w:t xml:space="preserve"> </w:t>
      </w:r>
      <w:r>
        <w:rPr>
          <w:rFonts w:ascii="Arial" w:hAnsi="Arial" w:eastAsia="Calibri" w:cs="Arial"/>
          <w:sz w:val="20"/>
          <w:szCs w:val="20"/>
          <w:highlight w:val="yellow"/>
        </w:rPr>
        <w:t>#Day</w:t>
      </w:r>
      <w:r>
        <w:rPr>
          <w:rFonts w:ascii="Arial" w:hAnsi="Arial" w:eastAsia="Calibri" w:cs="Arial"/>
          <w:sz w:val="20"/>
          <w:szCs w:val="20"/>
        </w:rPr>
        <w:t xml:space="preserve">, </w:t>
      </w:r>
      <w:r>
        <w:rPr>
          <w:rFonts w:ascii="Arial" w:hAnsi="Arial" w:eastAsia="Calibri" w:cs="Arial"/>
          <w:sz w:val="20"/>
          <w:szCs w:val="20"/>
          <w:highlight w:val="yellow"/>
        </w:rPr>
        <w:t>#Year</w:t>
      </w:r>
      <w:r>
        <w:rPr>
          <w:rFonts w:ascii="Arial" w:hAnsi="Arial" w:eastAsia="Times New Roman" w:cs="Arial"/>
          <w:sz w:val="20"/>
          <w:szCs w:val="20"/>
        </w:rPr>
        <w:t xml:space="preserve"> between</w:t>
      </w:r>
      <w:r>
        <w:rPr>
          <w:rFonts w:ascii="Arial" w:hAnsi="Arial" w:eastAsia="Times New Roman" w:cs="Arial"/>
          <w:b/>
          <w:sz w:val="20"/>
          <w:szCs w:val="20"/>
        </w:rPr>
        <w:t xml:space="preserve"> </w:t>
      </w:r>
      <w:r>
        <w:rPr>
          <w:rFonts w:ascii="Arial" w:hAnsi="Arial" w:eastAsia="Times New Roman" w:cs="Arial"/>
          <w:sz w:val="20"/>
          <w:szCs w:val="20"/>
        </w:rPr>
        <w:t>Georgia Power Company (“</w:t>
      </w:r>
      <w:r>
        <w:rPr>
          <w:rFonts w:ascii="Arial" w:hAnsi="Arial" w:eastAsia="Times New Roman" w:cs="Arial"/>
          <w:b/>
          <w:bCs/>
          <w:sz w:val="20"/>
          <w:szCs w:val="20"/>
        </w:rPr>
        <w:t>GPC</w:t>
      </w:r>
      <w:r>
        <w:rPr>
          <w:rFonts w:ascii="Arial" w:hAnsi="Arial" w:eastAsia="Times New Roman" w:cs="Arial"/>
          <w:sz w:val="20"/>
          <w:szCs w:val="20"/>
        </w:rPr>
        <w:t xml:space="preserve">”), and </w:t>
      </w:r>
      <w:r>
        <w:rPr>
          <w:rFonts w:ascii="Arial" w:hAnsi="Arial" w:eastAsia="Yu Mincho" w:cs="Arial"/>
          <w:b/>
          <w:spacing w:val="-6"/>
          <w:kern w:val="14"/>
          <w:sz w:val="20"/>
          <w:szCs w:val="20"/>
          <w:highlight w:val="yellow"/>
        </w:rPr>
        <w:t>#SellerLegalName#</w:t>
      </w:r>
      <w:r>
        <w:rPr>
          <w:rFonts w:ascii="Arial" w:hAnsi="Arial" w:eastAsia="Times New Roman" w:cs="Arial"/>
          <w:sz w:val="20"/>
          <w:szCs w:val="20"/>
        </w:rPr>
        <w:t xml:space="preserve"> (“</w:t>
      </w:r>
      <w:r>
        <w:rPr>
          <w:rFonts w:ascii="Arial" w:hAnsi="Arial" w:eastAsia="Times New Roman" w:cs="Arial"/>
          <w:b/>
          <w:sz w:val="20"/>
          <w:szCs w:val="20"/>
        </w:rPr>
        <w:t>Seller</w:t>
      </w:r>
      <w:r>
        <w:rPr>
          <w:rFonts w:ascii="Arial" w:hAnsi="Arial" w:eastAsia="Times New Roman" w:cs="Arial"/>
          <w:sz w:val="20"/>
          <w:szCs w:val="20"/>
        </w:rPr>
        <w:t>”) (“</w:t>
      </w:r>
      <w:r>
        <w:rPr>
          <w:rFonts w:ascii="Arial" w:hAnsi="Arial" w:eastAsia="Times New Roman" w:cs="Arial"/>
          <w:b/>
          <w:bCs/>
          <w:sz w:val="20"/>
          <w:szCs w:val="20"/>
        </w:rPr>
        <w:t>PPA</w:t>
      </w:r>
      <w:r>
        <w:rPr>
          <w:rFonts w:ascii="Arial" w:hAnsi="Arial" w:eastAsia="Times New Roman" w:cs="Arial"/>
          <w:sz w:val="20"/>
          <w:szCs w:val="20"/>
        </w:rPr>
        <w:t xml:space="preserve">”).  Capitalized terms used herein </w:t>
      </w:r>
      <w:r>
        <w:rPr>
          <w:rFonts w:ascii="Arial" w:hAnsi="Arial" w:cs="Arial"/>
          <w:sz w:val="20"/>
          <w:szCs w:val="20"/>
        </w:rPr>
        <w:t>will</w:t>
      </w:r>
      <w:r>
        <w:rPr>
          <w:rFonts w:ascii="Arial" w:hAnsi="Arial" w:eastAsia="Times New Roman" w:cs="Arial"/>
          <w:sz w:val="20"/>
          <w:szCs w:val="20"/>
        </w:rPr>
        <w:t xml:space="preserve"> have the meaning assigned in the </w:t>
      </w:r>
      <w:r w:rsidR="00945ECD">
        <w:rPr>
          <w:rFonts w:ascii="Arial" w:hAnsi="Arial" w:eastAsia="Times New Roman" w:cs="Arial"/>
          <w:sz w:val="20"/>
          <w:szCs w:val="20"/>
        </w:rPr>
        <w:t>PPA</w:t>
      </w:r>
      <w:r>
        <w:rPr>
          <w:rFonts w:ascii="Arial" w:hAnsi="Arial" w:eastAsia="Times New Roman" w:cs="Arial"/>
          <w:sz w:val="20"/>
          <w:szCs w:val="20"/>
        </w:rPr>
        <w:t>.</w:t>
      </w:r>
    </w:p>
    <w:p w:rsidRPr="00412C31" w:rsidR="002D54C4" w:rsidP="00443731" w:rsidRDefault="002D54C4" w14:paraId="3DAFC651" w14:textId="77777777">
      <w:pPr>
        <w:suppressAutoHyphens/>
        <w:adjustRightInd w:val="0"/>
        <w:spacing w:after="0"/>
        <w:jc w:val="both"/>
        <w:textAlignment w:val="baseline"/>
        <w:rPr>
          <w:rFonts w:ascii="Arial" w:hAnsi="Arial" w:eastAsia="Times New Roman" w:cs="Arial"/>
          <w:b/>
          <w:sz w:val="20"/>
          <w:szCs w:val="20"/>
        </w:rPr>
      </w:pPr>
    </w:p>
    <w:p w:rsidRPr="00412C31" w:rsidR="002D54C4" w:rsidP="00443731" w:rsidRDefault="008B55A2" w14:paraId="1B57DAB5" w14:textId="77777777">
      <w:pPr>
        <w:suppressAutoHyphens/>
        <w:autoSpaceDE w:val="0"/>
        <w:autoSpaceDN w:val="0"/>
        <w:adjustRightInd w:val="0"/>
        <w:jc w:val="both"/>
        <w:rPr>
          <w:rFonts w:ascii="Arial" w:hAnsi="Arial" w:eastAsia="Calibri" w:cs="Arial"/>
          <w:sz w:val="20"/>
          <w:szCs w:val="20"/>
        </w:rPr>
      </w:pPr>
      <w:bookmarkStart w:name="_DV_C2135" w:id="1749"/>
      <w:r>
        <w:rPr>
          <w:rFonts w:ascii="Arial" w:hAnsi="Arial" w:eastAsia="Calibri" w:cs="Arial"/>
          <w:sz w:val="20"/>
          <w:szCs w:val="20"/>
        </w:rPr>
        <w:t>The undersigned individual, being the</w:t>
      </w:r>
      <w:bookmarkStart w:name="_DV_X1736" w:id="1750"/>
      <w:bookmarkStart w:name="_DV_C2136" w:id="1751"/>
      <w:bookmarkEnd w:id="1749"/>
      <w:r>
        <w:rPr>
          <w:rFonts w:ascii="Arial" w:hAnsi="Arial" w:eastAsia="Calibri" w:cs="Arial"/>
          <w:sz w:val="20"/>
          <w:szCs w:val="20"/>
        </w:rPr>
        <w:t xml:space="preserve"> Chief Financial Officer </w:t>
      </w:r>
      <w:bookmarkStart w:name="_DV_C2137" w:id="1752"/>
      <w:bookmarkEnd w:id="1750"/>
      <w:bookmarkEnd w:id="1751"/>
      <w:r>
        <w:rPr>
          <w:rFonts w:ascii="Arial" w:hAnsi="Arial" w:eastAsia="Calibri" w:cs="Arial"/>
          <w:sz w:val="20"/>
          <w:szCs w:val="20"/>
        </w:rPr>
        <w:t>of Seller</w:t>
      </w:r>
      <w:bookmarkStart w:name="_Ref121294435" w:id="1753"/>
      <w:r>
        <w:rPr>
          <w:rFonts w:ascii="Arial" w:hAnsi="Arial" w:eastAsia="Calibri" w:cs="Arial"/>
          <w:sz w:val="20"/>
          <w:szCs w:val="20"/>
          <w:vertAlign w:val="superscript"/>
        </w:rPr>
        <w:footnoteReference w:id="5"/>
      </w:r>
      <w:bookmarkEnd w:id="1753"/>
      <w:r>
        <w:rPr>
          <w:rFonts w:ascii="Arial" w:hAnsi="Arial" w:eastAsia="Calibri" w:cs="Arial"/>
          <w:sz w:val="20"/>
          <w:szCs w:val="20"/>
        </w:rPr>
        <w:t xml:space="preserve"> and having responsibilities for financial accounting matters associated with this PPA, certifies that this </w:t>
      </w:r>
      <w:r>
        <w:rPr>
          <w:rFonts w:ascii="Arial" w:hAnsi="Arial" w:eastAsia="Times New Roman" w:cs="Arial"/>
          <w:sz w:val="20"/>
          <w:szCs w:val="20"/>
        </w:rPr>
        <w:t xml:space="preserve">PPA </w:t>
      </w:r>
      <w:r>
        <w:rPr>
          <w:rFonts w:ascii="Arial" w:hAnsi="Arial" w:eastAsia="Calibri" w:cs="Arial"/>
          <w:sz w:val="20"/>
          <w:szCs w:val="20"/>
        </w:rPr>
        <w:t>WILL (_____)/WILL NOT (_____) require Seller, over the Term and based on U.S. Generally Accepting Accounting Principles in effect as of the date of this certificate, to deconsolidate on its books and records any assets, liabilities, cash flow, profits, or losses of Seller as a result of GPC being determined to be the Primary Beneficiary. My determination of the most likely accounting treatment of this transaction results from my personal consideration after necessary discussions with relevant officers of</w:t>
      </w:r>
      <w:bookmarkStart w:name="_DV_X2116" w:id="1754"/>
      <w:bookmarkStart w:name="_DV_C2138" w:id="1755"/>
      <w:bookmarkEnd w:id="1752"/>
      <w:r>
        <w:rPr>
          <w:rFonts w:ascii="Arial" w:hAnsi="Arial" w:eastAsia="Calibri" w:cs="Arial"/>
          <w:sz w:val="20"/>
          <w:szCs w:val="20"/>
        </w:rPr>
        <w:t xml:space="preserve"> Accounting Standards Codification (“</w:t>
      </w:r>
      <w:r>
        <w:rPr>
          <w:rFonts w:ascii="Arial" w:hAnsi="Arial" w:eastAsia="Calibri" w:cs="Arial"/>
          <w:b/>
          <w:sz w:val="20"/>
          <w:szCs w:val="20"/>
        </w:rPr>
        <w:t>ASC</w:t>
      </w:r>
      <w:r>
        <w:rPr>
          <w:rFonts w:ascii="Arial" w:hAnsi="Arial" w:eastAsia="Calibri" w:cs="Arial"/>
          <w:sz w:val="20"/>
          <w:szCs w:val="20"/>
        </w:rPr>
        <w:t xml:space="preserve">”) Topic </w:t>
      </w:r>
      <w:bookmarkStart w:name="DocXTextRef461" w:id="1756"/>
      <w:r>
        <w:rPr>
          <w:rFonts w:ascii="Arial" w:hAnsi="Arial" w:eastAsia="Calibri" w:cs="Arial"/>
          <w:sz w:val="20"/>
          <w:szCs w:val="20"/>
        </w:rPr>
        <w:t>810</w:t>
      </w:r>
      <w:bookmarkEnd w:id="1756"/>
      <w:r>
        <w:rPr>
          <w:rFonts w:ascii="Arial" w:hAnsi="Arial" w:eastAsia="Calibri" w:cs="Arial"/>
          <w:sz w:val="20"/>
          <w:szCs w:val="20"/>
        </w:rPr>
        <w:t xml:space="preserve">, </w:t>
      </w:r>
      <w:bookmarkStart w:name="_DV_C2139" w:id="1757"/>
      <w:bookmarkEnd w:id="1754"/>
      <w:bookmarkEnd w:id="1755"/>
      <w:r>
        <w:rPr>
          <w:rFonts w:ascii="Arial" w:hAnsi="Arial" w:eastAsia="Calibri" w:cs="Arial"/>
          <w:sz w:val="20"/>
          <w:szCs w:val="20"/>
        </w:rPr>
        <w:t>Consolidation, and the following factual matters:</w:t>
      </w:r>
      <w:bookmarkEnd w:id="1757"/>
    </w:p>
    <w:p w:rsidRPr="00412C31" w:rsidR="002D54C4" w:rsidP="00236AED" w:rsidRDefault="008B55A2" w14:paraId="146E1DF5" w14:textId="77777777">
      <w:pPr>
        <w:widowControl w:val="0"/>
        <w:numPr>
          <w:ilvl w:val="0"/>
          <w:numId w:val="6"/>
        </w:numPr>
        <w:suppressAutoHyphens/>
        <w:autoSpaceDE w:val="0"/>
        <w:autoSpaceDN w:val="0"/>
        <w:adjustRightInd w:val="0"/>
        <w:spacing w:after="0"/>
        <w:textAlignment w:val="baseline"/>
        <w:rPr>
          <w:rFonts w:ascii="Arial" w:hAnsi="Arial" w:eastAsia="Calibri" w:cs="Arial"/>
          <w:sz w:val="20"/>
          <w:szCs w:val="20"/>
        </w:rPr>
      </w:pPr>
      <w:bookmarkStart w:name="_DV_C2140" w:id="1758"/>
      <w:r>
        <w:rPr>
          <w:rFonts w:ascii="Arial" w:hAnsi="Arial" w:eastAsia="Calibri" w:cs="Arial"/>
          <w:sz w:val="20"/>
          <w:szCs w:val="20"/>
        </w:rPr>
        <w:t>Seller’s accounting policies, procedures, and internal controls are sufficient to provide GPC with an appropriate basis for confirming the information contained herein.</w:t>
      </w:r>
      <w:bookmarkEnd w:id="1758"/>
    </w:p>
    <w:p w:rsidRPr="00412C31" w:rsidR="002D54C4" w:rsidP="008D60E3" w:rsidRDefault="002D54C4" w14:paraId="5F800F6D" w14:textId="77777777">
      <w:pPr>
        <w:suppressAutoHyphens/>
        <w:autoSpaceDE w:val="0"/>
        <w:autoSpaceDN w:val="0"/>
        <w:adjustRightInd w:val="0"/>
        <w:spacing w:after="0"/>
        <w:ind w:firstLine="720"/>
        <w:rPr>
          <w:rFonts w:ascii="Arial" w:hAnsi="Arial" w:eastAsia="Calibri" w:cs="Arial"/>
          <w:sz w:val="20"/>
          <w:szCs w:val="20"/>
        </w:rPr>
      </w:pPr>
      <w:bookmarkStart w:name="_DV_C2141" w:id="1759"/>
    </w:p>
    <w:p w:rsidRPr="00412C31" w:rsidR="002D54C4" w:rsidP="008D60E3" w:rsidRDefault="008B55A2" w14:paraId="4EDCB71E"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________Yes</w:t>
      </w:r>
      <w:bookmarkEnd w:id="1759"/>
    </w:p>
    <w:p w:rsidRPr="00412C31" w:rsidR="002D54C4" w:rsidP="008D60E3" w:rsidRDefault="008B55A2" w14:paraId="0469D0AB" w14:textId="77777777">
      <w:pPr>
        <w:suppressAutoHyphens/>
        <w:autoSpaceDE w:val="0"/>
        <w:autoSpaceDN w:val="0"/>
        <w:adjustRightInd w:val="0"/>
        <w:spacing w:after="0"/>
        <w:ind w:firstLine="720"/>
        <w:rPr>
          <w:rFonts w:ascii="Arial" w:hAnsi="Arial" w:eastAsia="Calibri" w:cs="Arial"/>
          <w:sz w:val="20"/>
          <w:szCs w:val="20"/>
        </w:rPr>
      </w:pPr>
      <w:bookmarkStart w:name="_DV_C2142" w:id="1760"/>
      <w:r>
        <w:rPr>
          <w:rFonts w:ascii="Arial" w:hAnsi="Arial" w:eastAsia="Calibri" w:cs="Arial"/>
          <w:sz w:val="20"/>
          <w:szCs w:val="20"/>
        </w:rPr>
        <w:t>________No (please explain)</w:t>
      </w:r>
      <w:bookmarkEnd w:id="1760"/>
    </w:p>
    <w:p w:rsidRPr="00412C31" w:rsidR="002D54C4" w:rsidP="008D60E3" w:rsidRDefault="002D54C4" w14:paraId="6A76F0A2"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8D60E3" w:rsidRDefault="008B55A2" w14:paraId="6FFA5FC0" w14:textId="77777777">
      <w:pPr>
        <w:suppressAutoHyphens/>
        <w:autoSpaceDE w:val="0"/>
        <w:autoSpaceDN w:val="0"/>
        <w:adjustRightInd w:val="0"/>
        <w:spacing w:after="0"/>
        <w:ind w:left="720" w:hanging="14"/>
        <w:rPr>
          <w:rFonts w:ascii="Arial" w:hAnsi="Arial" w:eastAsia="Calibri" w:cs="Arial"/>
          <w:iCs/>
          <w:sz w:val="20"/>
          <w:szCs w:val="20"/>
        </w:rPr>
      </w:pPr>
      <w:r>
        <w:rPr>
          <w:rFonts w:ascii="Arial" w:hAnsi="Arial" w:eastAsia="Calibri" w:cs="Arial"/>
          <w:i/>
          <w:sz w:val="20"/>
          <w:szCs w:val="20"/>
        </w:rPr>
        <w:t>Explain:</w:t>
      </w:r>
      <w:r>
        <w:rPr>
          <w:rFonts w:ascii="Arial" w:hAnsi="Arial" w:eastAsia="Calibri" w:cs="Arial"/>
          <w:iCs/>
          <w:sz w:val="20"/>
          <w:szCs w:val="20"/>
        </w:rPr>
        <w:t>_______________________________________________________________________</w:t>
      </w:r>
    </w:p>
    <w:p w:rsidRPr="00412C31" w:rsidR="002D54C4" w:rsidP="008D60E3" w:rsidRDefault="002D54C4" w14:paraId="73382DFA" w14:textId="77777777">
      <w:pPr>
        <w:suppressAutoHyphens/>
        <w:autoSpaceDE w:val="0"/>
        <w:autoSpaceDN w:val="0"/>
        <w:adjustRightInd w:val="0"/>
        <w:spacing w:after="0"/>
        <w:ind w:left="720" w:hanging="14"/>
        <w:rPr>
          <w:rFonts w:ascii="Arial" w:hAnsi="Arial" w:eastAsia="Calibri" w:cs="Arial"/>
          <w:sz w:val="20"/>
          <w:szCs w:val="20"/>
        </w:rPr>
      </w:pPr>
    </w:p>
    <w:p w:rsidRPr="00412C31" w:rsidR="002D54C4" w:rsidP="00236AED" w:rsidRDefault="008B55A2" w14:paraId="4D48B8F2"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r>
        <w:rPr>
          <w:rFonts w:ascii="Arial" w:hAnsi="Arial" w:eastAsia="Calibri" w:cs="Arial"/>
          <w:sz w:val="20"/>
          <w:szCs w:val="20"/>
        </w:rPr>
        <w:t xml:space="preserve">Seller qualifies for one of the scope exceptions listed in paragraphs </w:t>
      </w:r>
      <w:bookmarkStart w:name="DocXTextRef462" w:id="1761"/>
      <w:r>
        <w:rPr>
          <w:rFonts w:ascii="Arial" w:hAnsi="Arial" w:eastAsia="Calibri" w:cs="Arial"/>
          <w:sz w:val="20"/>
          <w:szCs w:val="20"/>
        </w:rPr>
        <w:t>810</w:t>
      </w:r>
      <w:bookmarkEnd w:id="1761"/>
      <w:r>
        <w:rPr>
          <w:rFonts w:ascii="Arial" w:hAnsi="Arial" w:eastAsia="Calibri" w:cs="Arial"/>
          <w:sz w:val="20"/>
          <w:szCs w:val="20"/>
        </w:rPr>
        <w:t>-</w:t>
      </w:r>
      <w:bookmarkStart w:name="DocXTextRef463" w:id="1762"/>
      <w:r>
        <w:rPr>
          <w:rFonts w:ascii="Arial" w:hAnsi="Arial" w:eastAsia="Calibri" w:cs="Arial"/>
          <w:sz w:val="20"/>
          <w:szCs w:val="20"/>
        </w:rPr>
        <w:t>10</w:t>
      </w:r>
      <w:bookmarkEnd w:id="1762"/>
      <w:r>
        <w:rPr>
          <w:rFonts w:ascii="Arial" w:hAnsi="Arial" w:eastAsia="Calibri" w:cs="Arial"/>
          <w:sz w:val="20"/>
          <w:szCs w:val="20"/>
        </w:rPr>
        <w:t xml:space="preserve">-15-12 and </w:t>
      </w:r>
      <w:bookmarkStart w:name="DocXTextRef466" w:id="1763"/>
      <w:r>
        <w:rPr>
          <w:rFonts w:ascii="Arial" w:hAnsi="Arial" w:eastAsia="Calibri" w:cs="Arial"/>
          <w:sz w:val="20"/>
          <w:szCs w:val="20"/>
        </w:rPr>
        <w:t>810</w:t>
      </w:r>
      <w:bookmarkEnd w:id="1763"/>
      <w:r>
        <w:rPr>
          <w:rFonts w:ascii="Arial" w:hAnsi="Arial" w:eastAsia="Calibri" w:cs="Arial"/>
          <w:sz w:val="20"/>
          <w:szCs w:val="20"/>
        </w:rPr>
        <w:t>-</w:t>
      </w:r>
      <w:bookmarkStart w:name="DocXTextRef464" w:id="1764"/>
      <w:r>
        <w:rPr>
          <w:rFonts w:ascii="Arial" w:hAnsi="Arial" w:eastAsia="Calibri" w:cs="Arial"/>
          <w:sz w:val="20"/>
          <w:szCs w:val="20"/>
        </w:rPr>
        <w:t>10</w:t>
      </w:r>
      <w:bookmarkEnd w:id="1764"/>
      <w:r>
        <w:rPr>
          <w:rFonts w:ascii="Arial" w:hAnsi="Arial" w:eastAsia="Calibri" w:cs="Arial"/>
          <w:sz w:val="20"/>
          <w:szCs w:val="20"/>
        </w:rPr>
        <w:t xml:space="preserve">-15-17 of ASC Topic </w:t>
      </w:r>
      <w:bookmarkStart w:name="DocXTextRef465" w:id="1765"/>
      <w:r>
        <w:rPr>
          <w:rFonts w:ascii="Arial" w:hAnsi="Arial" w:eastAsia="Calibri" w:cs="Arial"/>
          <w:sz w:val="20"/>
          <w:szCs w:val="20"/>
        </w:rPr>
        <w:t>810</w:t>
      </w:r>
      <w:bookmarkEnd w:id="1765"/>
      <w:r>
        <w:rPr>
          <w:rFonts w:ascii="Arial" w:hAnsi="Arial" w:eastAsia="Calibri" w:cs="Arial"/>
          <w:sz w:val="20"/>
          <w:szCs w:val="20"/>
        </w:rPr>
        <w:t xml:space="preserve">. </w:t>
      </w:r>
    </w:p>
    <w:p w:rsidRPr="00412C31" w:rsidR="002D54C4" w:rsidP="008D60E3" w:rsidRDefault="002D54C4" w14:paraId="79EBEFC1" w14:textId="77777777">
      <w:pPr>
        <w:suppressAutoHyphens/>
        <w:autoSpaceDE w:val="0"/>
        <w:autoSpaceDN w:val="0"/>
        <w:adjustRightInd w:val="0"/>
        <w:spacing w:after="0"/>
        <w:ind w:left="720"/>
        <w:contextualSpacing/>
        <w:rPr>
          <w:rFonts w:ascii="Arial" w:hAnsi="Arial" w:eastAsia="Calibri" w:cs="Arial"/>
          <w:sz w:val="20"/>
          <w:szCs w:val="20"/>
        </w:rPr>
      </w:pPr>
    </w:p>
    <w:p w:rsidRPr="00412C31" w:rsidR="002D54C4" w:rsidP="008D60E3" w:rsidRDefault="008B55A2" w14:paraId="6B59C921" w14:textId="77777777">
      <w:pPr>
        <w:suppressAutoHyphens/>
        <w:autoSpaceDE w:val="0"/>
        <w:autoSpaceDN w:val="0"/>
        <w:adjustRightInd w:val="0"/>
        <w:spacing w:after="0"/>
        <w:ind w:left="720"/>
        <w:contextualSpacing/>
        <w:rPr>
          <w:rFonts w:ascii="Arial" w:hAnsi="Arial" w:eastAsia="Calibri" w:cs="Arial"/>
          <w:sz w:val="20"/>
          <w:szCs w:val="20"/>
        </w:rPr>
      </w:pPr>
      <w:bookmarkStart w:name="_DV_C2145" w:id="1766"/>
      <w:r>
        <w:rPr>
          <w:rFonts w:ascii="Arial" w:hAnsi="Arial" w:eastAsia="Calibri" w:cs="Arial"/>
          <w:sz w:val="20"/>
          <w:szCs w:val="20"/>
        </w:rPr>
        <w:t xml:space="preserve">________Yes </w:t>
      </w:r>
    </w:p>
    <w:p w:rsidRPr="00412C31" w:rsidR="002D54C4" w:rsidP="008D60E3" w:rsidRDefault="008B55A2" w14:paraId="6E85E74E" w14:textId="77777777">
      <w:pPr>
        <w:suppressAutoHyphens/>
        <w:autoSpaceDE w:val="0"/>
        <w:autoSpaceDN w:val="0"/>
        <w:adjustRightInd w:val="0"/>
        <w:spacing w:after="0"/>
        <w:ind w:left="720"/>
        <w:contextualSpacing/>
        <w:rPr>
          <w:rFonts w:ascii="Arial" w:hAnsi="Arial" w:eastAsia="Calibri" w:cs="Arial"/>
          <w:sz w:val="20"/>
          <w:szCs w:val="20"/>
        </w:rPr>
      </w:pPr>
      <w:r>
        <w:rPr>
          <w:rFonts w:ascii="Arial" w:hAnsi="Arial" w:eastAsia="Calibri" w:cs="Arial"/>
          <w:sz w:val="20"/>
          <w:szCs w:val="20"/>
        </w:rPr>
        <w:t>________No</w:t>
      </w:r>
      <w:bookmarkEnd w:id="1766"/>
      <w:r>
        <w:rPr>
          <w:rFonts w:ascii="Arial" w:hAnsi="Arial" w:eastAsia="Calibri" w:cs="Arial"/>
          <w:sz w:val="20"/>
          <w:szCs w:val="20"/>
        </w:rPr>
        <w:t xml:space="preserve"> (please explain)</w:t>
      </w:r>
    </w:p>
    <w:p w:rsidRPr="00412C31" w:rsidR="002D54C4" w:rsidP="008D60E3" w:rsidRDefault="002D54C4" w14:paraId="22077FF7" w14:textId="77777777">
      <w:pPr>
        <w:suppressAutoHyphens/>
        <w:autoSpaceDE w:val="0"/>
        <w:autoSpaceDN w:val="0"/>
        <w:adjustRightInd w:val="0"/>
        <w:spacing w:after="0"/>
        <w:ind w:left="720"/>
        <w:contextualSpacing/>
        <w:rPr>
          <w:rFonts w:ascii="Arial" w:hAnsi="Arial" w:eastAsia="Calibri" w:cs="Arial"/>
          <w:sz w:val="20"/>
          <w:szCs w:val="20"/>
        </w:rPr>
      </w:pPr>
    </w:p>
    <w:p w:rsidRPr="00412C31" w:rsidR="002D54C4" w:rsidP="008D60E3" w:rsidRDefault="008B55A2" w14:paraId="14C4FE79" w14:textId="77777777">
      <w:pPr>
        <w:suppressAutoHyphens/>
        <w:autoSpaceDE w:val="0"/>
        <w:autoSpaceDN w:val="0"/>
        <w:adjustRightInd w:val="0"/>
        <w:spacing w:after="0"/>
        <w:ind w:left="720"/>
        <w:contextualSpacing/>
        <w:rPr>
          <w:rFonts w:ascii="Arial" w:hAnsi="Arial" w:eastAsia="Calibri" w:cs="Arial"/>
          <w:sz w:val="20"/>
          <w:szCs w:val="20"/>
        </w:rPr>
      </w:pPr>
      <w:r>
        <w:rPr>
          <w:rFonts w:ascii="Arial" w:hAnsi="Arial" w:eastAsia="Calibri" w:cs="Arial"/>
          <w:i/>
          <w:sz w:val="20"/>
          <w:szCs w:val="20"/>
        </w:rPr>
        <w:t>Explain:</w:t>
      </w:r>
      <w:r>
        <w:rPr>
          <w:rFonts w:ascii="Arial" w:hAnsi="Arial" w:eastAsia="Calibri" w:cs="Arial"/>
          <w:iCs/>
          <w:sz w:val="20"/>
          <w:szCs w:val="20"/>
        </w:rPr>
        <w:t xml:space="preserve">_______________________________________________________________________ </w:t>
      </w:r>
    </w:p>
    <w:p w:rsidRPr="00412C31" w:rsidR="002D54C4" w:rsidP="008D60E3" w:rsidRDefault="002D54C4" w14:paraId="64633655" w14:textId="77777777">
      <w:pPr>
        <w:suppressAutoHyphens/>
        <w:autoSpaceDE w:val="0"/>
        <w:autoSpaceDN w:val="0"/>
        <w:adjustRightInd w:val="0"/>
        <w:spacing w:after="0"/>
        <w:ind w:left="720"/>
        <w:contextualSpacing/>
        <w:rPr>
          <w:rFonts w:ascii="Arial" w:hAnsi="Arial" w:eastAsia="Calibri" w:cs="Arial"/>
          <w:sz w:val="20"/>
          <w:szCs w:val="20"/>
        </w:rPr>
      </w:pPr>
    </w:p>
    <w:p w:rsidRPr="00412C31" w:rsidR="002D54C4" w:rsidP="00236AED" w:rsidRDefault="008B55A2" w14:paraId="4D283491"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r>
        <w:rPr>
          <w:rFonts w:ascii="Arial" w:hAnsi="Arial" w:eastAsia="Calibri" w:cs="Arial"/>
          <w:sz w:val="20"/>
          <w:szCs w:val="20"/>
        </w:rPr>
        <w:t xml:space="preserve">Seller is financed with equity equal to or greater than 10% of Seller’s total assets per paragraphs </w:t>
      </w:r>
      <w:bookmarkStart w:name="DocXTextRef467" w:id="1767"/>
      <w:r>
        <w:rPr>
          <w:rFonts w:ascii="Arial" w:hAnsi="Arial" w:eastAsia="Calibri" w:cs="Arial"/>
          <w:sz w:val="20"/>
          <w:szCs w:val="20"/>
        </w:rPr>
        <w:t>810</w:t>
      </w:r>
      <w:bookmarkEnd w:id="1767"/>
      <w:r>
        <w:rPr>
          <w:rFonts w:ascii="Arial" w:hAnsi="Arial" w:eastAsia="Calibri" w:cs="Arial"/>
          <w:sz w:val="20"/>
          <w:szCs w:val="20"/>
        </w:rPr>
        <w:t>-</w:t>
      </w:r>
      <w:bookmarkStart w:name="DocXTextRef468" w:id="1768"/>
      <w:r>
        <w:rPr>
          <w:rFonts w:ascii="Arial" w:hAnsi="Arial" w:eastAsia="Calibri" w:cs="Arial"/>
          <w:sz w:val="20"/>
          <w:szCs w:val="20"/>
        </w:rPr>
        <w:t>10</w:t>
      </w:r>
      <w:bookmarkEnd w:id="1768"/>
      <w:r>
        <w:rPr>
          <w:rFonts w:ascii="Arial" w:hAnsi="Arial" w:eastAsia="Calibri" w:cs="Arial"/>
          <w:sz w:val="20"/>
          <w:szCs w:val="20"/>
        </w:rPr>
        <w:t xml:space="preserve">-25-45 to </w:t>
      </w:r>
      <w:bookmarkStart w:name="DocXTextRef470" w:id="1769"/>
      <w:r>
        <w:rPr>
          <w:rFonts w:ascii="Arial" w:hAnsi="Arial" w:eastAsia="Calibri" w:cs="Arial"/>
          <w:sz w:val="20"/>
          <w:szCs w:val="20"/>
        </w:rPr>
        <w:t>47</w:t>
      </w:r>
      <w:bookmarkEnd w:id="1769"/>
      <w:r>
        <w:rPr>
          <w:rFonts w:ascii="Arial" w:hAnsi="Arial" w:eastAsia="Calibri" w:cs="Arial"/>
          <w:sz w:val="20"/>
          <w:szCs w:val="20"/>
        </w:rPr>
        <w:t xml:space="preserve"> of ASC Topic </w:t>
      </w:r>
      <w:bookmarkStart w:name="DocXTextRef469" w:id="1770"/>
      <w:r>
        <w:rPr>
          <w:rFonts w:ascii="Arial" w:hAnsi="Arial" w:eastAsia="Calibri" w:cs="Arial"/>
          <w:sz w:val="20"/>
          <w:szCs w:val="20"/>
        </w:rPr>
        <w:t>810</w:t>
      </w:r>
      <w:bookmarkEnd w:id="1770"/>
      <w:r>
        <w:rPr>
          <w:rFonts w:ascii="Arial" w:hAnsi="Arial" w:eastAsia="Calibri" w:cs="Arial"/>
          <w:sz w:val="20"/>
          <w:szCs w:val="20"/>
        </w:rPr>
        <w:t>.</w:t>
      </w:r>
    </w:p>
    <w:p w:rsidRPr="00412C31" w:rsidR="002D54C4" w:rsidP="008D60E3" w:rsidRDefault="002D54C4" w14:paraId="1A7588C7"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8D60E3" w:rsidRDefault="008B55A2" w14:paraId="2A0CF590"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 xml:space="preserve">________Yes </w:t>
      </w:r>
    </w:p>
    <w:p w:rsidRPr="00412C31" w:rsidR="002D54C4" w:rsidP="008D60E3" w:rsidRDefault="008B55A2" w14:paraId="4E3562CA"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________No (please explain)</w:t>
      </w:r>
    </w:p>
    <w:p w:rsidRPr="00412C31" w:rsidR="002D54C4" w:rsidP="008D60E3" w:rsidRDefault="002D54C4" w14:paraId="711BB22D"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8D60E3" w:rsidRDefault="008B55A2" w14:paraId="4E8F5D89" w14:textId="77777777">
      <w:pPr>
        <w:suppressAutoHyphens/>
        <w:autoSpaceDE w:val="0"/>
        <w:autoSpaceDN w:val="0"/>
        <w:adjustRightInd w:val="0"/>
        <w:spacing w:after="0"/>
        <w:ind w:left="720" w:hanging="14"/>
        <w:rPr>
          <w:rFonts w:ascii="Arial" w:hAnsi="Arial" w:eastAsia="Calibri" w:cs="Arial"/>
          <w:iCs/>
          <w:sz w:val="20"/>
          <w:szCs w:val="20"/>
        </w:rPr>
      </w:pPr>
      <w:r>
        <w:rPr>
          <w:rFonts w:ascii="Arial" w:hAnsi="Arial" w:eastAsia="Calibri" w:cs="Arial"/>
          <w:i/>
          <w:sz w:val="20"/>
          <w:szCs w:val="20"/>
        </w:rPr>
        <w:t>Explain</w:t>
      </w:r>
      <w:r>
        <w:rPr>
          <w:rFonts w:ascii="Arial" w:hAnsi="Arial" w:eastAsia="Calibri" w:cs="Arial"/>
          <w:iCs/>
          <w:sz w:val="20"/>
          <w:szCs w:val="20"/>
        </w:rPr>
        <w:t>:_______________________________________________________________________</w:t>
      </w:r>
    </w:p>
    <w:p w:rsidRPr="00412C31" w:rsidR="002D54C4" w:rsidP="008D60E3" w:rsidRDefault="002D54C4" w14:paraId="6D042DE7" w14:textId="77777777">
      <w:pPr>
        <w:suppressAutoHyphens/>
        <w:autoSpaceDE w:val="0"/>
        <w:autoSpaceDN w:val="0"/>
        <w:adjustRightInd w:val="0"/>
        <w:spacing w:after="0"/>
        <w:ind w:left="720" w:hanging="14"/>
        <w:rPr>
          <w:rFonts w:ascii="Arial" w:hAnsi="Arial" w:eastAsia="Calibri" w:cs="Arial"/>
          <w:iCs/>
          <w:sz w:val="20"/>
          <w:szCs w:val="20"/>
        </w:rPr>
      </w:pPr>
    </w:p>
    <w:p w:rsidRPr="00412C31" w:rsidR="002D54C4" w:rsidP="00236AED" w:rsidRDefault="008B55A2" w14:paraId="5461EEA7"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r>
        <w:rPr>
          <w:rFonts w:ascii="Arial" w:hAnsi="Arial" w:eastAsia="Calibri" w:cs="Arial"/>
          <w:sz w:val="20"/>
          <w:szCs w:val="20"/>
        </w:rPr>
        <w:t xml:space="preserve">The </w:t>
      </w:r>
      <w:r>
        <w:rPr>
          <w:rFonts w:ascii="Arial" w:hAnsi="Arial" w:eastAsia="Times New Roman" w:cs="Arial"/>
          <w:sz w:val="20"/>
          <w:szCs w:val="20"/>
        </w:rPr>
        <w:t>PPA</w:t>
      </w:r>
      <w:r>
        <w:rPr>
          <w:rFonts w:ascii="Arial" w:hAnsi="Arial" w:eastAsia="Calibri" w:cs="Arial"/>
          <w:sz w:val="20"/>
          <w:szCs w:val="20"/>
        </w:rPr>
        <w:t xml:space="preserve"> revenues correlate with fluctuations in Seller’s operating cash flows (operating expenses). </w:t>
      </w:r>
    </w:p>
    <w:p w:rsidRPr="00412C31" w:rsidR="002D54C4" w:rsidP="008D60E3" w:rsidRDefault="002D54C4" w14:paraId="4C0D60B2"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8D60E3" w:rsidRDefault="008B55A2" w14:paraId="38437950"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 xml:space="preserve">________Yes </w:t>
      </w:r>
    </w:p>
    <w:p w:rsidRPr="00412C31" w:rsidR="002D54C4" w:rsidP="008D60E3" w:rsidRDefault="008B55A2" w14:paraId="0F91B414"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________No (please explain)</w:t>
      </w:r>
    </w:p>
    <w:p w:rsidRPr="00412C31" w:rsidR="002D54C4" w:rsidP="008D60E3" w:rsidRDefault="002D54C4" w14:paraId="63B617B7"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8D60E3" w:rsidRDefault="008B55A2" w14:paraId="5BB8A703" w14:textId="77777777">
      <w:pPr>
        <w:suppressAutoHyphens/>
        <w:autoSpaceDE w:val="0"/>
        <w:autoSpaceDN w:val="0"/>
        <w:adjustRightInd w:val="0"/>
        <w:spacing w:after="0"/>
        <w:ind w:left="720"/>
        <w:rPr>
          <w:rFonts w:ascii="Arial" w:hAnsi="Arial" w:eastAsia="Calibri" w:cs="Arial"/>
          <w:iCs/>
          <w:sz w:val="20"/>
          <w:szCs w:val="20"/>
        </w:rPr>
      </w:pPr>
      <w:r>
        <w:rPr>
          <w:rFonts w:ascii="Arial" w:hAnsi="Arial" w:eastAsia="Calibri" w:cs="Arial"/>
          <w:i/>
          <w:sz w:val="20"/>
          <w:szCs w:val="20"/>
        </w:rPr>
        <w:t>Explain</w:t>
      </w:r>
      <w:r>
        <w:rPr>
          <w:rFonts w:ascii="Arial" w:hAnsi="Arial" w:eastAsia="Calibri" w:cs="Arial"/>
          <w:iCs/>
          <w:sz w:val="20"/>
          <w:szCs w:val="20"/>
        </w:rPr>
        <w:t xml:space="preserve">:_______________________________________________________________________ </w:t>
      </w:r>
    </w:p>
    <w:p w:rsidRPr="00412C31" w:rsidR="002D54C4" w:rsidP="008D60E3" w:rsidRDefault="002D54C4" w14:paraId="55EC0EA2" w14:textId="77777777">
      <w:pPr>
        <w:suppressAutoHyphens/>
        <w:autoSpaceDE w:val="0"/>
        <w:autoSpaceDN w:val="0"/>
        <w:adjustRightInd w:val="0"/>
        <w:spacing w:after="0"/>
        <w:ind w:firstLine="720"/>
        <w:rPr>
          <w:rFonts w:ascii="Arial" w:hAnsi="Arial" w:eastAsia="Calibri" w:cs="Arial"/>
          <w:iCs/>
          <w:sz w:val="20"/>
          <w:szCs w:val="20"/>
        </w:rPr>
      </w:pPr>
    </w:p>
    <w:p w:rsidRPr="00412C31" w:rsidR="002D54C4" w:rsidP="00236AED" w:rsidRDefault="008B55A2" w14:paraId="5BFA2FF2" w14:textId="77777777">
      <w:pPr>
        <w:pStyle w:val="ListParagraph"/>
        <w:numPr>
          <w:ilvl w:val="0"/>
          <w:numId w:val="6"/>
        </w:numPr>
        <w:jc w:val="left"/>
        <w:rPr>
          <w:rFonts w:ascii="Arial" w:hAnsi="Arial" w:cs="Arial"/>
          <w:sz w:val="20"/>
          <w:szCs w:val="20"/>
        </w:rPr>
      </w:pPr>
      <w:r>
        <w:rPr>
          <w:rFonts w:ascii="Arial" w:hAnsi="Arial" w:cs="Arial"/>
          <w:sz w:val="20"/>
          <w:szCs w:val="20"/>
        </w:rPr>
        <w:t xml:space="preserve">The </w:t>
      </w:r>
      <w:r>
        <w:rPr>
          <w:rFonts w:ascii="Arial" w:hAnsi="Arial" w:eastAsia="Times New Roman" w:cs="Arial"/>
          <w:sz w:val="20"/>
          <w:szCs w:val="20"/>
        </w:rPr>
        <w:t>PPA</w:t>
      </w:r>
      <w:r>
        <w:rPr>
          <w:rFonts w:ascii="Arial" w:hAnsi="Arial" w:cs="Arial"/>
          <w:sz w:val="20"/>
          <w:szCs w:val="20"/>
        </w:rPr>
        <w:t xml:space="preserve"> reduces variability in the fair value of Seller’s assets, for example by absorbing fuel or electricity price risk. </w:t>
      </w:r>
    </w:p>
    <w:p w:rsidRPr="00412C31" w:rsidR="002D54C4" w:rsidP="008D60E3" w:rsidRDefault="002D54C4" w14:paraId="280E419D" w14:textId="77777777">
      <w:pPr>
        <w:suppressAutoHyphens/>
        <w:autoSpaceDE w:val="0"/>
        <w:autoSpaceDN w:val="0"/>
        <w:adjustRightInd w:val="0"/>
        <w:spacing w:after="0"/>
        <w:rPr>
          <w:rFonts w:ascii="Arial" w:hAnsi="Arial" w:eastAsia="Calibri" w:cs="Arial"/>
          <w:sz w:val="20"/>
          <w:szCs w:val="20"/>
        </w:rPr>
      </w:pPr>
    </w:p>
    <w:p w:rsidRPr="00412C31" w:rsidR="002D54C4" w:rsidP="008D60E3" w:rsidRDefault="008B55A2" w14:paraId="45F7F0B0"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 xml:space="preserve">_______Yes </w:t>
      </w:r>
    </w:p>
    <w:p w:rsidRPr="00412C31" w:rsidR="002D54C4" w:rsidP="008D60E3" w:rsidRDefault="008B55A2" w14:paraId="53D962CF"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_______No (please explain)</w:t>
      </w:r>
    </w:p>
    <w:p w:rsidRPr="00412C31" w:rsidR="002D54C4" w:rsidP="008D60E3" w:rsidRDefault="002D54C4" w14:paraId="55B074FE"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8D60E3" w:rsidRDefault="008B55A2" w14:paraId="6D850D49" w14:textId="77777777">
      <w:pPr>
        <w:suppressAutoHyphens/>
        <w:autoSpaceDE w:val="0"/>
        <w:autoSpaceDN w:val="0"/>
        <w:adjustRightInd w:val="0"/>
        <w:spacing w:after="0"/>
        <w:ind w:left="720"/>
        <w:rPr>
          <w:rFonts w:ascii="Arial" w:hAnsi="Arial" w:eastAsia="Calibri" w:cs="Arial"/>
          <w:iCs/>
          <w:sz w:val="20"/>
          <w:szCs w:val="20"/>
        </w:rPr>
      </w:pPr>
      <w:r>
        <w:rPr>
          <w:rFonts w:ascii="Arial" w:hAnsi="Arial" w:eastAsia="Calibri" w:cs="Arial"/>
          <w:i/>
          <w:sz w:val="20"/>
          <w:szCs w:val="20"/>
        </w:rPr>
        <w:t>Explain</w:t>
      </w:r>
      <w:r>
        <w:rPr>
          <w:rFonts w:ascii="Arial" w:hAnsi="Arial" w:eastAsia="Calibri" w:cs="Arial"/>
          <w:iCs/>
          <w:sz w:val="20"/>
          <w:szCs w:val="20"/>
        </w:rPr>
        <w:t xml:space="preserve">:_______________________________________________________________________ </w:t>
      </w:r>
    </w:p>
    <w:p w:rsidRPr="00412C31" w:rsidR="002D54C4" w:rsidP="008D60E3" w:rsidRDefault="002D54C4" w14:paraId="245BA1A2" w14:textId="77777777">
      <w:pPr>
        <w:suppressAutoHyphens/>
        <w:autoSpaceDE w:val="0"/>
        <w:autoSpaceDN w:val="0"/>
        <w:adjustRightInd w:val="0"/>
        <w:spacing w:after="0"/>
        <w:ind w:left="720"/>
        <w:contextualSpacing/>
        <w:rPr>
          <w:rFonts w:ascii="Arial" w:hAnsi="Arial" w:eastAsia="Calibri" w:cs="Arial"/>
          <w:iCs/>
          <w:sz w:val="20"/>
          <w:szCs w:val="20"/>
        </w:rPr>
      </w:pPr>
    </w:p>
    <w:p w:rsidRPr="00412C31" w:rsidR="002D54C4" w:rsidP="00236AED" w:rsidRDefault="008B55A2" w14:paraId="6A547DEB"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r>
        <w:rPr>
          <w:rFonts w:ascii="Arial" w:hAnsi="Arial" w:eastAsia="Calibri" w:cs="Arial"/>
          <w:sz w:val="20"/>
          <w:szCs w:val="20"/>
        </w:rPr>
        <w:t xml:space="preserve">The </w:t>
      </w:r>
      <w:r>
        <w:rPr>
          <w:rFonts w:ascii="Arial" w:hAnsi="Arial" w:eastAsia="Times New Roman" w:cs="Arial"/>
          <w:sz w:val="20"/>
          <w:szCs w:val="20"/>
        </w:rPr>
        <w:t>PPA</w:t>
      </w:r>
      <w:r>
        <w:rPr>
          <w:rFonts w:ascii="Arial" w:hAnsi="Arial" w:eastAsia="Calibri" w:cs="Arial"/>
          <w:sz w:val="20"/>
          <w:szCs w:val="20"/>
        </w:rPr>
        <w:t xml:space="preserve"> Term is for greater than 50% of the remaining economic life of the unit.</w:t>
      </w:r>
    </w:p>
    <w:p w:rsidRPr="00412C31" w:rsidR="002D54C4" w:rsidP="008D60E3" w:rsidRDefault="002D54C4" w14:paraId="466F97CF"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8D60E3" w:rsidRDefault="008B55A2" w14:paraId="421FA835"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________Yes</w:t>
      </w:r>
    </w:p>
    <w:p w:rsidRPr="00412C31" w:rsidR="002D54C4" w:rsidP="008D60E3" w:rsidRDefault="008B55A2" w14:paraId="5384C215"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 xml:space="preserve">________No </w:t>
      </w:r>
    </w:p>
    <w:p w:rsidRPr="00412C31" w:rsidR="002D54C4" w:rsidP="008D60E3" w:rsidRDefault="002D54C4" w14:paraId="27168EC0"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236AED" w:rsidRDefault="008B55A2" w14:paraId="276F1D8A"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bookmarkStart w:name="_DV_C2158" w:id="1771"/>
      <w:r>
        <w:rPr>
          <w:rFonts w:ascii="Arial" w:hAnsi="Arial" w:eastAsia="Calibri" w:cs="Arial"/>
          <w:sz w:val="20"/>
          <w:szCs w:val="20"/>
        </w:rPr>
        <w:t xml:space="preserve">The </w:t>
      </w:r>
      <w:r>
        <w:rPr>
          <w:rFonts w:ascii="Arial" w:hAnsi="Arial" w:eastAsia="Times New Roman" w:cs="Arial"/>
          <w:sz w:val="20"/>
          <w:szCs w:val="20"/>
        </w:rPr>
        <w:t>PPA</w:t>
      </w:r>
      <w:r>
        <w:rPr>
          <w:rFonts w:ascii="Arial" w:hAnsi="Arial" w:eastAsia="Calibri" w:cs="Arial"/>
          <w:sz w:val="20"/>
          <w:szCs w:val="20"/>
        </w:rPr>
        <w:t xml:space="preserve"> is for substantially all of the proposed Facility’s productive output.</w:t>
      </w:r>
      <w:bookmarkEnd w:id="1771"/>
    </w:p>
    <w:p w:rsidRPr="00412C31" w:rsidR="002D54C4" w:rsidP="008D60E3" w:rsidRDefault="002D54C4" w14:paraId="6CCCFD0A" w14:textId="77777777">
      <w:pPr>
        <w:suppressAutoHyphens/>
        <w:autoSpaceDE w:val="0"/>
        <w:autoSpaceDN w:val="0"/>
        <w:adjustRightInd w:val="0"/>
        <w:spacing w:after="0"/>
        <w:ind w:firstLine="720"/>
        <w:rPr>
          <w:rFonts w:ascii="Arial" w:hAnsi="Arial" w:eastAsia="Calibri" w:cs="Arial"/>
          <w:sz w:val="20"/>
          <w:szCs w:val="20"/>
        </w:rPr>
      </w:pPr>
      <w:bookmarkStart w:name="_DV_C2159" w:id="1772"/>
    </w:p>
    <w:p w:rsidRPr="00412C31" w:rsidR="002D54C4" w:rsidP="008D60E3" w:rsidRDefault="008B55A2" w14:paraId="0F145488"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________Yes</w:t>
      </w:r>
      <w:bookmarkEnd w:id="1772"/>
    </w:p>
    <w:p w:rsidRPr="00412C31" w:rsidR="002D54C4" w:rsidP="008D60E3" w:rsidRDefault="008B55A2" w14:paraId="19FBAE77" w14:textId="77777777">
      <w:pPr>
        <w:suppressAutoHyphens/>
        <w:autoSpaceDE w:val="0"/>
        <w:autoSpaceDN w:val="0"/>
        <w:adjustRightInd w:val="0"/>
        <w:spacing w:after="0"/>
        <w:ind w:firstLine="720"/>
        <w:rPr>
          <w:rFonts w:ascii="Arial" w:hAnsi="Arial" w:eastAsia="Calibri" w:cs="Arial"/>
          <w:sz w:val="20"/>
          <w:szCs w:val="20"/>
        </w:rPr>
      </w:pPr>
      <w:bookmarkStart w:name="_DV_C2160" w:id="1773"/>
      <w:r>
        <w:rPr>
          <w:rFonts w:ascii="Arial" w:hAnsi="Arial" w:eastAsia="Calibri" w:cs="Arial"/>
          <w:sz w:val="20"/>
          <w:szCs w:val="20"/>
        </w:rPr>
        <w:t>________No</w:t>
      </w:r>
      <w:bookmarkEnd w:id="1773"/>
    </w:p>
    <w:p w:rsidRPr="00412C31" w:rsidR="002D54C4" w:rsidP="008D60E3" w:rsidRDefault="002D54C4" w14:paraId="6760C287"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236AED" w:rsidRDefault="008B55A2" w14:paraId="061390D6"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bookmarkStart w:name="_DV_C2161" w:id="1774"/>
      <w:r>
        <w:rPr>
          <w:rFonts w:ascii="Arial" w:hAnsi="Arial" w:eastAsia="Calibri" w:cs="Arial"/>
          <w:sz w:val="20"/>
          <w:szCs w:val="20"/>
        </w:rPr>
        <w:t>GPC and its affiliates participated significantly in the design or redesign of the Facility.</w:t>
      </w:r>
      <w:bookmarkEnd w:id="1774"/>
    </w:p>
    <w:p w:rsidRPr="00412C31" w:rsidR="002D54C4" w:rsidP="008D60E3" w:rsidRDefault="002D54C4" w14:paraId="37A80269" w14:textId="77777777">
      <w:pPr>
        <w:suppressAutoHyphens/>
        <w:autoSpaceDE w:val="0"/>
        <w:autoSpaceDN w:val="0"/>
        <w:adjustRightInd w:val="0"/>
        <w:spacing w:after="0"/>
        <w:ind w:firstLine="720"/>
        <w:rPr>
          <w:rFonts w:ascii="Arial" w:hAnsi="Arial" w:eastAsia="Calibri" w:cs="Arial"/>
          <w:sz w:val="20"/>
          <w:szCs w:val="20"/>
        </w:rPr>
      </w:pPr>
      <w:bookmarkStart w:name="_DV_C2162" w:id="1775"/>
    </w:p>
    <w:p w:rsidRPr="00412C31" w:rsidR="002D54C4" w:rsidP="008D60E3" w:rsidRDefault="008B55A2" w14:paraId="4371577A"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________Yes</w:t>
      </w:r>
      <w:bookmarkEnd w:id="1775"/>
    </w:p>
    <w:p w:rsidRPr="00412C31" w:rsidR="002D54C4" w:rsidP="008D60E3" w:rsidRDefault="008B55A2" w14:paraId="6E35BB49" w14:textId="77777777">
      <w:pPr>
        <w:suppressAutoHyphens/>
        <w:autoSpaceDE w:val="0"/>
        <w:autoSpaceDN w:val="0"/>
        <w:adjustRightInd w:val="0"/>
        <w:spacing w:after="0"/>
        <w:ind w:firstLine="720"/>
        <w:rPr>
          <w:rFonts w:ascii="Arial" w:hAnsi="Arial" w:eastAsia="Calibri" w:cs="Arial"/>
          <w:sz w:val="20"/>
          <w:szCs w:val="20"/>
        </w:rPr>
      </w:pPr>
      <w:bookmarkStart w:name="_DV_C2163" w:id="1776"/>
      <w:r>
        <w:rPr>
          <w:rFonts w:ascii="Arial" w:hAnsi="Arial" w:eastAsia="Calibri" w:cs="Arial"/>
          <w:sz w:val="20"/>
          <w:szCs w:val="20"/>
        </w:rPr>
        <w:t>________No</w:t>
      </w:r>
      <w:bookmarkEnd w:id="1776"/>
    </w:p>
    <w:p w:rsidRPr="00412C31" w:rsidR="002D54C4" w:rsidP="008D60E3" w:rsidRDefault="002D54C4" w14:paraId="1E5EC2CD" w14:textId="77777777">
      <w:pPr>
        <w:suppressAutoHyphens/>
        <w:autoSpaceDE w:val="0"/>
        <w:autoSpaceDN w:val="0"/>
        <w:adjustRightInd w:val="0"/>
        <w:spacing w:after="0"/>
        <w:ind w:firstLine="720"/>
        <w:rPr>
          <w:rFonts w:ascii="Arial" w:hAnsi="Arial" w:eastAsia="Calibri" w:cs="Arial"/>
          <w:sz w:val="20"/>
          <w:szCs w:val="20"/>
        </w:rPr>
      </w:pPr>
    </w:p>
    <w:p w:rsidRPr="00412C31" w:rsidR="002D54C4" w:rsidP="00236AED" w:rsidRDefault="008B55A2" w14:paraId="3463FFE0"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bookmarkStart w:name="_DV_C2164" w:id="1777"/>
      <w:bookmarkStart w:name="_Ref121294425" w:id="1778"/>
      <w:r>
        <w:rPr>
          <w:rFonts w:ascii="Arial" w:hAnsi="Arial" w:eastAsia="Calibri" w:cs="Arial"/>
          <w:sz w:val="20"/>
          <w:szCs w:val="20"/>
        </w:rPr>
        <w:t>The percentage that the Facility’s fair value represents, of the fair value of the proposed Seller’s total assets, is approximately</w:t>
      </w:r>
      <w:bookmarkEnd w:id="1777"/>
      <w:r>
        <w:rPr>
          <w:rFonts w:ascii="Arial" w:hAnsi="Arial" w:eastAsia="Calibri" w:cs="Arial"/>
          <w:sz w:val="20"/>
          <w:szCs w:val="20"/>
        </w:rPr>
        <w:t>;</w:t>
      </w:r>
      <w:bookmarkStart w:name="_DV_C2165" w:id="1779"/>
      <w:bookmarkEnd w:id="1778"/>
    </w:p>
    <w:p w:rsidRPr="00412C31" w:rsidR="002D54C4" w:rsidP="008D60E3" w:rsidRDefault="002D54C4" w14:paraId="7B5C0033" w14:textId="77777777">
      <w:pPr>
        <w:suppressAutoHyphens/>
        <w:autoSpaceDE w:val="0"/>
        <w:autoSpaceDN w:val="0"/>
        <w:adjustRightInd w:val="0"/>
        <w:spacing w:after="0"/>
        <w:ind w:left="810"/>
        <w:contextualSpacing/>
        <w:rPr>
          <w:rFonts w:ascii="Arial" w:hAnsi="Arial" w:eastAsia="Calibri" w:cs="Arial"/>
          <w:sz w:val="20"/>
          <w:szCs w:val="20"/>
        </w:rPr>
      </w:pPr>
    </w:p>
    <w:p w:rsidRPr="00412C31" w:rsidR="002D54C4" w:rsidP="008D60E3" w:rsidRDefault="008B55A2" w14:paraId="13809DD7" w14:textId="77777777">
      <w:pPr>
        <w:suppressAutoHyphens/>
        <w:autoSpaceDE w:val="0"/>
        <w:autoSpaceDN w:val="0"/>
        <w:adjustRightInd w:val="0"/>
        <w:spacing w:after="0"/>
        <w:ind w:left="810"/>
        <w:contextualSpacing/>
        <w:rPr>
          <w:rFonts w:ascii="Arial" w:hAnsi="Arial" w:eastAsia="Calibri" w:cs="Arial"/>
          <w:sz w:val="20"/>
          <w:szCs w:val="20"/>
        </w:rPr>
      </w:pPr>
      <w:r>
        <w:rPr>
          <w:rFonts w:ascii="Arial" w:hAnsi="Arial" w:eastAsia="Calibri" w:cs="Arial"/>
          <w:sz w:val="20"/>
          <w:szCs w:val="20"/>
        </w:rPr>
        <w:t>_______%</w:t>
      </w:r>
      <w:bookmarkStart w:name="_DV_C2166" w:id="1780"/>
      <w:bookmarkEnd w:id="1779"/>
    </w:p>
    <w:p w:rsidRPr="00412C31" w:rsidR="002D54C4" w:rsidP="008D60E3" w:rsidRDefault="002D54C4" w14:paraId="4833F794" w14:textId="77777777">
      <w:pPr>
        <w:suppressAutoHyphens/>
        <w:autoSpaceDE w:val="0"/>
        <w:autoSpaceDN w:val="0"/>
        <w:adjustRightInd w:val="0"/>
        <w:spacing w:after="0"/>
        <w:ind w:left="720"/>
        <w:contextualSpacing/>
        <w:rPr>
          <w:rFonts w:ascii="Arial" w:hAnsi="Arial" w:eastAsia="Calibri" w:cs="Arial"/>
          <w:sz w:val="20"/>
          <w:szCs w:val="20"/>
        </w:rPr>
      </w:pPr>
    </w:p>
    <w:p w:rsidRPr="00412C31" w:rsidR="002D54C4" w:rsidP="00236AED" w:rsidRDefault="008B55A2" w14:paraId="0CADC4A2" w14:textId="77777777">
      <w:pPr>
        <w:widowControl w:val="0"/>
        <w:numPr>
          <w:ilvl w:val="0"/>
          <w:numId w:val="6"/>
        </w:numPr>
        <w:suppressAutoHyphens/>
        <w:autoSpaceDE w:val="0"/>
        <w:autoSpaceDN w:val="0"/>
        <w:adjustRightInd w:val="0"/>
        <w:spacing w:after="0"/>
        <w:contextualSpacing/>
        <w:textAlignment w:val="baseline"/>
        <w:rPr>
          <w:rFonts w:ascii="Arial" w:hAnsi="Arial" w:eastAsia="Calibri" w:cs="Arial"/>
          <w:sz w:val="20"/>
          <w:szCs w:val="20"/>
        </w:rPr>
      </w:pPr>
      <w:bookmarkStart w:name="_Ref121294426" w:id="1781"/>
      <w:r>
        <w:rPr>
          <w:rFonts w:ascii="Arial" w:hAnsi="Arial" w:eastAsia="Calibri" w:cs="Arial"/>
          <w:sz w:val="20"/>
          <w:szCs w:val="20"/>
        </w:rPr>
        <w:t>The Facility is essentially the only source of payment for specified liabilities or specified other interest (there is specific debt associated with the Facility)</w:t>
      </w:r>
      <w:bookmarkEnd w:id="1780"/>
      <w:bookmarkEnd w:id="1781"/>
      <w:r>
        <w:rPr>
          <w:rFonts w:ascii="Arial" w:hAnsi="Arial" w:eastAsia="Calibri" w:cs="Arial"/>
          <w:sz w:val="20"/>
          <w:szCs w:val="20"/>
        </w:rPr>
        <w:t xml:space="preserve">. </w:t>
      </w:r>
    </w:p>
    <w:p w:rsidRPr="00412C31" w:rsidR="002D54C4" w:rsidP="008D60E3" w:rsidRDefault="002D54C4" w14:paraId="015D227E" w14:textId="77777777">
      <w:pPr>
        <w:suppressAutoHyphens/>
        <w:autoSpaceDE w:val="0"/>
        <w:autoSpaceDN w:val="0"/>
        <w:adjustRightInd w:val="0"/>
        <w:spacing w:after="0"/>
        <w:ind w:firstLine="720"/>
        <w:rPr>
          <w:rFonts w:ascii="Arial" w:hAnsi="Arial" w:eastAsia="Calibri" w:cs="Arial"/>
          <w:sz w:val="20"/>
          <w:szCs w:val="20"/>
        </w:rPr>
      </w:pPr>
      <w:bookmarkStart w:name="_DV_C2167" w:id="1782"/>
    </w:p>
    <w:p w:rsidRPr="00412C31" w:rsidR="002D54C4" w:rsidP="008D60E3" w:rsidRDefault="008B55A2" w14:paraId="6D00F29E" w14:textId="77777777">
      <w:pPr>
        <w:suppressAutoHyphens/>
        <w:autoSpaceDE w:val="0"/>
        <w:autoSpaceDN w:val="0"/>
        <w:adjustRightInd w:val="0"/>
        <w:spacing w:after="0"/>
        <w:ind w:firstLine="720"/>
        <w:rPr>
          <w:rFonts w:ascii="Arial" w:hAnsi="Arial" w:eastAsia="Calibri" w:cs="Arial"/>
          <w:sz w:val="20"/>
          <w:szCs w:val="20"/>
        </w:rPr>
      </w:pPr>
      <w:r>
        <w:rPr>
          <w:rFonts w:ascii="Arial" w:hAnsi="Arial" w:eastAsia="Calibri" w:cs="Arial"/>
          <w:sz w:val="20"/>
          <w:szCs w:val="20"/>
        </w:rPr>
        <w:t>________Yes</w:t>
      </w:r>
      <w:bookmarkEnd w:id="1782"/>
    </w:p>
    <w:p w:rsidRPr="00412C31" w:rsidR="002D54C4" w:rsidP="008D60E3" w:rsidRDefault="008B55A2" w14:paraId="5868961A" w14:textId="77777777">
      <w:pPr>
        <w:suppressAutoHyphens/>
        <w:autoSpaceDE w:val="0"/>
        <w:autoSpaceDN w:val="0"/>
        <w:adjustRightInd w:val="0"/>
        <w:spacing w:after="0"/>
        <w:ind w:firstLine="720"/>
        <w:rPr>
          <w:rFonts w:ascii="Arial" w:hAnsi="Arial" w:eastAsia="Calibri" w:cs="Arial"/>
          <w:sz w:val="20"/>
          <w:szCs w:val="20"/>
        </w:rPr>
      </w:pPr>
      <w:bookmarkStart w:name="_DV_C2168" w:id="1783"/>
      <w:r>
        <w:rPr>
          <w:rFonts w:ascii="Arial" w:hAnsi="Arial" w:eastAsia="Calibri" w:cs="Arial"/>
          <w:sz w:val="20"/>
          <w:szCs w:val="20"/>
        </w:rPr>
        <w:t>________No</w:t>
      </w:r>
      <w:bookmarkEnd w:id="1783"/>
    </w:p>
    <w:p w:rsidRPr="00412C31" w:rsidR="002D54C4" w:rsidP="002D54C4" w:rsidRDefault="002D54C4" w14:paraId="3F534ED1" w14:textId="77777777">
      <w:pPr>
        <w:suppressAutoHyphens/>
        <w:adjustRightInd w:val="0"/>
        <w:textAlignment w:val="baseline"/>
        <w:rPr>
          <w:rFonts w:ascii="Arial" w:hAnsi="Arial" w:eastAsia="Times New Roman" w:cs="Arial"/>
          <w:b/>
          <w:sz w:val="20"/>
          <w:szCs w:val="20"/>
          <w:u w:val="single"/>
        </w:rPr>
      </w:pPr>
    </w:p>
    <w:p w:rsidRPr="00412C31" w:rsidR="002D54C4" w:rsidP="002D54C4" w:rsidRDefault="008B55A2" w14:paraId="7A038CED" w14:textId="77777777">
      <w:pPr>
        <w:suppressAutoHyphens/>
        <w:adjustRightInd w:val="0"/>
        <w:jc w:val="center"/>
        <w:textAlignment w:val="baseline"/>
        <w:rPr>
          <w:rFonts w:ascii="Arial" w:hAnsi="Arial" w:eastAsia="Times New Roman" w:cs="Arial"/>
          <w:b/>
          <w:sz w:val="20"/>
          <w:szCs w:val="20"/>
          <w:u w:val="single"/>
        </w:rPr>
      </w:pPr>
      <w:r>
        <w:rPr>
          <w:rFonts w:ascii="Arial" w:hAnsi="Arial" w:cs="Arial"/>
          <w:b/>
          <w:bCs/>
          <w:sz w:val="20"/>
          <w:szCs w:val="20"/>
          <w:highlight w:val="yellow"/>
        </w:rPr>
        <w:t>[CERTIFICATION ON NEXT PAGE]</w:t>
      </w:r>
    </w:p>
    <w:p w:rsidRPr="00412C31" w:rsidR="002D54C4" w:rsidP="002D54C4" w:rsidRDefault="002D54C4" w14:paraId="75425A9A" w14:textId="77777777">
      <w:pPr>
        <w:suppressAutoHyphens/>
        <w:adjustRightInd w:val="0"/>
        <w:textAlignment w:val="baseline"/>
        <w:rPr>
          <w:rFonts w:ascii="Arial" w:hAnsi="Arial" w:eastAsia="Times New Roman" w:cs="Arial"/>
          <w:b/>
          <w:sz w:val="20"/>
          <w:szCs w:val="20"/>
          <w:u w:val="single"/>
        </w:rPr>
      </w:pPr>
    </w:p>
    <w:p w:rsidR="00DA6109" w:rsidP="002D54C4" w:rsidRDefault="00DA6109" w14:paraId="05997297" w14:textId="77777777">
      <w:pPr>
        <w:suppressAutoHyphens/>
        <w:adjustRightInd w:val="0"/>
        <w:textAlignment w:val="baseline"/>
        <w:rPr>
          <w:rFonts w:ascii="Arial" w:hAnsi="Arial" w:eastAsia="Times New Roman" w:cs="Arial"/>
          <w:b/>
          <w:sz w:val="20"/>
          <w:szCs w:val="20"/>
          <w:u w:val="single"/>
        </w:rPr>
        <w:sectPr w:rsidR="00DA6109" w:rsidSect="00226062">
          <w:headerReference w:type="even" r:id="rId127"/>
          <w:headerReference w:type="default" r:id="rId128"/>
          <w:footerReference w:type="even" r:id="rId129"/>
          <w:footerReference w:type="default" r:id="rId130"/>
          <w:headerReference w:type="first" r:id="rId131"/>
          <w:footerReference w:type="first" r:id="rId132"/>
          <w:footnotePr>
            <w:numRestart w:val="eachSect"/>
          </w:footnotePr>
          <w:type w:val="continuous"/>
          <w:pgSz w:w="12240" w:h="15840" w:code="1"/>
          <w:pgMar w:top="1440" w:right="1440" w:bottom="1440" w:left="1440" w:header="720" w:footer="720" w:gutter="0"/>
          <w:paperSrc w:first="15" w:other="15"/>
          <w:cols w:space="1440"/>
        </w:sectPr>
      </w:pPr>
    </w:p>
    <w:p w:rsidRPr="00412C31" w:rsidR="002D54C4" w:rsidP="002D54C4" w:rsidRDefault="008B55A2" w14:paraId="6ACDBF74" w14:textId="77777777">
      <w:pPr>
        <w:suppressAutoHyphens/>
        <w:adjustRightInd w:val="0"/>
        <w:textAlignment w:val="baseline"/>
        <w:rPr>
          <w:rFonts w:ascii="Arial" w:hAnsi="Arial" w:eastAsia="Times New Roman" w:cs="Arial"/>
          <w:b/>
          <w:sz w:val="20"/>
          <w:szCs w:val="20"/>
          <w:u w:val="single"/>
        </w:rPr>
      </w:pPr>
      <w:r>
        <w:rPr>
          <w:rFonts w:ascii="Arial" w:hAnsi="Arial" w:eastAsia="Times New Roman" w:cs="Arial"/>
          <w:b/>
          <w:sz w:val="20"/>
          <w:szCs w:val="20"/>
          <w:u w:val="single"/>
        </w:rPr>
        <w:lastRenderedPageBreak/>
        <w:t>Certification</w:t>
      </w:r>
    </w:p>
    <w:p w:rsidRPr="00412C31" w:rsidR="002D54C4" w:rsidP="002D54C4" w:rsidRDefault="008B55A2" w14:paraId="7236B29C" w14:textId="77777777">
      <w:pPr>
        <w:suppressAutoHyphens/>
        <w:adjustRightInd w:val="0"/>
        <w:textAlignment w:val="baseline"/>
        <w:rPr>
          <w:rFonts w:ascii="Arial" w:hAnsi="Arial" w:eastAsia="Times New Roman" w:cs="Arial"/>
          <w:b/>
          <w:sz w:val="20"/>
          <w:szCs w:val="20"/>
        </w:rPr>
      </w:pPr>
      <w:r>
        <w:rPr>
          <w:rFonts w:ascii="Arial" w:hAnsi="Arial" w:eastAsia="Times New Roman" w:cs="Arial"/>
          <w:b/>
          <w:sz w:val="20"/>
          <w:szCs w:val="20"/>
        </w:rPr>
        <w:t>The above information (and any attachments) has been completed in full and agrees with our records as of the date of this Certification.</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00AE51F9" w14:paraId="366EEE40" w14:textId="77777777">
        <w:trPr>
          <w:cantSplit/>
          <w:trHeight w:val="432"/>
        </w:trPr>
        <w:tc>
          <w:tcPr>
            <w:tcW w:w="5130" w:type="dxa"/>
            <w:gridSpan w:val="3"/>
          </w:tcPr>
          <w:p w:rsidRPr="000F16F4" w:rsidR="002D54C4" w:rsidRDefault="008B55A2" w14:paraId="376EF30C" w14:textId="77777777">
            <w:pPr>
              <w:keepNext/>
              <w:keepLines/>
              <w:widowControl w:val="0"/>
              <w:autoSpaceDE w:val="0"/>
              <w:autoSpaceDN w:val="0"/>
              <w:adjustRightInd w:val="0"/>
              <w:rPr>
                <w:rFonts w:ascii="Arial" w:hAnsi="Arial" w:eastAsia="Yu Mincho" w:cs="Arial"/>
                <w:b/>
                <w:spacing w:val="-6"/>
                <w:kern w:val="14"/>
                <w:sz w:val="24"/>
                <w:szCs w:val="24"/>
              </w:rPr>
            </w:pPr>
            <w:r>
              <w:rPr>
                <w:rFonts w:ascii="Arial" w:hAnsi="Arial" w:eastAsia="Yu Mincho" w:cs="Arial"/>
                <w:b/>
                <w:spacing w:val="-6"/>
                <w:kern w:val="14"/>
                <w:sz w:val="24"/>
                <w:szCs w:val="24"/>
                <w:highlight w:val="yellow"/>
              </w:rPr>
              <w:t>#SellerLegalName#</w:t>
            </w:r>
          </w:p>
        </w:tc>
      </w:tr>
      <w:tr w:rsidR="00AE51F9" w14:paraId="22DD1870" w14:textId="77777777">
        <w:trPr>
          <w:gridAfter w:val="1"/>
          <w:wAfter w:w="29" w:type="dxa"/>
          <w:cantSplit/>
          <w:trHeight w:val="504"/>
        </w:trPr>
        <w:tc>
          <w:tcPr>
            <w:tcW w:w="1008" w:type="dxa"/>
            <w:vAlign w:val="bottom"/>
          </w:tcPr>
          <w:p w:rsidRPr="00412C31" w:rsidR="002D54C4" w:rsidRDefault="008B55A2" w14:paraId="58B6CD63"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By:</w:t>
            </w:r>
          </w:p>
        </w:tc>
        <w:tc>
          <w:tcPr>
            <w:tcW w:w="4093" w:type="dxa"/>
            <w:tcBorders>
              <w:bottom w:val="single" w:color="auto" w:sz="4" w:space="0"/>
            </w:tcBorders>
            <w:vAlign w:val="bottom"/>
          </w:tcPr>
          <w:p w:rsidRPr="00412C31" w:rsidR="002D54C4" w:rsidRDefault="002D54C4" w14:paraId="77F23B62" w14:textId="77777777">
            <w:pPr>
              <w:keepLines/>
              <w:rPr>
                <w:rFonts w:ascii="Arial" w:hAnsi="Arial" w:eastAsia="Calibri" w:cs="Arial"/>
                <w:sz w:val="20"/>
                <w:szCs w:val="20"/>
              </w:rPr>
            </w:pPr>
          </w:p>
        </w:tc>
      </w:tr>
      <w:tr w:rsidR="00AE51F9" w14:paraId="723074EA" w14:textId="77777777">
        <w:trPr>
          <w:gridAfter w:val="1"/>
          <w:wAfter w:w="29" w:type="dxa"/>
          <w:cantSplit/>
          <w:trHeight w:val="504"/>
        </w:trPr>
        <w:tc>
          <w:tcPr>
            <w:tcW w:w="1008" w:type="dxa"/>
            <w:vAlign w:val="bottom"/>
          </w:tcPr>
          <w:p w:rsidRPr="00412C31" w:rsidR="002D54C4" w:rsidRDefault="008B55A2" w14:paraId="16FF41A7"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Name</w:t>
            </w:r>
          </w:p>
          <w:p w:rsidRPr="00412C31" w:rsidR="002D54C4" w:rsidRDefault="008B55A2" w14:paraId="598669A6"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Printed:</w:t>
            </w:r>
          </w:p>
        </w:tc>
        <w:tc>
          <w:tcPr>
            <w:tcW w:w="4093" w:type="dxa"/>
            <w:tcBorders>
              <w:top w:val="single" w:color="auto" w:sz="4" w:space="0"/>
              <w:bottom w:val="single" w:color="auto" w:sz="4" w:space="0"/>
            </w:tcBorders>
            <w:vAlign w:val="bottom"/>
          </w:tcPr>
          <w:p w:rsidRPr="00412C31" w:rsidR="002D54C4" w:rsidRDefault="002D54C4" w14:paraId="148FF82C" w14:textId="77777777">
            <w:pPr>
              <w:keepLines/>
              <w:rPr>
                <w:rFonts w:ascii="Arial" w:hAnsi="Arial" w:eastAsia="Calibri" w:cs="Arial"/>
                <w:sz w:val="20"/>
                <w:szCs w:val="20"/>
              </w:rPr>
            </w:pPr>
          </w:p>
        </w:tc>
      </w:tr>
      <w:tr w:rsidR="00AE51F9" w14:paraId="618D3C05" w14:textId="77777777">
        <w:trPr>
          <w:gridAfter w:val="1"/>
          <w:wAfter w:w="29" w:type="dxa"/>
          <w:cantSplit/>
          <w:trHeight w:val="504"/>
        </w:trPr>
        <w:tc>
          <w:tcPr>
            <w:tcW w:w="1008" w:type="dxa"/>
            <w:vAlign w:val="bottom"/>
          </w:tcPr>
          <w:p w:rsidRPr="00412C31" w:rsidR="002D54C4" w:rsidRDefault="008B55A2" w14:paraId="48023968"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Title:</w:t>
            </w:r>
          </w:p>
        </w:tc>
        <w:tc>
          <w:tcPr>
            <w:tcW w:w="4093" w:type="dxa"/>
            <w:tcBorders>
              <w:top w:val="single" w:color="auto" w:sz="4" w:space="0"/>
              <w:bottom w:val="single" w:color="auto" w:sz="4" w:space="0"/>
            </w:tcBorders>
            <w:vAlign w:val="bottom"/>
          </w:tcPr>
          <w:p w:rsidRPr="00412C31" w:rsidR="002D54C4" w:rsidRDefault="002D54C4" w14:paraId="18612320" w14:textId="77777777">
            <w:pPr>
              <w:keepLines/>
              <w:rPr>
                <w:rFonts w:ascii="Arial" w:hAnsi="Arial" w:eastAsia="Calibri" w:cs="Arial"/>
                <w:sz w:val="20"/>
                <w:szCs w:val="20"/>
              </w:rPr>
            </w:pPr>
          </w:p>
        </w:tc>
      </w:tr>
      <w:tr w:rsidR="00AE51F9" w14:paraId="642E5A21" w14:textId="77777777">
        <w:trPr>
          <w:gridAfter w:val="1"/>
          <w:wAfter w:w="29" w:type="dxa"/>
          <w:cantSplit/>
          <w:trHeight w:val="504"/>
        </w:trPr>
        <w:tc>
          <w:tcPr>
            <w:tcW w:w="1008" w:type="dxa"/>
            <w:vAlign w:val="bottom"/>
          </w:tcPr>
          <w:p w:rsidRPr="00412C31" w:rsidR="002D54C4" w:rsidRDefault="008B55A2" w14:paraId="02446AE8" w14:textId="77777777">
            <w:pPr>
              <w:autoSpaceDE w:val="0"/>
              <w:autoSpaceDN w:val="0"/>
              <w:adjustRightInd w:val="0"/>
              <w:rPr>
                <w:rFonts w:ascii="Arial" w:hAnsi="Arial" w:eastAsia="Yu Mincho" w:cs="Arial"/>
                <w:kern w:val="14"/>
                <w:sz w:val="20"/>
                <w:szCs w:val="20"/>
              </w:rPr>
            </w:pPr>
            <w:r>
              <w:rPr>
                <w:rFonts w:ascii="Arial" w:hAnsi="Arial" w:eastAsia="Yu Mincho" w:cs="Arial"/>
                <w:kern w:val="14"/>
                <w:sz w:val="20"/>
                <w:szCs w:val="20"/>
              </w:rPr>
              <w:t>Date:</w:t>
            </w:r>
          </w:p>
        </w:tc>
        <w:tc>
          <w:tcPr>
            <w:tcW w:w="4093" w:type="dxa"/>
            <w:tcBorders>
              <w:top w:val="single" w:color="auto" w:sz="4" w:space="0"/>
              <w:bottom w:val="single" w:color="auto" w:sz="4" w:space="0"/>
            </w:tcBorders>
            <w:vAlign w:val="bottom"/>
          </w:tcPr>
          <w:p w:rsidRPr="00412C31" w:rsidR="002D54C4" w:rsidRDefault="002D54C4" w14:paraId="15C5E6A7" w14:textId="77777777">
            <w:pPr>
              <w:keepLines/>
              <w:rPr>
                <w:rFonts w:ascii="Arial" w:hAnsi="Arial" w:eastAsia="Calibri" w:cs="Arial"/>
                <w:sz w:val="20"/>
                <w:szCs w:val="20"/>
              </w:rPr>
            </w:pPr>
          </w:p>
        </w:tc>
      </w:tr>
    </w:tbl>
    <w:p w:rsidR="002D54C4" w:rsidP="00506657" w:rsidRDefault="002D54C4" w14:paraId="61447D14" w14:textId="77777777">
      <w:pPr>
        <w:adjustRightInd w:val="0"/>
        <w:spacing w:after="240"/>
        <w:textAlignment w:val="baseline"/>
        <w:rPr>
          <w:rFonts w:eastAsia="Times New Roman" w:cs="Arial"/>
        </w:rPr>
      </w:pPr>
    </w:p>
    <w:p w:rsidR="002D54C4" w:rsidP="00506657" w:rsidRDefault="002D54C4" w14:paraId="1B7F40FC" w14:textId="77777777">
      <w:pPr>
        <w:adjustRightInd w:val="0"/>
        <w:spacing w:after="240"/>
        <w:textAlignment w:val="baseline"/>
        <w:rPr>
          <w:rFonts w:eastAsia="Times New Roman" w:cs="Arial"/>
        </w:rPr>
      </w:pPr>
    </w:p>
    <w:p w:rsidR="002D54C4" w:rsidP="00506657" w:rsidRDefault="002D54C4" w14:paraId="7BECB96B" w14:textId="77777777">
      <w:pPr>
        <w:adjustRightInd w:val="0"/>
        <w:spacing w:after="240"/>
        <w:textAlignment w:val="baseline"/>
        <w:rPr>
          <w:rFonts w:eastAsia="Times New Roman" w:cs="Arial"/>
        </w:rPr>
      </w:pPr>
    </w:p>
    <w:p w:rsidR="002D54C4" w:rsidP="00506657" w:rsidRDefault="002D54C4" w14:paraId="43922EB7" w14:textId="77777777">
      <w:pPr>
        <w:adjustRightInd w:val="0"/>
        <w:spacing w:after="240"/>
        <w:textAlignment w:val="baseline"/>
        <w:rPr>
          <w:rFonts w:eastAsia="Times New Roman" w:cs="Arial"/>
        </w:rPr>
      </w:pPr>
    </w:p>
    <w:p w:rsidR="002D54C4" w:rsidRDefault="00924643" w14:paraId="5A16EB3C" w14:textId="27BD1955">
      <w:pPr>
        <w:rPr>
          <w:rFonts w:eastAsia="Times New Roman" w:cs="Arial"/>
        </w:rPr>
      </w:pPr>
      <w:r>
        <w:rPr>
          <w:rFonts w:eastAsia="Times New Roman" w:cs="Arial"/>
        </w:rPr>
        <w:br w:type="page"/>
      </w:r>
    </w:p>
    <w:p w:rsidRPr="00F10071" w:rsidR="002D54C4" w:rsidP="002D54C4" w:rsidRDefault="008B55A2" w14:paraId="0D5A01D8" w14:textId="178422B8">
      <w:pPr>
        <w:pStyle w:val="zGTitleExhibit"/>
        <w:rPr>
          <w:rFonts w:cs="Arial"/>
        </w:rPr>
      </w:pPr>
      <w:bookmarkStart w:name="_Toc160749240" w:id="1784"/>
      <w:bookmarkStart w:name="_Toc194937609" w:id="1785"/>
      <w:bookmarkStart w:name="_Toc174624993" w:id="1786"/>
      <w:bookmarkStart w:name="_Toc227451706" w:id="1787"/>
      <w:r>
        <w:rPr>
          <w:rFonts w:cs="Arial"/>
        </w:rPr>
        <w:lastRenderedPageBreak/>
        <w:t xml:space="preserve">Exhibit N – </w:t>
      </w:r>
      <w:bookmarkEnd w:id="1784"/>
      <w:bookmarkEnd w:id="1785"/>
      <w:bookmarkEnd w:id="1786"/>
      <w:r w:rsidR="00B82316">
        <w:rPr>
          <w:rFonts w:cs="Arial"/>
        </w:rPr>
        <w:t>RESERVED</w:t>
      </w:r>
      <w:bookmarkEnd w:id="1787"/>
    </w:p>
    <w:p w:rsidRPr="00F10071" w:rsidR="002D54C4" w:rsidP="00684E85" w:rsidRDefault="002D54C4" w14:paraId="4936337D" w14:textId="77777777">
      <w:pPr>
        <w:adjustRightInd w:val="0"/>
        <w:spacing w:after="240"/>
        <w:textAlignment w:val="baseline"/>
        <w:rPr>
          <w:rFonts w:eastAsia="Times New Roman" w:cs="Arial"/>
          <w:b/>
        </w:rPr>
      </w:pPr>
    </w:p>
    <w:p w:rsidR="00B67989" w:rsidP="002D54C4" w:rsidRDefault="00B67989" w14:paraId="3F621EDF" w14:textId="77777777">
      <w:pPr>
        <w:adjustRightInd w:val="0"/>
        <w:spacing w:after="720"/>
        <w:textAlignment w:val="baseline"/>
        <w:rPr>
          <w:rFonts w:eastAsia="Times New Roman" w:cs="Arial"/>
        </w:rPr>
      </w:pPr>
    </w:p>
    <w:p w:rsidRPr="003C77CE" w:rsidR="003C77CE" w:rsidP="003C77CE" w:rsidRDefault="003C77CE" w14:paraId="32473066" w14:textId="77777777">
      <w:pPr>
        <w:rPr>
          <w:rFonts w:eastAsia="Times New Roman" w:cs="Arial"/>
        </w:rPr>
      </w:pPr>
    </w:p>
    <w:p w:rsidRPr="003C77CE" w:rsidR="003C77CE" w:rsidP="003C77CE" w:rsidRDefault="003C77CE" w14:paraId="7018754B" w14:textId="77777777">
      <w:pPr>
        <w:rPr>
          <w:rFonts w:eastAsia="Times New Roman" w:cs="Arial"/>
        </w:rPr>
      </w:pPr>
    </w:p>
    <w:p w:rsidR="003C77CE" w:rsidP="003C77CE" w:rsidRDefault="008B55A2" w14:paraId="7558BFF2" w14:textId="77777777">
      <w:pPr>
        <w:rPr>
          <w:rFonts w:eastAsia="Times New Roman" w:cs="Arial"/>
        </w:rPr>
      </w:pPr>
      <w:r>
        <w:rPr>
          <w:rFonts w:eastAsia="Times New Roman" w:cs="Arial"/>
        </w:rPr>
        <w:br w:type="page"/>
      </w:r>
    </w:p>
    <w:p w:rsidR="00C74C3E" w:rsidP="002D54C4" w:rsidRDefault="00C74C3E" w14:paraId="68C890EF" w14:textId="77777777">
      <w:pPr>
        <w:pStyle w:val="zGTitleExhibit"/>
        <w:rPr>
          <w:rFonts w:cs="Arial"/>
          <w:w w:val="0"/>
        </w:rPr>
      </w:pPr>
      <w:bookmarkStart w:name="_Toc160749241" w:id="1788"/>
    </w:p>
    <w:p w:rsidRPr="00F10071" w:rsidR="002D54C4" w:rsidP="002D54C4" w:rsidRDefault="008B55A2" w14:paraId="716D21EC" w14:textId="34D971DF">
      <w:pPr>
        <w:pStyle w:val="zGTitleExhibit"/>
        <w:rPr>
          <w:rFonts w:cs="Arial"/>
          <w:w w:val="0"/>
        </w:rPr>
      </w:pPr>
      <w:bookmarkStart w:name="_Toc194937610" w:id="1789"/>
      <w:bookmarkStart w:name="_Toc174624994" w:id="1790"/>
      <w:bookmarkStart w:name="_Toc227451707" w:id="1791"/>
      <w:r>
        <w:rPr>
          <w:rFonts w:cs="Arial"/>
          <w:w w:val="0"/>
        </w:rPr>
        <w:t xml:space="preserve">Exhibit </w:t>
      </w:r>
      <w:r w:rsidR="007534BF">
        <w:rPr>
          <w:rFonts w:cs="Arial"/>
          <w:w w:val="0"/>
        </w:rPr>
        <w:t>N</w:t>
      </w:r>
      <w:r>
        <w:rPr>
          <w:rFonts w:cs="Arial"/>
          <w:w w:val="0"/>
        </w:rPr>
        <w:t xml:space="preserve"> – </w:t>
      </w:r>
      <w:r>
        <w:rPr>
          <w:rFonts w:cs="Arial"/>
          <w:bCs w:val="0"/>
          <w:w w:val="0"/>
        </w:rPr>
        <w:t>Transfer of Information Acknowledgement</w:t>
      </w:r>
      <w:bookmarkEnd w:id="1788"/>
      <w:bookmarkEnd w:id="1789"/>
      <w:bookmarkEnd w:id="1790"/>
      <w:bookmarkEnd w:id="1791"/>
    </w:p>
    <w:p w:rsidRPr="00412C31" w:rsidR="002D54C4" w:rsidP="00506657" w:rsidRDefault="008B55A2" w14:paraId="02BB59AB" w14:textId="77777777">
      <w:pPr>
        <w:suppressAutoHyphens/>
        <w:adjustRightInd w:val="0"/>
        <w:spacing w:after="240"/>
        <w:ind w:left="2880" w:hanging="2880"/>
        <w:jc w:val="center"/>
        <w:textAlignment w:val="baseline"/>
        <w:rPr>
          <w:rFonts w:ascii="Arial" w:hAnsi="Arial" w:eastAsia="Times New Roman" w:cs="Arial"/>
          <w:b/>
          <w:bCs/>
          <w:w w:val="0"/>
          <w:sz w:val="20"/>
          <w:szCs w:val="20"/>
        </w:rPr>
      </w:pPr>
      <w:r>
        <w:rPr>
          <w:rFonts w:ascii="Arial" w:hAnsi="Arial" w:eastAsia="Times New Roman" w:cs="Arial"/>
          <w:b/>
          <w:bCs/>
          <w:w w:val="0"/>
          <w:sz w:val="20"/>
          <w:szCs w:val="20"/>
        </w:rPr>
        <w:t>TRANSFER OF INFORMATION ACKNOWLEDGEMENT</w:t>
      </w:r>
    </w:p>
    <w:p w:rsidRPr="00412C31" w:rsidR="002D54C4" w:rsidP="00443731" w:rsidRDefault="008B55A2" w14:paraId="686B9D35" w14:textId="41D3439D">
      <w:pPr>
        <w:widowControl w:val="0"/>
        <w:adjustRightInd w:val="0"/>
        <w:spacing w:after="0"/>
        <w:jc w:val="both"/>
        <w:textAlignment w:val="baseline"/>
        <w:rPr>
          <w:rFonts w:ascii="Arial" w:hAnsi="Arial" w:eastAsia="Times New Roman" w:cs="Arial"/>
          <w:sz w:val="20"/>
          <w:szCs w:val="20"/>
        </w:rPr>
      </w:pPr>
      <w:r>
        <w:rPr>
          <w:rFonts w:ascii="Arial" w:hAnsi="Arial" w:cs="Arial"/>
          <w:b/>
          <w:color w:val="000000" w:themeColor="text1"/>
          <w:sz w:val="20"/>
          <w:szCs w:val="20"/>
          <w:highlight w:val="yellow"/>
        </w:rPr>
        <w:t>#SellerLegalName#</w:t>
      </w:r>
      <w:r>
        <w:rPr>
          <w:rFonts w:ascii="Arial" w:hAnsi="Arial" w:eastAsia="Times New Roman" w:cs="Arial"/>
          <w:sz w:val="20"/>
          <w:szCs w:val="20"/>
        </w:rPr>
        <w:t xml:space="preserve"> (“</w:t>
      </w:r>
      <w:r>
        <w:rPr>
          <w:rFonts w:ascii="Arial" w:hAnsi="Arial" w:eastAsia="Times New Roman" w:cs="Arial"/>
          <w:b/>
          <w:bCs/>
          <w:sz w:val="20"/>
          <w:szCs w:val="20"/>
        </w:rPr>
        <w:t>Seller</w:t>
      </w:r>
      <w:r>
        <w:rPr>
          <w:rFonts w:ascii="Arial" w:hAnsi="Arial" w:eastAsia="Times New Roman" w:cs="Arial"/>
          <w:sz w:val="20"/>
          <w:szCs w:val="20"/>
        </w:rPr>
        <w:t xml:space="preserve">”) and </w:t>
      </w:r>
      <w:r>
        <w:rPr>
          <w:rFonts w:ascii="Arial" w:hAnsi="Arial" w:eastAsia="Times New Roman" w:cs="Arial"/>
          <w:b/>
          <w:sz w:val="20"/>
          <w:szCs w:val="20"/>
        </w:rPr>
        <w:t>Georgia Power Company</w:t>
      </w:r>
      <w:r>
        <w:rPr>
          <w:rFonts w:ascii="Arial" w:hAnsi="Arial" w:eastAsia="Times New Roman" w:cs="Arial"/>
          <w:sz w:val="20"/>
          <w:szCs w:val="20"/>
        </w:rPr>
        <w:t xml:space="preserve"> (“</w:t>
      </w:r>
      <w:r>
        <w:rPr>
          <w:rFonts w:ascii="Arial" w:hAnsi="Arial" w:eastAsia="Times New Roman" w:cs="Arial"/>
          <w:b/>
          <w:bCs/>
          <w:sz w:val="20"/>
          <w:szCs w:val="20"/>
        </w:rPr>
        <w:t>GPC</w:t>
      </w:r>
      <w:r>
        <w:rPr>
          <w:rFonts w:ascii="Arial" w:hAnsi="Arial" w:eastAsia="Times New Roman" w:cs="Arial"/>
          <w:sz w:val="20"/>
          <w:szCs w:val="20"/>
        </w:rPr>
        <w:t xml:space="preserve">”) have entered into the </w:t>
      </w:r>
      <w:bookmarkStart w:name="_Hlk167345298" w:id="1792"/>
      <w:r>
        <w:rPr>
          <w:rFonts w:ascii="Arial" w:hAnsi="Arial" w:eastAsia="Times New Roman" w:cs="Arial"/>
          <w:b/>
          <w:bCs/>
          <w:sz w:val="20"/>
          <w:szCs w:val="20"/>
        </w:rPr>
        <w:t xml:space="preserve">Power </w:t>
      </w:r>
      <w:r>
        <w:rPr>
          <w:rFonts w:ascii="Arial" w:hAnsi="Arial" w:cs="Arial"/>
          <w:b/>
          <w:bCs/>
          <w:sz w:val="20"/>
          <w:szCs w:val="20"/>
        </w:rPr>
        <w:t>Purchase Agreement for Firm Capacity, Energy Storage Services, and Ancillary Services from a Battery Energy Storage System</w:t>
      </w:r>
      <w:r w:rsidR="00156686">
        <w:rPr>
          <w:rFonts w:ascii="Arial" w:hAnsi="Arial" w:cs="Arial"/>
          <w:b/>
          <w:bCs/>
          <w:sz w:val="20"/>
          <w:szCs w:val="20"/>
        </w:rPr>
        <w:t xml:space="preserve"> [</w:t>
      </w:r>
      <w:r w:rsidRPr="00156686" w:rsidR="00156686">
        <w:rPr>
          <w:rFonts w:ascii="Arial" w:hAnsi="Arial" w:cs="Arial"/>
          <w:b/>
          <w:bCs/>
          <w:sz w:val="20"/>
          <w:szCs w:val="20"/>
          <w:highlight w:val="yellow"/>
        </w:rPr>
        <w:t>Paired with a Renewable Resource</w:t>
      </w:r>
      <w:r w:rsidR="00156686">
        <w:rPr>
          <w:rFonts w:ascii="Arial" w:hAnsi="Arial" w:cs="Arial"/>
          <w:b/>
          <w:bCs/>
          <w:sz w:val="20"/>
          <w:szCs w:val="20"/>
        </w:rPr>
        <w:t>]</w:t>
      </w:r>
      <w:r>
        <w:rPr>
          <w:rFonts w:ascii="Arial" w:hAnsi="Arial" w:cs="Arial"/>
          <w:b/>
          <w:bCs/>
          <w:sz w:val="20"/>
          <w:szCs w:val="20"/>
        </w:rPr>
        <w:t xml:space="preserve"> </w:t>
      </w:r>
      <w:bookmarkEnd w:id="1792"/>
      <w:r w:rsidR="00683727">
        <w:rPr>
          <w:rFonts w:ascii="Arial" w:hAnsi="Arial" w:cs="Arial"/>
          <w:b/>
          <w:bCs/>
          <w:sz w:val="20"/>
          <w:szCs w:val="20"/>
        </w:rPr>
        <w:t xml:space="preserve">for </w:t>
      </w:r>
      <w:r w:rsidRPr="00CE05DD" w:rsidR="00CE05DD">
        <w:rPr>
          <w:rFonts w:ascii="Arial" w:hAnsi="Arial" w:cs="Arial"/>
          <w:b/>
          <w:bCs/>
          <w:sz w:val="20"/>
          <w:szCs w:val="20"/>
        </w:rPr>
        <w:t>2026 All-Source Capacity Request for Proposals for Need Years 2032</w:t>
      </w:r>
      <w:r w:rsidR="000F49F2">
        <w:rPr>
          <w:rFonts w:ascii="Arial" w:hAnsi="Arial" w:cs="Arial"/>
          <w:b/>
          <w:bCs/>
          <w:sz w:val="20"/>
          <w:szCs w:val="20"/>
        </w:rPr>
        <w:t>-</w:t>
      </w:r>
      <w:r w:rsidRPr="00CE05DD" w:rsidR="00CE05DD">
        <w:rPr>
          <w:rFonts w:ascii="Arial" w:hAnsi="Arial" w:cs="Arial"/>
          <w:b/>
          <w:bCs/>
          <w:sz w:val="20"/>
          <w:szCs w:val="20"/>
        </w:rPr>
        <w:t>2033</w:t>
      </w:r>
      <w:r w:rsidR="00683727">
        <w:rPr>
          <w:rFonts w:ascii="Arial" w:hAnsi="Arial" w:cs="Arial"/>
          <w:b/>
          <w:bCs/>
          <w:sz w:val="20"/>
          <w:szCs w:val="20"/>
        </w:rPr>
        <w:t xml:space="preserve"> </w:t>
      </w:r>
      <w:r>
        <w:rPr>
          <w:rFonts w:ascii="Arial" w:hAnsi="Arial" w:eastAsia="Times New Roman" w:cs="Arial"/>
          <w:b/>
          <w:bCs/>
          <w:sz w:val="20"/>
          <w:szCs w:val="20"/>
        </w:rPr>
        <w:t>at (</w:t>
      </w:r>
      <w:r>
        <w:rPr>
          <w:rFonts w:ascii="Arial" w:hAnsi="Arial" w:eastAsia="Times New Roman" w:cs="Arial"/>
          <w:b/>
          <w:bCs/>
          <w:sz w:val="20"/>
          <w:szCs w:val="20"/>
          <w:highlight w:val="yellow"/>
        </w:rPr>
        <w:t>#FacilityName#</w:t>
      </w:r>
      <w:r>
        <w:rPr>
          <w:rFonts w:ascii="Arial" w:hAnsi="Arial" w:eastAsia="Times New Roman" w:cs="Arial"/>
          <w:b/>
          <w:bCs/>
          <w:sz w:val="20"/>
          <w:szCs w:val="20"/>
        </w:rPr>
        <w:t>)</w:t>
      </w:r>
      <w:r>
        <w:rPr>
          <w:rFonts w:ascii="Arial" w:hAnsi="Arial" w:eastAsia="Times New Roman" w:cs="Arial"/>
          <w:sz w:val="20"/>
          <w:szCs w:val="20"/>
        </w:rPr>
        <w:t xml:space="preserve"> (“</w:t>
      </w:r>
      <w:r>
        <w:rPr>
          <w:rFonts w:ascii="Arial" w:hAnsi="Arial" w:eastAsia="Times New Roman" w:cs="Arial"/>
          <w:b/>
          <w:bCs/>
          <w:sz w:val="20"/>
          <w:szCs w:val="20"/>
        </w:rPr>
        <w:t>PPA</w:t>
      </w:r>
      <w:r>
        <w:rPr>
          <w:rFonts w:ascii="Arial" w:hAnsi="Arial" w:eastAsia="Times New Roman" w:cs="Arial"/>
          <w:sz w:val="20"/>
          <w:szCs w:val="20"/>
        </w:rPr>
        <w:t>”) dated as of _____________________, 202__. The PPA contemplates that Seller will provide to GPC or GPC’s affiliate Southern Company Services, Inc. (“</w:t>
      </w:r>
      <w:r>
        <w:rPr>
          <w:rFonts w:ascii="Arial" w:hAnsi="Arial" w:eastAsia="Times New Roman" w:cs="Arial"/>
          <w:b/>
          <w:sz w:val="20"/>
          <w:szCs w:val="20"/>
        </w:rPr>
        <w:t>SCS</w:t>
      </w:r>
      <w:r>
        <w:rPr>
          <w:rFonts w:ascii="Arial" w:hAnsi="Arial" w:eastAsia="Times New Roman" w:cs="Arial"/>
          <w:sz w:val="20"/>
          <w:szCs w:val="20"/>
        </w:rPr>
        <w:t>”) as agent for the transmission-owning subsidiaries of Southern Company (GPC, Alabama Power Company, and Mississippi Power Company) certain information that could be considered non-public information that potentially has implications under the Federal Energy Regulatory Commission (“</w:t>
      </w:r>
      <w:r>
        <w:rPr>
          <w:rFonts w:ascii="Arial" w:hAnsi="Arial" w:eastAsia="Times New Roman" w:cs="Arial"/>
          <w:b/>
          <w:sz w:val="20"/>
          <w:szCs w:val="20"/>
        </w:rPr>
        <w:t>FERC</w:t>
      </w:r>
      <w:r>
        <w:rPr>
          <w:rFonts w:ascii="Arial" w:hAnsi="Arial" w:eastAsia="Times New Roman" w:cs="Arial"/>
          <w:sz w:val="20"/>
          <w:szCs w:val="20"/>
        </w:rPr>
        <w:t xml:space="preserve">”) Standards of Conduct. Seller acknowledges that the information is being provided for the purposes of operational implementation and administration of the PPA (which includes conducting GPC’s system operations and dispatch functions) and will be used by </w:t>
      </w:r>
      <w:bookmarkStart w:name="_Hlk166666808" w:id="1793"/>
      <w:r>
        <w:rPr>
          <w:rFonts w:ascii="Arial" w:hAnsi="Arial" w:eastAsia="Times New Roman" w:cs="Arial"/>
          <w:sz w:val="20"/>
          <w:szCs w:val="20"/>
        </w:rPr>
        <w:t xml:space="preserve">GPC or SCS </w:t>
      </w:r>
      <w:bookmarkEnd w:id="1793"/>
      <w:r>
        <w:rPr>
          <w:rFonts w:ascii="Arial" w:hAnsi="Arial" w:eastAsia="Times New Roman" w:cs="Arial"/>
          <w:sz w:val="20"/>
          <w:szCs w:val="20"/>
        </w:rPr>
        <w:t xml:space="preserve">individuals in both Transmission/Distribution and energy affiliate/wholesale marketing unit functions under the FERC Standards of Conduct.  </w:t>
      </w:r>
    </w:p>
    <w:p w:rsidRPr="00412C31" w:rsidR="002D54C4" w:rsidP="00443731" w:rsidRDefault="002D54C4" w14:paraId="037ADAEB" w14:textId="77777777">
      <w:pPr>
        <w:widowControl w:val="0"/>
        <w:adjustRightInd w:val="0"/>
        <w:spacing w:after="0"/>
        <w:jc w:val="both"/>
        <w:textAlignment w:val="baseline"/>
        <w:rPr>
          <w:rFonts w:ascii="Arial" w:hAnsi="Arial" w:eastAsia="Times New Roman" w:cs="Arial"/>
          <w:sz w:val="20"/>
          <w:szCs w:val="20"/>
        </w:rPr>
      </w:pPr>
    </w:p>
    <w:p w:rsidRPr="00412C31" w:rsidR="002D54C4" w:rsidP="00443731" w:rsidRDefault="008B55A2" w14:paraId="1B2D19A1" w14:textId="77777777">
      <w:pPr>
        <w:widowControl w:val="0"/>
        <w:adjustRightInd w:val="0"/>
        <w:spacing w:after="0"/>
        <w:jc w:val="both"/>
        <w:textAlignment w:val="baseline"/>
        <w:rPr>
          <w:rFonts w:ascii="Arial" w:hAnsi="Arial" w:eastAsia="Times New Roman" w:cs="Arial"/>
          <w:sz w:val="20"/>
          <w:szCs w:val="20"/>
        </w:rPr>
      </w:pPr>
      <w:r>
        <w:rPr>
          <w:rFonts w:ascii="Arial" w:hAnsi="Arial" w:eastAsia="Times New Roman" w:cs="Arial"/>
          <w:sz w:val="20"/>
          <w:szCs w:val="20"/>
        </w:rPr>
        <w:t xml:space="preserve">The individuals within the Southern Company organizations indicated above may use the information only for purposes of implementing and administering the PPA (including conducting GPC’s system operations and dispatch functions). Seller understands that the information will not be used or disseminated in any manner contrary to the confidentiality provisions in the PPA or in violation of the FERC Standards of Conduct. </w:t>
      </w:r>
    </w:p>
    <w:p w:rsidRPr="00412C31" w:rsidR="002D54C4" w:rsidP="00443731" w:rsidRDefault="002D54C4" w14:paraId="2C3CE811" w14:textId="77777777">
      <w:pPr>
        <w:widowControl w:val="0"/>
        <w:adjustRightInd w:val="0"/>
        <w:spacing w:after="0"/>
        <w:jc w:val="both"/>
        <w:textAlignment w:val="baseline"/>
        <w:rPr>
          <w:rFonts w:ascii="Arial" w:hAnsi="Arial" w:eastAsia="Times New Roman" w:cs="Arial"/>
          <w:sz w:val="20"/>
          <w:szCs w:val="20"/>
        </w:rPr>
      </w:pPr>
    </w:p>
    <w:p w:rsidRPr="00412C31" w:rsidR="002D54C4" w:rsidP="00443731" w:rsidRDefault="008B55A2" w14:paraId="379F9EF4" w14:textId="77777777">
      <w:pPr>
        <w:widowControl w:val="0"/>
        <w:adjustRightInd w:val="0"/>
        <w:spacing w:after="0"/>
        <w:jc w:val="both"/>
        <w:textAlignment w:val="baseline"/>
        <w:rPr>
          <w:rFonts w:ascii="Arial" w:hAnsi="Arial" w:eastAsia="Times New Roman" w:cs="Arial"/>
          <w:sz w:val="20"/>
          <w:szCs w:val="20"/>
        </w:rPr>
      </w:pPr>
      <w:r>
        <w:rPr>
          <w:rFonts w:ascii="Arial" w:hAnsi="Arial" w:eastAsia="Times New Roman" w:cs="Arial"/>
          <w:sz w:val="20"/>
          <w:szCs w:val="20"/>
        </w:rPr>
        <w:t>Seller’s provision of this information has not been and is not being provided in exchange for any preferential treatment, either operational or rate-related, by SCS or by any of the transmission-owning subsidiaries of Southern Company. Seller also acknowledges that Seller is not providing the information under duress or coercion. In accordance with FERC requirements, SCS may post on Southern Company’s Open Access Same-time Information System (OASIS) the fact of Seller’s consent to the provision of the information specified above to certain employees that may be employed within organizational units deemed to be energy affiliates/wholesale marketing units under the Standards of Conduct.</w:t>
      </w:r>
    </w:p>
    <w:p w:rsidRPr="00412C31" w:rsidR="002D54C4" w:rsidP="00443731" w:rsidRDefault="002D54C4" w14:paraId="01A1DB20" w14:textId="77777777">
      <w:pPr>
        <w:widowControl w:val="0"/>
        <w:adjustRightInd w:val="0"/>
        <w:spacing w:after="0"/>
        <w:jc w:val="both"/>
        <w:textAlignment w:val="baseline"/>
        <w:rPr>
          <w:rFonts w:ascii="Arial" w:hAnsi="Arial" w:eastAsia="Times New Roman" w:cs="Arial"/>
          <w:sz w:val="20"/>
          <w:szCs w:val="20"/>
        </w:rPr>
      </w:pPr>
    </w:p>
    <w:p w:rsidRPr="00412C31" w:rsidR="002D54C4" w:rsidP="00506657" w:rsidRDefault="008B55A2" w14:paraId="329FC8ED" w14:textId="77777777">
      <w:pPr>
        <w:widowControl w:val="0"/>
        <w:adjustRightInd w:val="0"/>
        <w:spacing w:after="0"/>
        <w:textAlignment w:val="baseline"/>
        <w:rPr>
          <w:rFonts w:ascii="Arial" w:hAnsi="Arial" w:eastAsia="Times New Roman" w:cs="Arial"/>
          <w:sz w:val="20"/>
          <w:szCs w:val="20"/>
        </w:rPr>
      </w:pPr>
      <w:r>
        <w:rPr>
          <w:rFonts w:ascii="Arial" w:hAnsi="Arial" w:eastAsia="Times New Roman" w:cs="Arial"/>
          <w:sz w:val="20"/>
          <w:szCs w:val="20"/>
          <w:u w:val="single"/>
        </w:rPr>
        <w:t>Acknowledged on behalf of Seller by Seller’s authorized representative signing below</w:t>
      </w:r>
      <w:r>
        <w:rPr>
          <w:rFonts w:ascii="Arial" w:hAnsi="Arial" w:eastAsia="Times New Roman" w:cs="Arial"/>
          <w:sz w:val="20"/>
          <w:szCs w:val="20"/>
        </w:rPr>
        <w:t>:</w:t>
      </w:r>
    </w:p>
    <w:p w:rsidRPr="00412C31" w:rsidR="002D54C4" w:rsidP="00506657" w:rsidRDefault="002D54C4" w14:paraId="36EBEE43" w14:textId="77777777">
      <w:pPr>
        <w:widowControl w:val="0"/>
        <w:adjustRightInd w:val="0"/>
        <w:spacing w:after="0"/>
        <w:textAlignment w:val="baseline"/>
        <w:rPr>
          <w:rFonts w:ascii="Arial" w:hAnsi="Arial" w:eastAsia="Times New Roman" w:cs="Arial"/>
          <w:sz w:val="20"/>
          <w:szCs w:val="20"/>
        </w:rPr>
      </w:pPr>
    </w:p>
    <w:tbl>
      <w:tblPr>
        <w:tblW w:w="5040" w:type="dxa"/>
        <w:tblLayout w:type="fixed"/>
        <w:tblCellMar>
          <w:left w:w="29" w:type="dxa"/>
          <w:right w:w="29" w:type="dxa"/>
        </w:tblCellMar>
        <w:tblLook w:val="01E0" w:firstRow="1" w:lastRow="1" w:firstColumn="1" w:lastColumn="1" w:noHBand="0" w:noVBand="0"/>
      </w:tblPr>
      <w:tblGrid>
        <w:gridCol w:w="900"/>
        <w:gridCol w:w="4140"/>
      </w:tblGrid>
      <w:tr w:rsidR="00AE51F9" w14:paraId="34ACB0DD" w14:textId="77777777">
        <w:trPr>
          <w:cantSplit/>
          <w:trHeight w:val="432"/>
        </w:trPr>
        <w:tc>
          <w:tcPr>
            <w:tcW w:w="5040" w:type="dxa"/>
            <w:gridSpan w:val="2"/>
            <w:hideMark/>
          </w:tcPr>
          <w:p w:rsidRPr="00E3776F" w:rsidR="002D54C4" w:rsidRDefault="008B55A2" w14:paraId="142042BB" w14:textId="77777777">
            <w:pPr>
              <w:pStyle w:val="zGTableSig12"/>
              <w:spacing w:line="256" w:lineRule="auto"/>
              <w:rPr>
                <w:szCs w:val="24"/>
              </w:rPr>
            </w:pPr>
            <w:r>
              <w:rPr>
                <w:szCs w:val="24"/>
                <w:highlight w:val="yellow"/>
              </w:rPr>
              <w:t>#SellerLegalName#</w:t>
            </w:r>
          </w:p>
        </w:tc>
      </w:tr>
      <w:tr w:rsidR="00AE51F9" w14:paraId="251F1DC2" w14:textId="77777777">
        <w:trPr>
          <w:cantSplit/>
          <w:trHeight w:val="504"/>
        </w:trPr>
        <w:tc>
          <w:tcPr>
            <w:tcW w:w="900" w:type="dxa"/>
            <w:vAlign w:val="bottom"/>
            <w:hideMark/>
          </w:tcPr>
          <w:p w:rsidRPr="00412C31" w:rsidR="002D54C4" w:rsidRDefault="008B55A2" w14:paraId="6009D936" w14:textId="77777777">
            <w:pPr>
              <w:pStyle w:val="zGNormal"/>
              <w:spacing w:line="256" w:lineRule="auto"/>
            </w:pPr>
            <w:r>
              <w:t>By:</w:t>
            </w:r>
          </w:p>
        </w:tc>
        <w:tc>
          <w:tcPr>
            <w:tcW w:w="4140" w:type="dxa"/>
            <w:tcBorders>
              <w:top w:val="nil"/>
              <w:left w:val="nil"/>
              <w:bottom w:val="single" w:color="auto" w:sz="8" w:space="0"/>
              <w:right w:val="nil"/>
            </w:tcBorders>
            <w:vAlign w:val="bottom"/>
          </w:tcPr>
          <w:p w:rsidRPr="00412C31" w:rsidR="002D54C4" w:rsidRDefault="002D54C4" w14:paraId="74DEDF08" w14:textId="77777777">
            <w:pPr>
              <w:keepLines/>
              <w:spacing w:line="256" w:lineRule="auto"/>
              <w:rPr>
                <w:rFonts w:ascii="Arial" w:hAnsi="Arial" w:cs="Arial"/>
                <w:sz w:val="20"/>
                <w:szCs w:val="20"/>
              </w:rPr>
            </w:pPr>
          </w:p>
        </w:tc>
      </w:tr>
      <w:tr w:rsidR="00AE51F9" w14:paraId="0B7BF51E" w14:textId="77777777">
        <w:trPr>
          <w:cantSplit/>
          <w:trHeight w:val="504"/>
        </w:trPr>
        <w:tc>
          <w:tcPr>
            <w:tcW w:w="900" w:type="dxa"/>
            <w:vAlign w:val="bottom"/>
            <w:hideMark/>
          </w:tcPr>
          <w:p w:rsidRPr="00412C31" w:rsidR="002D54C4" w:rsidRDefault="008B55A2" w14:paraId="35C56C07" w14:textId="77777777">
            <w:pPr>
              <w:pStyle w:val="zGNormal"/>
              <w:spacing w:line="256" w:lineRule="auto"/>
            </w:pPr>
            <w:r>
              <w:t>Name</w:t>
            </w:r>
          </w:p>
          <w:p w:rsidRPr="00412C31" w:rsidR="002D54C4" w:rsidRDefault="008B55A2" w14:paraId="71CE0622" w14:textId="77777777">
            <w:pPr>
              <w:pStyle w:val="zGNormal"/>
              <w:spacing w:line="256" w:lineRule="auto"/>
            </w:pPr>
            <w:r>
              <w:t>Printed:</w:t>
            </w:r>
          </w:p>
        </w:tc>
        <w:tc>
          <w:tcPr>
            <w:tcW w:w="4140" w:type="dxa"/>
            <w:tcBorders>
              <w:top w:val="single" w:color="auto" w:sz="8" w:space="0"/>
              <w:left w:val="nil"/>
              <w:bottom w:val="single" w:color="auto" w:sz="4" w:space="0"/>
              <w:right w:val="nil"/>
            </w:tcBorders>
          </w:tcPr>
          <w:p w:rsidRPr="00412C31" w:rsidR="002D54C4" w:rsidRDefault="002D54C4" w14:paraId="07CE2C08" w14:textId="77777777">
            <w:pPr>
              <w:keepLines/>
              <w:spacing w:line="256" w:lineRule="auto"/>
              <w:rPr>
                <w:rFonts w:ascii="Arial" w:hAnsi="Arial" w:cs="Arial"/>
                <w:sz w:val="20"/>
                <w:szCs w:val="20"/>
              </w:rPr>
            </w:pPr>
          </w:p>
        </w:tc>
      </w:tr>
      <w:tr w:rsidR="00AE51F9" w14:paraId="3FC18A35" w14:textId="77777777">
        <w:trPr>
          <w:cantSplit/>
          <w:trHeight w:val="504"/>
        </w:trPr>
        <w:tc>
          <w:tcPr>
            <w:tcW w:w="900" w:type="dxa"/>
            <w:vAlign w:val="bottom"/>
            <w:hideMark/>
          </w:tcPr>
          <w:p w:rsidRPr="00412C31" w:rsidR="002D54C4" w:rsidRDefault="008B55A2" w14:paraId="2D773AF2" w14:textId="77777777">
            <w:pPr>
              <w:pStyle w:val="zGNormal"/>
              <w:spacing w:line="256" w:lineRule="auto"/>
            </w:pPr>
            <w:r>
              <w:t>Title:</w:t>
            </w:r>
          </w:p>
        </w:tc>
        <w:tc>
          <w:tcPr>
            <w:tcW w:w="4140" w:type="dxa"/>
            <w:tcBorders>
              <w:top w:val="single" w:color="auto" w:sz="4" w:space="0"/>
              <w:left w:val="nil"/>
              <w:bottom w:val="single" w:color="auto" w:sz="4" w:space="0"/>
              <w:right w:val="nil"/>
            </w:tcBorders>
          </w:tcPr>
          <w:p w:rsidRPr="00412C31" w:rsidR="002D54C4" w:rsidRDefault="002D54C4" w14:paraId="521D0E7C" w14:textId="77777777">
            <w:pPr>
              <w:keepLines/>
              <w:spacing w:line="256" w:lineRule="auto"/>
              <w:rPr>
                <w:rFonts w:ascii="Arial" w:hAnsi="Arial" w:cs="Arial"/>
                <w:sz w:val="20"/>
                <w:szCs w:val="20"/>
              </w:rPr>
            </w:pPr>
          </w:p>
        </w:tc>
      </w:tr>
      <w:tr w:rsidR="00AE51F9" w14:paraId="5A096A6E" w14:textId="77777777">
        <w:trPr>
          <w:cantSplit/>
          <w:trHeight w:val="504"/>
        </w:trPr>
        <w:tc>
          <w:tcPr>
            <w:tcW w:w="900" w:type="dxa"/>
            <w:vAlign w:val="bottom"/>
            <w:hideMark/>
          </w:tcPr>
          <w:p w:rsidRPr="00412C31" w:rsidR="002D54C4" w:rsidRDefault="008B55A2" w14:paraId="7EDFE0F3" w14:textId="77777777">
            <w:pPr>
              <w:pStyle w:val="zGNormal"/>
              <w:spacing w:line="256" w:lineRule="auto"/>
            </w:pPr>
            <w:r>
              <w:t>Date:</w:t>
            </w:r>
          </w:p>
        </w:tc>
        <w:tc>
          <w:tcPr>
            <w:tcW w:w="4140" w:type="dxa"/>
            <w:tcBorders>
              <w:top w:val="single" w:color="auto" w:sz="4" w:space="0"/>
              <w:left w:val="nil"/>
              <w:bottom w:val="single" w:color="auto" w:sz="4" w:space="0"/>
              <w:right w:val="nil"/>
            </w:tcBorders>
            <w:vAlign w:val="bottom"/>
          </w:tcPr>
          <w:p w:rsidRPr="00412C31" w:rsidR="002D54C4" w:rsidRDefault="002D54C4" w14:paraId="6DC5D857" w14:textId="77777777">
            <w:pPr>
              <w:keepLines/>
              <w:spacing w:line="256" w:lineRule="auto"/>
              <w:rPr>
                <w:rFonts w:ascii="Arial" w:hAnsi="Arial" w:cs="Arial"/>
                <w:sz w:val="20"/>
                <w:szCs w:val="20"/>
              </w:rPr>
            </w:pPr>
          </w:p>
        </w:tc>
      </w:tr>
    </w:tbl>
    <w:p w:rsidRPr="00412C31" w:rsidR="002D54C4" w:rsidP="002D54C4" w:rsidRDefault="008B55A2" w14:paraId="3644DC4C" w14:textId="77777777">
      <w:pPr>
        <w:rPr>
          <w:rFonts w:ascii="Arial" w:hAnsi="Arial" w:eastAsia="Times New Roman" w:cs="Arial"/>
          <w:sz w:val="20"/>
          <w:szCs w:val="20"/>
        </w:rPr>
      </w:pPr>
      <w:r>
        <w:rPr>
          <w:rFonts w:ascii="Arial" w:hAnsi="Arial" w:eastAsia="Times New Roman" w:cs="Arial"/>
          <w:sz w:val="20"/>
          <w:szCs w:val="20"/>
        </w:rPr>
        <w:br w:type="page"/>
      </w:r>
    </w:p>
    <w:p w:rsidR="00C74C3E" w:rsidP="002D54C4" w:rsidRDefault="00C74C3E" w14:paraId="0AC41D63" w14:textId="77777777">
      <w:pPr>
        <w:pStyle w:val="zGTitleExhibit"/>
      </w:pPr>
      <w:bookmarkStart w:name="_Toc158117343" w:id="1794"/>
      <w:bookmarkStart w:name="_Toc160749242" w:id="1795"/>
    </w:p>
    <w:p w:rsidRPr="0012275A" w:rsidR="002D54C4" w:rsidP="002D54C4" w:rsidRDefault="008B55A2" w14:paraId="20A82746" w14:textId="6200EC4B">
      <w:pPr>
        <w:pStyle w:val="zGTitleExhibit"/>
        <w:rPr>
          <w:rFonts w:ascii="Segoe UI" w:hAnsi="Segoe UI" w:cs="Segoe UI"/>
          <w:sz w:val="18"/>
          <w:szCs w:val="18"/>
        </w:rPr>
      </w:pPr>
      <w:bookmarkStart w:name="_Toc194937611" w:id="1796"/>
      <w:bookmarkStart w:name="_Toc227451708" w:id="1797"/>
      <w:r>
        <w:t xml:space="preserve">Exhibit </w:t>
      </w:r>
      <w:r w:rsidR="007534BF">
        <w:t>O</w:t>
      </w:r>
      <w:r>
        <w:t xml:space="preserve"> – Environmental Compliance Certification</w:t>
      </w:r>
      <w:bookmarkEnd w:id="1794"/>
      <w:bookmarkEnd w:id="1795"/>
      <w:bookmarkEnd w:id="1796"/>
      <w:bookmarkEnd w:id="1797"/>
    </w:p>
    <w:p w:rsidRPr="00412C31" w:rsidR="002D54C4" w:rsidP="005D5591" w:rsidRDefault="008B55A2" w14:paraId="6DF766C4" w14:textId="77777777">
      <w:pPr>
        <w:spacing w:after="0"/>
        <w:jc w:val="center"/>
        <w:textAlignment w:val="baseline"/>
        <w:rPr>
          <w:rFonts w:ascii="Arial" w:hAnsi="Arial" w:eastAsia="Times New Roman" w:cs="Arial"/>
          <w:sz w:val="20"/>
          <w:szCs w:val="20"/>
        </w:rPr>
      </w:pPr>
      <w:r>
        <w:rPr>
          <w:rFonts w:ascii="Arial" w:hAnsi="Arial" w:eastAsia="Times New Roman" w:cs="Arial"/>
          <w:b/>
          <w:bCs/>
          <w:sz w:val="20"/>
          <w:szCs w:val="20"/>
        </w:rPr>
        <w:t>CERTIFICATION OF ENVIRONMENTAL COMPLIANCE </w:t>
      </w:r>
      <w:r>
        <w:rPr>
          <w:rFonts w:ascii="Arial" w:hAnsi="Arial" w:eastAsia="Times New Roman" w:cs="Arial"/>
          <w:sz w:val="20"/>
          <w:szCs w:val="20"/>
        </w:rPr>
        <w:t> </w:t>
      </w:r>
    </w:p>
    <w:p w:rsidRPr="00412C31" w:rsidR="002D54C4" w:rsidP="005D5591" w:rsidRDefault="008B55A2" w14:paraId="472E7233" w14:textId="77777777">
      <w:pPr>
        <w:spacing w:after="0"/>
        <w:jc w:val="center"/>
        <w:textAlignment w:val="baseline"/>
        <w:rPr>
          <w:rFonts w:ascii="Arial" w:hAnsi="Arial" w:eastAsia="Times New Roman" w:cs="Arial"/>
          <w:sz w:val="20"/>
          <w:szCs w:val="20"/>
        </w:rPr>
      </w:pPr>
      <w:r>
        <w:rPr>
          <w:rFonts w:ascii="Arial" w:hAnsi="Arial" w:eastAsia="Times New Roman" w:cs="Arial"/>
          <w:sz w:val="20"/>
          <w:szCs w:val="20"/>
        </w:rPr>
        <w:t> </w:t>
      </w:r>
    </w:p>
    <w:p w:rsidRPr="00412C31" w:rsidR="002D54C4" w:rsidP="00AD1D2B" w:rsidRDefault="008B55A2" w14:paraId="5BDFF840" w14:textId="6CC69B02">
      <w:pPr>
        <w:spacing w:after="0" w:line="240" w:lineRule="auto"/>
        <w:jc w:val="both"/>
        <w:textAlignment w:val="baseline"/>
        <w:rPr>
          <w:rFonts w:ascii="Arial" w:hAnsi="Arial" w:eastAsia="Times New Roman" w:cs="Arial"/>
          <w:sz w:val="20"/>
          <w:szCs w:val="20"/>
        </w:rPr>
      </w:pPr>
      <w:r>
        <w:rPr>
          <w:rFonts w:ascii="Arial" w:hAnsi="Arial" w:eastAsia="Times New Roman" w:cs="Arial"/>
          <w:b/>
          <w:bCs/>
          <w:sz w:val="20"/>
          <w:szCs w:val="20"/>
        </w:rPr>
        <w:t xml:space="preserve">AGREEMENT – Power </w:t>
      </w:r>
      <w:r>
        <w:rPr>
          <w:rFonts w:ascii="Arial" w:hAnsi="Arial" w:cs="Arial"/>
          <w:b/>
          <w:bCs/>
          <w:sz w:val="20"/>
          <w:szCs w:val="20"/>
        </w:rPr>
        <w:t xml:space="preserve">Purchase Agreement for Firm Capacity, Energy Storage Services, and Ancillary Services from a Battery Energy Storage System </w:t>
      </w:r>
      <w:r w:rsidR="00C82AA0">
        <w:rPr>
          <w:rFonts w:ascii="Arial" w:hAnsi="Arial" w:cs="Arial"/>
          <w:b/>
          <w:bCs/>
          <w:sz w:val="20"/>
          <w:szCs w:val="20"/>
        </w:rPr>
        <w:t>[</w:t>
      </w:r>
      <w:r w:rsidRPr="005B62AC" w:rsidR="00C82AA0">
        <w:rPr>
          <w:rFonts w:ascii="Arial" w:hAnsi="Arial" w:cs="Arial"/>
          <w:b/>
          <w:bCs/>
          <w:sz w:val="20"/>
          <w:szCs w:val="20"/>
          <w:highlight w:val="yellow"/>
        </w:rPr>
        <w:t>Paired with a Renewable Resource</w:t>
      </w:r>
      <w:r w:rsidR="00C82AA0">
        <w:rPr>
          <w:rFonts w:ascii="Arial" w:hAnsi="Arial" w:cs="Arial"/>
          <w:b/>
          <w:bCs/>
          <w:sz w:val="20"/>
          <w:szCs w:val="20"/>
        </w:rPr>
        <w:t xml:space="preserve">] for </w:t>
      </w:r>
      <w:r w:rsidRPr="00CE05DD" w:rsidR="00CE05DD">
        <w:rPr>
          <w:rFonts w:ascii="Arial" w:hAnsi="Arial" w:cs="Arial"/>
          <w:b/>
          <w:sz w:val="20"/>
          <w:szCs w:val="20"/>
        </w:rPr>
        <w:t>2026 All-Source Capacity Request for Proposals for Need Years 2032</w:t>
      </w:r>
      <w:r w:rsidR="005D270D">
        <w:rPr>
          <w:rFonts w:ascii="Arial" w:hAnsi="Arial" w:cs="Arial"/>
          <w:b/>
          <w:sz w:val="20"/>
          <w:szCs w:val="20"/>
        </w:rPr>
        <w:t>-</w:t>
      </w:r>
      <w:r w:rsidRPr="00CE05DD" w:rsidR="00CE05DD">
        <w:rPr>
          <w:rFonts w:ascii="Arial" w:hAnsi="Arial" w:cs="Arial"/>
          <w:b/>
          <w:sz w:val="20"/>
          <w:szCs w:val="20"/>
        </w:rPr>
        <w:t>2033</w:t>
      </w:r>
      <w:r w:rsidR="003121F1">
        <w:rPr>
          <w:rFonts w:ascii="Arial" w:hAnsi="Arial" w:cs="Arial"/>
          <w:b/>
          <w:bCs/>
          <w:sz w:val="20"/>
          <w:szCs w:val="20"/>
        </w:rPr>
        <w:t xml:space="preserve"> </w:t>
      </w:r>
      <w:r>
        <w:rPr>
          <w:rFonts w:ascii="Arial" w:hAnsi="Arial" w:eastAsia="Times New Roman" w:cs="Arial"/>
          <w:b/>
          <w:bCs/>
          <w:sz w:val="20"/>
          <w:szCs w:val="20"/>
        </w:rPr>
        <w:t xml:space="preserve">at </w:t>
      </w:r>
      <w:r>
        <w:rPr>
          <w:rFonts w:ascii="Arial" w:hAnsi="Arial" w:eastAsia="Times New Roman" w:cs="Arial"/>
          <w:b/>
          <w:bCs/>
          <w:sz w:val="20"/>
          <w:szCs w:val="20"/>
          <w:shd w:val="clear" w:color="auto" w:fill="FFFF00"/>
        </w:rPr>
        <w:t>#FacilityName#</w:t>
      </w:r>
      <w:r>
        <w:rPr>
          <w:rFonts w:ascii="Arial" w:hAnsi="Arial" w:eastAsia="Times New Roman" w:cs="Arial"/>
          <w:b/>
          <w:bCs/>
          <w:sz w:val="20"/>
          <w:szCs w:val="20"/>
        </w:rPr>
        <w:t xml:space="preserve"> </w:t>
      </w:r>
      <w:r>
        <w:rPr>
          <w:rFonts w:ascii="Arial" w:hAnsi="Arial" w:eastAsia="Times New Roman" w:cs="Arial"/>
          <w:sz w:val="20"/>
          <w:szCs w:val="20"/>
        </w:rPr>
        <w:t>dated as of ______ ___, 20__ between</w:t>
      </w:r>
      <w:r>
        <w:rPr>
          <w:rFonts w:ascii="Arial" w:hAnsi="Arial" w:eastAsia="Times New Roman" w:cs="Arial"/>
          <w:b/>
          <w:bCs/>
          <w:sz w:val="20"/>
          <w:szCs w:val="20"/>
        </w:rPr>
        <w:t xml:space="preserve"> Georgia Power Company</w:t>
      </w:r>
      <w:r>
        <w:rPr>
          <w:rFonts w:ascii="Arial" w:hAnsi="Arial" w:eastAsia="Times New Roman" w:cs="Arial"/>
          <w:sz w:val="20"/>
          <w:szCs w:val="20"/>
        </w:rPr>
        <w:t xml:space="preserve"> (“</w:t>
      </w:r>
      <w:r>
        <w:rPr>
          <w:rFonts w:ascii="Arial" w:hAnsi="Arial" w:eastAsia="Times New Roman" w:cs="Arial"/>
          <w:b/>
          <w:bCs/>
          <w:sz w:val="20"/>
          <w:szCs w:val="20"/>
        </w:rPr>
        <w:t>GPC</w:t>
      </w:r>
      <w:r>
        <w:rPr>
          <w:rFonts w:ascii="Arial" w:hAnsi="Arial" w:eastAsia="Times New Roman" w:cs="Arial"/>
          <w:sz w:val="20"/>
          <w:szCs w:val="20"/>
        </w:rPr>
        <w:t xml:space="preserve">”), and </w:t>
      </w:r>
      <w:r>
        <w:rPr>
          <w:rFonts w:ascii="Arial" w:hAnsi="Arial" w:eastAsia="Times New Roman" w:cs="Arial"/>
          <w:b/>
          <w:bCs/>
          <w:sz w:val="20"/>
          <w:szCs w:val="20"/>
          <w:shd w:val="clear" w:color="auto" w:fill="FFFF00"/>
        </w:rPr>
        <w:t>#SellerLegalName#</w:t>
      </w:r>
      <w:r>
        <w:rPr>
          <w:rFonts w:ascii="Arial" w:hAnsi="Arial" w:eastAsia="Times New Roman" w:cs="Arial"/>
          <w:sz w:val="20"/>
          <w:szCs w:val="20"/>
        </w:rPr>
        <w:t xml:space="preserve"> (“</w:t>
      </w:r>
      <w:r>
        <w:rPr>
          <w:rFonts w:ascii="Arial" w:hAnsi="Arial" w:eastAsia="Times New Roman" w:cs="Arial"/>
          <w:b/>
          <w:bCs/>
          <w:sz w:val="20"/>
          <w:szCs w:val="20"/>
        </w:rPr>
        <w:t>Seller</w:t>
      </w:r>
      <w:r>
        <w:rPr>
          <w:rFonts w:ascii="Arial" w:hAnsi="Arial" w:eastAsia="Times New Roman" w:cs="Arial"/>
          <w:sz w:val="20"/>
          <w:szCs w:val="20"/>
        </w:rPr>
        <w:t>”) (“</w:t>
      </w:r>
      <w:r>
        <w:rPr>
          <w:rFonts w:ascii="Arial" w:hAnsi="Arial" w:eastAsia="Times New Roman" w:cs="Arial"/>
          <w:b/>
          <w:bCs/>
          <w:sz w:val="20"/>
          <w:szCs w:val="20"/>
        </w:rPr>
        <w:t>PPA</w:t>
      </w:r>
      <w:r>
        <w:rPr>
          <w:rFonts w:ascii="Arial" w:hAnsi="Arial" w:eastAsia="Times New Roman" w:cs="Arial"/>
          <w:sz w:val="20"/>
          <w:szCs w:val="20"/>
        </w:rPr>
        <w:t>”). Capitalized terms used herein will have the meaning assigned in the PPA. </w:t>
      </w:r>
    </w:p>
    <w:p w:rsidRPr="00412C31" w:rsidR="002D54C4" w:rsidP="00AD1D2B" w:rsidRDefault="008B55A2" w14:paraId="3A439467" w14:textId="77777777">
      <w:pPr>
        <w:spacing w:after="0" w:line="240" w:lineRule="auto"/>
        <w:jc w:val="both"/>
        <w:textAlignment w:val="baseline"/>
        <w:rPr>
          <w:rFonts w:ascii="Arial" w:hAnsi="Arial" w:eastAsia="Times New Roman" w:cs="Arial"/>
          <w:sz w:val="20"/>
          <w:szCs w:val="20"/>
        </w:rPr>
      </w:pPr>
      <w:r>
        <w:rPr>
          <w:rFonts w:ascii="Arial" w:hAnsi="Arial" w:eastAsia="Times New Roman" w:cs="Arial"/>
          <w:sz w:val="20"/>
          <w:szCs w:val="20"/>
        </w:rPr>
        <w:t>The undersigned individual, being the [●] of Seller and having responsibilities for [</w:t>
      </w:r>
      <w:r>
        <w:rPr>
          <w:rFonts w:ascii="Arial" w:hAnsi="Arial" w:eastAsia="Times New Roman" w:cs="Arial"/>
          <w:i/>
          <w:iCs/>
          <w:sz w:val="20"/>
          <w:szCs w:val="20"/>
        </w:rPr>
        <w:t>environmental compliance and reporting</w:t>
      </w:r>
      <w:r>
        <w:rPr>
          <w:rFonts w:ascii="Arial" w:hAnsi="Arial" w:eastAsia="Times New Roman" w:cs="Arial"/>
          <w:sz w:val="20"/>
          <w:szCs w:val="20"/>
        </w:rPr>
        <w:t>] matters associated with this PPA, certifies to the following: </w:t>
      </w:r>
    </w:p>
    <w:p w:rsidRPr="00412C31" w:rsidR="002D54C4" w:rsidP="00236AED" w:rsidRDefault="008B55A2" w14:paraId="4DA11580" w14:textId="30915CB4">
      <w:pPr>
        <w:numPr>
          <w:ilvl w:val="0"/>
          <w:numId w:val="8"/>
        </w:numPr>
        <w:tabs>
          <w:tab w:val="clear" w:pos="720"/>
        </w:tabs>
        <w:spacing w:after="0" w:line="240" w:lineRule="auto"/>
        <w:ind w:left="90" w:firstLine="0"/>
        <w:jc w:val="both"/>
        <w:textAlignment w:val="baseline"/>
        <w:rPr>
          <w:rFonts w:ascii="Arial" w:hAnsi="Arial" w:eastAsia="Times New Roman" w:cs="Arial"/>
          <w:sz w:val="20"/>
          <w:szCs w:val="20"/>
        </w:rPr>
      </w:pPr>
      <w:bookmarkStart w:name="_Hlk166666935" w:id="1798"/>
      <w:r>
        <w:rPr>
          <w:rFonts w:ascii="Arial" w:hAnsi="Arial" w:eastAsia="Times New Roman" w:cs="Arial"/>
          <w:sz w:val="20"/>
          <w:szCs w:val="20"/>
        </w:rPr>
        <w:t>Since the date of Seller’s prior Certificat</w:t>
      </w:r>
      <w:r w:rsidR="00C822F3">
        <w:rPr>
          <w:rFonts w:ascii="Arial" w:hAnsi="Arial" w:eastAsia="Times New Roman" w:cs="Arial"/>
          <w:sz w:val="20"/>
          <w:szCs w:val="20"/>
        </w:rPr>
        <w:t>ion</w:t>
      </w:r>
      <w:r>
        <w:rPr>
          <w:rFonts w:ascii="Arial" w:hAnsi="Arial" w:eastAsia="Times New Roman" w:cs="Arial"/>
          <w:sz w:val="20"/>
          <w:szCs w:val="20"/>
        </w:rPr>
        <w:t xml:space="preserve"> of Environmental Compliance delivered in accordance with the PPA, there have been no changes in the design </w:t>
      </w:r>
      <w:r w:rsidR="00AE6321">
        <w:rPr>
          <w:rFonts w:ascii="Arial" w:hAnsi="Arial" w:eastAsia="Times New Roman" w:cs="Arial"/>
          <w:sz w:val="20"/>
          <w:szCs w:val="20"/>
        </w:rPr>
        <w:t xml:space="preserve">or construction </w:t>
      </w:r>
      <w:r>
        <w:rPr>
          <w:rFonts w:ascii="Arial" w:hAnsi="Arial" w:eastAsia="Times New Roman" w:cs="Arial"/>
          <w:sz w:val="20"/>
          <w:szCs w:val="20"/>
        </w:rPr>
        <w:t>of the Facility that resulted in or, to the best of the knowledge of the undersigned after reasonable inquiry, are expected to result in, additional impacts to the environment that have not been previously disclosed in writing to GPC.</w:t>
      </w:r>
      <w:bookmarkEnd w:id="1798"/>
      <w:r>
        <w:rPr>
          <w:rFonts w:ascii="Arial" w:hAnsi="Arial" w:eastAsia="Times New Roman" w:cs="Arial"/>
          <w:sz w:val="20"/>
          <w:szCs w:val="20"/>
        </w:rPr>
        <w:t>  </w:t>
      </w:r>
    </w:p>
    <w:p w:rsidRPr="00412C31" w:rsidR="002D54C4" w:rsidP="00AD1D2B" w:rsidRDefault="008B55A2" w14:paraId="37C2A06C" w14:textId="77777777">
      <w:pPr>
        <w:spacing w:after="0" w:line="240" w:lineRule="auto"/>
        <w:ind w:left="720"/>
        <w:textAlignment w:val="baseline"/>
        <w:rPr>
          <w:rFonts w:ascii="Arial" w:hAnsi="Arial" w:eastAsia="Times New Roman" w:cs="Arial"/>
          <w:sz w:val="20"/>
          <w:szCs w:val="20"/>
        </w:rPr>
      </w:pPr>
      <w:r>
        <w:rPr>
          <w:rFonts w:ascii="Arial" w:hAnsi="Arial" w:eastAsia="Times New Roman" w:cs="Arial"/>
          <w:sz w:val="20"/>
          <w:szCs w:val="20"/>
        </w:rPr>
        <w:t>________Yes </w:t>
      </w:r>
    </w:p>
    <w:p w:rsidRPr="00412C31" w:rsidR="002D54C4" w:rsidP="00AD1D2B" w:rsidRDefault="008B55A2" w14:paraId="40912FAB" w14:textId="77777777">
      <w:pPr>
        <w:spacing w:after="0" w:line="240" w:lineRule="auto"/>
        <w:ind w:left="720"/>
        <w:textAlignment w:val="baseline"/>
        <w:rPr>
          <w:rFonts w:ascii="Arial" w:hAnsi="Arial" w:eastAsia="Times New Roman" w:cs="Arial"/>
          <w:sz w:val="20"/>
          <w:szCs w:val="20"/>
        </w:rPr>
      </w:pPr>
      <w:r>
        <w:rPr>
          <w:rFonts w:ascii="Arial" w:hAnsi="Arial" w:eastAsia="Times New Roman" w:cs="Arial"/>
          <w:sz w:val="20"/>
          <w:szCs w:val="20"/>
        </w:rPr>
        <w:t>________No (please explain) </w:t>
      </w:r>
    </w:p>
    <w:p w:rsidRPr="00412C31" w:rsidR="002D54C4" w:rsidP="00AD1D2B" w:rsidRDefault="008B55A2" w14:paraId="1CDE8432" w14:textId="77777777">
      <w:pPr>
        <w:spacing w:after="0" w:line="240" w:lineRule="auto"/>
        <w:ind w:left="720"/>
        <w:textAlignment w:val="baseline"/>
        <w:rPr>
          <w:rFonts w:ascii="Arial" w:hAnsi="Arial" w:eastAsia="Times New Roman" w:cs="Arial"/>
          <w:sz w:val="20"/>
          <w:szCs w:val="20"/>
        </w:rPr>
      </w:pPr>
      <w:r>
        <w:rPr>
          <w:rFonts w:ascii="Arial" w:hAnsi="Arial" w:eastAsia="Times New Roman" w:cs="Arial"/>
          <w:sz w:val="20"/>
          <w:szCs w:val="20"/>
        </w:rPr>
        <w:t>Explain:_______________________________________________________________________ </w:t>
      </w:r>
    </w:p>
    <w:p w:rsidRPr="00412C31" w:rsidR="002D54C4" w:rsidP="00AD1D2B" w:rsidRDefault="008B55A2" w14:paraId="1F823A2C" w14:textId="77777777">
      <w:pPr>
        <w:spacing w:after="0" w:line="240" w:lineRule="auto"/>
        <w:ind w:left="720"/>
        <w:textAlignment w:val="baseline"/>
        <w:rPr>
          <w:rFonts w:ascii="Arial" w:hAnsi="Arial" w:eastAsia="Times New Roman" w:cs="Arial"/>
          <w:sz w:val="20"/>
          <w:szCs w:val="20"/>
        </w:rPr>
      </w:pPr>
      <w:r>
        <w:rPr>
          <w:rFonts w:ascii="Arial" w:hAnsi="Arial" w:eastAsia="Times New Roman" w:cs="Arial"/>
          <w:sz w:val="20"/>
          <w:szCs w:val="20"/>
        </w:rPr>
        <w:t>(a)</w:t>
      </w:r>
      <w:r>
        <w:rPr>
          <w:rFonts w:ascii="Arial" w:hAnsi="Arial" w:eastAsia="Times New Roman" w:cs="Arial"/>
          <w:sz w:val="20"/>
          <w:szCs w:val="20"/>
        </w:rPr>
        <w:tab/>
        <w:t>If “no,” a figure set or plan sheets that highlights such changes is attached. </w:t>
      </w:r>
    </w:p>
    <w:p w:rsidRPr="00412C31" w:rsidR="002D54C4" w:rsidP="00AD1D2B" w:rsidRDefault="008B55A2" w14:paraId="61FE72D0" w14:textId="77777777">
      <w:pPr>
        <w:spacing w:after="0" w:line="240" w:lineRule="auto"/>
        <w:ind w:left="720"/>
        <w:textAlignment w:val="baseline"/>
        <w:rPr>
          <w:rFonts w:ascii="Arial" w:hAnsi="Arial" w:eastAsia="Times New Roman" w:cs="Arial"/>
          <w:sz w:val="20"/>
          <w:szCs w:val="20"/>
        </w:rPr>
      </w:pPr>
      <w:r>
        <w:rPr>
          <w:rFonts w:ascii="Arial" w:hAnsi="Arial" w:eastAsia="Times New Roman" w:cs="Arial"/>
          <w:sz w:val="20"/>
          <w:szCs w:val="20"/>
        </w:rPr>
        <w:t>(b)</w:t>
      </w:r>
      <w:r>
        <w:rPr>
          <w:rFonts w:ascii="Arial" w:hAnsi="Arial" w:eastAsia="Times New Roman" w:cs="Arial"/>
          <w:sz w:val="20"/>
          <w:szCs w:val="20"/>
        </w:rPr>
        <w:tab/>
        <w:t>If “no,” copies of all documentation that all necessary Permits have been obtained and/or that the appropriate Governmental Authority coordination has occurred to legally allow for such impacts is attached. </w:t>
      </w:r>
    </w:p>
    <w:p w:rsidRPr="00412C31" w:rsidR="002D54C4" w:rsidP="00236AED" w:rsidRDefault="008B55A2" w14:paraId="798784AE" w14:textId="77777777">
      <w:pPr>
        <w:numPr>
          <w:ilvl w:val="0"/>
          <w:numId w:val="9"/>
        </w:numPr>
        <w:spacing w:after="0" w:line="240" w:lineRule="auto"/>
        <w:ind w:left="90" w:firstLine="0"/>
        <w:jc w:val="both"/>
        <w:textAlignment w:val="baseline"/>
        <w:rPr>
          <w:rFonts w:ascii="Arial" w:hAnsi="Arial" w:eastAsia="Times New Roman" w:cs="Arial"/>
          <w:sz w:val="20"/>
          <w:szCs w:val="20"/>
        </w:rPr>
      </w:pPr>
      <w:r>
        <w:rPr>
          <w:rFonts w:ascii="Arial" w:hAnsi="Arial" w:eastAsia="Times New Roman" w:cs="Arial"/>
          <w:sz w:val="20"/>
          <w:szCs w:val="20"/>
        </w:rPr>
        <w:t>A list of Permits for the Facility that were obtained (opened) or Governmental Authority prescriptions that were issued since the previous Certification is attached. </w:t>
      </w:r>
    </w:p>
    <w:p w:rsidRPr="00412C31" w:rsidR="002D54C4" w:rsidP="00236AED" w:rsidRDefault="008B55A2" w14:paraId="5EF9EF5C" w14:textId="77777777">
      <w:pPr>
        <w:numPr>
          <w:ilvl w:val="0"/>
          <w:numId w:val="10"/>
        </w:numPr>
        <w:spacing w:after="0" w:line="240" w:lineRule="auto"/>
        <w:ind w:left="90" w:firstLine="0"/>
        <w:jc w:val="both"/>
        <w:textAlignment w:val="baseline"/>
        <w:rPr>
          <w:rFonts w:ascii="Arial" w:hAnsi="Arial" w:eastAsia="Times New Roman" w:cs="Arial"/>
          <w:sz w:val="20"/>
          <w:szCs w:val="20"/>
        </w:rPr>
      </w:pPr>
      <w:r>
        <w:rPr>
          <w:rFonts w:ascii="Arial" w:hAnsi="Arial" w:eastAsia="Times New Roman" w:cs="Arial"/>
          <w:sz w:val="20"/>
          <w:szCs w:val="20"/>
        </w:rPr>
        <w:t>A list of Permits for the Facility that were applied for but have not yet been obtained (opened) since the previous Certification is attached. </w:t>
      </w:r>
    </w:p>
    <w:p w:rsidRPr="00412C31" w:rsidR="002D54C4" w:rsidP="00236AED" w:rsidRDefault="008B55A2" w14:paraId="356088D8" w14:textId="666B1928">
      <w:pPr>
        <w:numPr>
          <w:ilvl w:val="0"/>
          <w:numId w:val="11"/>
        </w:numPr>
        <w:spacing w:after="0" w:line="240" w:lineRule="auto"/>
        <w:ind w:left="90" w:firstLine="0"/>
        <w:jc w:val="both"/>
        <w:textAlignment w:val="baseline"/>
        <w:rPr>
          <w:rFonts w:ascii="Arial" w:hAnsi="Arial" w:eastAsia="Times New Roman" w:cs="Arial"/>
          <w:sz w:val="20"/>
          <w:szCs w:val="20"/>
        </w:rPr>
      </w:pPr>
      <w:r>
        <w:rPr>
          <w:rFonts w:ascii="Arial" w:hAnsi="Arial" w:eastAsia="Times New Roman" w:cs="Arial"/>
          <w:sz w:val="20"/>
          <w:szCs w:val="20"/>
        </w:rPr>
        <w:t xml:space="preserve">A list of any notices of violation (NOV) </w:t>
      </w:r>
      <w:r w:rsidR="000D6263">
        <w:rPr>
          <w:rFonts w:ascii="Arial" w:hAnsi="Arial" w:eastAsia="Times New Roman" w:cs="Arial"/>
          <w:sz w:val="20"/>
          <w:szCs w:val="20"/>
        </w:rPr>
        <w:t xml:space="preserve">since the previous certification </w:t>
      </w:r>
      <w:r>
        <w:rPr>
          <w:rFonts w:ascii="Arial" w:hAnsi="Arial" w:eastAsia="Times New Roman" w:cs="Arial"/>
          <w:sz w:val="20"/>
          <w:szCs w:val="20"/>
        </w:rPr>
        <w:t>that were issued with respect to Seller [or in connection with the Facility], including: (i) the Governmental Authority that issued the NOV, (ii) the status of remediation of the violation; and (iii) if remediation has not been completed, the duration anticipated for resolution is attached. Copies of any NOVs are also attached. </w:t>
      </w:r>
    </w:p>
    <w:p w:rsidRPr="00412C31" w:rsidR="002D54C4" w:rsidP="00236AED" w:rsidRDefault="008B55A2" w14:paraId="536E99F0" w14:textId="4B599E88">
      <w:pPr>
        <w:numPr>
          <w:ilvl w:val="0"/>
          <w:numId w:val="11"/>
        </w:numPr>
        <w:spacing w:after="0" w:line="240" w:lineRule="auto"/>
        <w:ind w:left="90" w:firstLine="0"/>
        <w:jc w:val="both"/>
        <w:textAlignment w:val="baseline"/>
        <w:rPr>
          <w:rFonts w:ascii="Arial" w:hAnsi="Arial" w:eastAsia="Times New Roman" w:cs="Arial"/>
          <w:sz w:val="20"/>
          <w:szCs w:val="20"/>
        </w:rPr>
      </w:pPr>
      <w:r>
        <w:rPr>
          <w:rFonts w:ascii="Arial" w:hAnsi="Arial" w:eastAsia="Times New Roman" w:cs="Arial"/>
          <w:sz w:val="20"/>
          <w:szCs w:val="20"/>
        </w:rPr>
        <w:t>Attached is a list identifying (by name and address) any adjacent landowner, lessee or neighbor complaints against Seller or the Facility</w:t>
      </w:r>
      <w:r w:rsidR="0020496D">
        <w:rPr>
          <w:rFonts w:ascii="Arial" w:hAnsi="Arial" w:eastAsia="Times New Roman" w:cs="Arial"/>
          <w:sz w:val="20"/>
          <w:szCs w:val="20"/>
        </w:rPr>
        <w:t xml:space="preserve"> since the previous certification</w:t>
      </w:r>
      <w:r>
        <w:rPr>
          <w:rFonts w:ascii="Arial" w:hAnsi="Arial" w:eastAsia="Times New Roman" w:cs="Arial"/>
          <w:sz w:val="20"/>
          <w:szCs w:val="20"/>
        </w:rPr>
        <w:t>, as well as: (i) a general description of the complaint; and (ii) plans that Seller took to resolve the complaint or, if not yet resolved, what actions Seller has taken to date, or intends to take, to resolve the complaint, along with a timeline for completing such actions. </w:t>
      </w:r>
    </w:p>
    <w:p w:rsidRPr="00412C31" w:rsidR="002D54C4" w:rsidP="00236AED" w:rsidRDefault="008B55A2" w14:paraId="5514735D" w14:textId="77777777">
      <w:pPr>
        <w:numPr>
          <w:ilvl w:val="0"/>
          <w:numId w:val="13"/>
        </w:numPr>
        <w:spacing w:after="0" w:line="240" w:lineRule="auto"/>
        <w:ind w:left="90" w:firstLine="0"/>
        <w:jc w:val="both"/>
        <w:textAlignment w:val="baseline"/>
        <w:rPr>
          <w:rFonts w:ascii="Arial" w:hAnsi="Arial" w:eastAsia="Times New Roman" w:cs="Arial"/>
          <w:sz w:val="20"/>
          <w:szCs w:val="20"/>
        </w:rPr>
      </w:pPr>
      <w:r>
        <w:rPr>
          <w:rFonts w:ascii="Arial" w:hAnsi="Arial" w:eastAsia="Times New Roman" w:cs="Arial"/>
          <w:sz w:val="20"/>
          <w:szCs w:val="20"/>
        </w:rPr>
        <w:t>A list of any Permits and/or other Governmental Authority prescribed actions that have been fulfilled and/or closed since the previous Certification is attached. </w:t>
      </w:r>
    </w:p>
    <w:p w:rsidRPr="00682513" w:rsidR="00731143" w:rsidP="00236AED" w:rsidRDefault="008B55A2" w14:paraId="0C9A9533" w14:textId="77777777">
      <w:pPr>
        <w:numPr>
          <w:ilvl w:val="0"/>
          <w:numId w:val="14"/>
        </w:numPr>
        <w:spacing w:after="0" w:line="240" w:lineRule="auto"/>
        <w:ind w:left="90" w:firstLine="0"/>
        <w:jc w:val="both"/>
        <w:textAlignment w:val="baseline"/>
        <w:rPr>
          <w:rFonts w:ascii="Arial" w:hAnsi="Arial" w:eastAsia="Times New Roman" w:cs="Arial"/>
          <w:b/>
          <w:bCs/>
          <w:sz w:val="20"/>
          <w:szCs w:val="20"/>
          <w:u w:val="single"/>
        </w:rPr>
      </w:pPr>
      <w:r>
        <w:rPr>
          <w:rFonts w:ascii="Arial" w:hAnsi="Arial" w:eastAsia="Times New Roman" w:cs="Arial"/>
          <w:sz w:val="20"/>
          <w:szCs w:val="20"/>
        </w:rPr>
        <w:t>Except as already referenced or included in an attachment to this Certification, there are no other documents, notices or correspondence from any Governmental Authority indicating that the Facility and the Site is not in compliance with or is not in good standing under, and Environmental Laws, Permit or other Governmental Authority prescribed actions. </w:t>
      </w:r>
    </w:p>
    <w:p w:rsidRPr="00412C31" w:rsidR="002D54C4" w:rsidP="00AD1D2B" w:rsidRDefault="008B55A2" w14:paraId="215A73E9" w14:textId="77777777">
      <w:pPr>
        <w:spacing w:after="0" w:line="240" w:lineRule="auto"/>
        <w:textAlignment w:val="baseline"/>
        <w:rPr>
          <w:rFonts w:ascii="Arial" w:hAnsi="Arial" w:eastAsia="Times New Roman" w:cs="Arial"/>
          <w:sz w:val="20"/>
          <w:szCs w:val="20"/>
        </w:rPr>
      </w:pPr>
      <w:r>
        <w:rPr>
          <w:rFonts w:ascii="Arial" w:hAnsi="Arial" w:eastAsia="Times New Roman" w:cs="Arial"/>
          <w:b/>
          <w:bCs/>
          <w:sz w:val="20"/>
          <w:szCs w:val="20"/>
          <w:u w:val="single"/>
        </w:rPr>
        <w:t>Confirmation</w:t>
      </w:r>
      <w:r>
        <w:rPr>
          <w:rFonts w:ascii="Arial" w:hAnsi="Arial" w:eastAsia="Times New Roman" w:cs="Arial"/>
          <w:sz w:val="20"/>
          <w:szCs w:val="20"/>
        </w:rPr>
        <w:t> </w:t>
      </w:r>
    </w:p>
    <w:p w:rsidRPr="00412C31" w:rsidR="002D54C4" w:rsidP="00AD1D2B" w:rsidRDefault="008B55A2" w14:paraId="261D75D5" w14:textId="77777777">
      <w:pPr>
        <w:spacing w:after="0" w:line="240" w:lineRule="auto"/>
        <w:textAlignment w:val="baseline"/>
        <w:rPr>
          <w:rFonts w:ascii="Arial" w:hAnsi="Arial" w:eastAsia="Times New Roman" w:cs="Arial"/>
          <w:sz w:val="20"/>
          <w:szCs w:val="20"/>
        </w:rPr>
      </w:pPr>
      <w:r>
        <w:rPr>
          <w:rFonts w:ascii="Arial" w:hAnsi="Arial" w:eastAsia="Times New Roman" w:cs="Arial"/>
          <w:b/>
          <w:bCs/>
          <w:sz w:val="20"/>
          <w:szCs w:val="20"/>
        </w:rPr>
        <w:t>The above information (and any attachments) has been completed in full and agrees with our records as of the date of this Certification.</w:t>
      </w:r>
      <w:r>
        <w:rPr>
          <w:rFonts w:ascii="Arial" w:hAnsi="Arial" w:eastAsia="Times New Roman" w:cs="Arial"/>
          <w:sz w:val="20"/>
          <w:szCs w:val="20"/>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05"/>
        <w:gridCol w:w="4080"/>
        <w:gridCol w:w="30"/>
      </w:tblGrid>
      <w:tr w:rsidR="00AE51F9" w14:paraId="130812D6" w14:textId="77777777">
        <w:trPr>
          <w:trHeight w:val="360"/>
        </w:trPr>
        <w:tc>
          <w:tcPr>
            <w:tcW w:w="5115" w:type="dxa"/>
            <w:gridSpan w:val="3"/>
            <w:tcBorders>
              <w:top w:val="nil"/>
              <w:left w:val="nil"/>
              <w:bottom w:val="nil"/>
              <w:right w:val="nil"/>
            </w:tcBorders>
            <w:hideMark/>
          </w:tcPr>
          <w:p w:rsidRPr="00E3776F" w:rsidR="002D54C4" w:rsidP="00AD1D2B" w:rsidRDefault="008B55A2" w14:paraId="533E2B18" w14:textId="77777777">
            <w:pPr>
              <w:spacing w:after="0" w:line="240" w:lineRule="auto"/>
              <w:textAlignment w:val="baseline"/>
              <w:rPr>
                <w:rFonts w:ascii="Arial" w:hAnsi="Arial" w:eastAsia="Times New Roman" w:cs="Arial"/>
                <w:sz w:val="24"/>
                <w:szCs w:val="24"/>
              </w:rPr>
            </w:pPr>
            <w:r>
              <w:rPr>
                <w:rFonts w:ascii="Arial" w:hAnsi="Arial" w:eastAsia="Times New Roman" w:cs="Arial"/>
                <w:b/>
                <w:sz w:val="24"/>
                <w:szCs w:val="24"/>
                <w:shd w:val="clear" w:color="auto" w:fill="FFFF00"/>
              </w:rPr>
              <w:t>#SellerLegalName#</w:t>
            </w:r>
            <w:r>
              <w:rPr>
                <w:rFonts w:ascii="Arial" w:hAnsi="Arial" w:eastAsia="Times New Roman" w:cs="Arial"/>
                <w:sz w:val="24"/>
                <w:szCs w:val="24"/>
              </w:rPr>
              <w:t> </w:t>
            </w:r>
          </w:p>
        </w:tc>
      </w:tr>
      <w:tr w:rsidR="00AE51F9" w14:paraId="3B097ACB" w14:textId="77777777">
        <w:trPr>
          <w:trHeight w:val="360"/>
        </w:trPr>
        <w:tc>
          <w:tcPr>
            <w:tcW w:w="1005" w:type="dxa"/>
            <w:tcBorders>
              <w:top w:val="nil"/>
              <w:left w:val="nil"/>
              <w:bottom w:val="nil"/>
              <w:right w:val="nil"/>
            </w:tcBorders>
            <w:vAlign w:val="bottom"/>
            <w:hideMark/>
          </w:tcPr>
          <w:p w:rsidRPr="00412C31" w:rsidR="002D54C4" w:rsidP="00AD1D2B" w:rsidRDefault="008B55A2" w14:paraId="37C74A6C"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By: </w:t>
            </w:r>
          </w:p>
        </w:tc>
        <w:tc>
          <w:tcPr>
            <w:tcW w:w="4080" w:type="dxa"/>
            <w:tcBorders>
              <w:top w:val="nil"/>
              <w:left w:val="nil"/>
              <w:bottom w:val="single" w:color="auto" w:sz="6" w:space="0"/>
              <w:right w:val="nil"/>
            </w:tcBorders>
            <w:vAlign w:val="bottom"/>
            <w:hideMark/>
          </w:tcPr>
          <w:p w:rsidRPr="00412C31" w:rsidR="002D54C4" w:rsidP="00AD1D2B" w:rsidRDefault="008B55A2" w14:paraId="737EF14A"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 </w:t>
            </w:r>
          </w:p>
        </w:tc>
        <w:tc>
          <w:tcPr>
            <w:tcW w:w="0" w:type="auto"/>
            <w:vAlign w:val="center"/>
            <w:hideMark/>
          </w:tcPr>
          <w:p w:rsidRPr="00412C31" w:rsidR="002D54C4" w:rsidP="00AD1D2B" w:rsidRDefault="002D54C4" w14:paraId="67FB9ED7" w14:textId="77777777">
            <w:pPr>
              <w:spacing w:after="0" w:line="240" w:lineRule="auto"/>
              <w:rPr>
                <w:rFonts w:ascii="Arial" w:hAnsi="Arial" w:eastAsia="Times New Roman" w:cs="Arial"/>
                <w:sz w:val="20"/>
                <w:szCs w:val="20"/>
              </w:rPr>
            </w:pPr>
          </w:p>
        </w:tc>
      </w:tr>
      <w:tr w:rsidR="00AE51F9" w14:paraId="1F261062" w14:textId="77777777">
        <w:trPr>
          <w:trHeight w:val="360"/>
        </w:trPr>
        <w:tc>
          <w:tcPr>
            <w:tcW w:w="1005" w:type="dxa"/>
            <w:tcBorders>
              <w:top w:val="nil"/>
              <w:left w:val="nil"/>
              <w:bottom w:val="nil"/>
              <w:right w:val="nil"/>
            </w:tcBorders>
            <w:vAlign w:val="bottom"/>
            <w:hideMark/>
          </w:tcPr>
          <w:p w:rsidRPr="00412C31" w:rsidR="002D54C4" w:rsidP="00AD1D2B" w:rsidRDefault="008B55A2" w14:paraId="75B88BAB"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Name </w:t>
            </w:r>
          </w:p>
          <w:p w:rsidRPr="00412C31" w:rsidR="002D54C4" w:rsidP="00AD1D2B" w:rsidRDefault="008B55A2" w14:paraId="43D31BBA"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Printed: </w:t>
            </w:r>
          </w:p>
        </w:tc>
        <w:tc>
          <w:tcPr>
            <w:tcW w:w="4080" w:type="dxa"/>
            <w:tcBorders>
              <w:top w:val="single" w:color="auto" w:sz="6" w:space="0"/>
              <w:left w:val="nil"/>
              <w:bottom w:val="single" w:color="auto" w:sz="6" w:space="0"/>
              <w:right w:val="nil"/>
            </w:tcBorders>
            <w:vAlign w:val="bottom"/>
            <w:hideMark/>
          </w:tcPr>
          <w:p w:rsidRPr="00412C31" w:rsidR="002D54C4" w:rsidP="00AD1D2B" w:rsidRDefault="008B55A2" w14:paraId="14DB8B1C"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 </w:t>
            </w:r>
          </w:p>
        </w:tc>
        <w:tc>
          <w:tcPr>
            <w:tcW w:w="0" w:type="auto"/>
            <w:vAlign w:val="center"/>
            <w:hideMark/>
          </w:tcPr>
          <w:p w:rsidRPr="00412C31" w:rsidR="002D54C4" w:rsidP="00AD1D2B" w:rsidRDefault="002D54C4" w14:paraId="45747129" w14:textId="77777777">
            <w:pPr>
              <w:spacing w:after="0" w:line="240" w:lineRule="auto"/>
              <w:rPr>
                <w:rFonts w:ascii="Arial" w:hAnsi="Arial" w:eastAsia="Times New Roman" w:cs="Arial"/>
                <w:sz w:val="20"/>
                <w:szCs w:val="20"/>
              </w:rPr>
            </w:pPr>
          </w:p>
        </w:tc>
      </w:tr>
      <w:tr w:rsidR="00AE51F9" w14:paraId="6D90B00F" w14:textId="77777777">
        <w:trPr>
          <w:trHeight w:val="495"/>
        </w:trPr>
        <w:tc>
          <w:tcPr>
            <w:tcW w:w="1005" w:type="dxa"/>
            <w:tcBorders>
              <w:top w:val="nil"/>
              <w:left w:val="nil"/>
              <w:bottom w:val="nil"/>
              <w:right w:val="nil"/>
            </w:tcBorders>
            <w:vAlign w:val="bottom"/>
            <w:hideMark/>
          </w:tcPr>
          <w:p w:rsidRPr="00412C31" w:rsidR="002D54C4" w:rsidP="00AD1D2B" w:rsidRDefault="008B55A2" w14:paraId="124F34F4"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Title: </w:t>
            </w:r>
          </w:p>
        </w:tc>
        <w:tc>
          <w:tcPr>
            <w:tcW w:w="4080" w:type="dxa"/>
            <w:tcBorders>
              <w:top w:val="single" w:color="auto" w:sz="6" w:space="0"/>
              <w:left w:val="nil"/>
              <w:bottom w:val="single" w:color="auto" w:sz="6" w:space="0"/>
              <w:right w:val="nil"/>
            </w:tcBorders>
            <w:vAlign w:val="bottom"/>
            <w:hideMark/>
          </w:tcPr>
          <w:p w:rsidRPr="00412C31" w:rsidR="002D54C4" w:rsidP="00AD1D2B" w:rsidRDefault="008B55A2" w14:paraId="03AF34B5"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 </w:t>
            </w:r>
          </w:p>
        </w:tc>
        <w:tc>
          <w:tcPr>
            <w:tcW w:w="0" w:type="auto"/>
            <w:vAlign w:val="center"/>
            <w:hideMark/>
          </w:tcPr>
          <w:p w:rsidRPr="00412C31" w:rsidR="002D54C4" w:rsidP="00AD1D2B" w:rsidRDefault="002D54C4" w14:paraId="7385C2D7" w14:textId="77777777">
            <w:pPr>
              <w:spacing w:after="0" w:line="240" w:lineRule="auto"/>
              <w:rPr>
                <w:rFonts w:ascii="Arial" w:hAnsi="Arial" w:eastAsia="Times New Roman" w:cs="Arial"/>
                <w:sz w:val="20"/>
                <w:szCs w:val="20"/>
              </w:rPr>
            </w:pPr>
          </w:p>
        </w:tc>
      </w:tr>
      <w:tr w:rsidR="00AE51F9" w14:paraId="4F4D2738" w14:textId="77777777">
        <w:trPr>
          <w:trHeight w:val="495"/>
        </w:trPr>
        <w:tc>
          <w:tcPr>
            <w:tcW w:w="1005" w:type="dxa"/>
            <w:tcBorders>
              <w:top w:val="nil"/>
              <w:left w:val="nil"/>
              <w:bottom w:val="nil"/>
              <w:right w:val="nil"/>
            </w:tcBorders>
            <w:vAlign w:val="bottom"/>
            <w:hideMark/>
          </w:tcPr>
          <w:p w:rsidRPr="00412C31" w:rsidR="002D54C4" w:rsidP="00AD1D2B" w:rsidRDefault="008B55A2" w14:paraId="62BF1653"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lastRenderedPageBreak/>
              <w:t>Date: </w:t>
            </w:r>
          </w:p>
        </w:tc>
        <w:tc>
          <w:tcPr>
            <w:tcW w:w="4080" w:type="dxa"/>
            <w:tcBorders>
              <w:top w:val="single" w:color="auto" w:sz="6" w:space="0"/>
              <w:left w:val="nil"/>
              <w:bottom w:val="single" w:color="auto" w:sz="6" w:space="0"/>
              <w:right w:val="nil"/>
            </w:tcBorders>
            <w:vAlign w:val="bottom"/>
            <w:hideMark/>
          </w:tcPr>
          <w:p w:rsidRPr="00412C31" w:rsidR="002D54C4" w:rsidP="00AD1D2B" w:rsidRDefault="008B55A2" w14:paraId="57C85720" w14:textId="77777777">
            <w:pPr>
              <w:spacing w:after="0" w:line="240" w:lineRule="auto"/>
              <w:textAlignment w:val="baseline"/>
              <w:rPr>
                <w:rFonts w:ascii="Arial" w:hAnsi="Arial" w:eastAsia="Times New Roman" w:cs="Arial"/>
                <w:sz w:val="20"/>
                <w:szCs w:val="20"/>
              </w:rPr>
            </w:pPr>
            <w:r>
              <w:rPr>
                <w:rFonts w:ascii="Arial" w:hAnsi="Arial" w:eastAsia="Times New Roman" w:cs="Arial"/>
                <w:sz w:val="20"/>
                <w:szCs w:val="20"/>
              </w:rPr>
              <w:t> </w:t>
            </w:r>
          </w:p>
        </w:tc>
        <w:tc>
          <w:tcPr>
            <w:tcW w:w="0" w:type="auto"/>
            <w:vAlign w:val="center"/>
            <w:hideMark/>
          </w:tcPr>
          <w:p w:rsidRPr="00412C31" w:rsidR="002D54C4" w:rsidP="00AD1D2B" w:rsidRDefault="002D54C4" w14:paraId="3BC352D2" w14:textId="77777777">
            <w:pPr>
              <w:spacing w:after="0" w:line="240" w:lineRule="auto"/>
              <w:rPr>
                <w:rFonts w:ascii="Arial" w:hAnsi="Arial" w:eastAsia="Times New Roman" w:cs="Arial"/>
                <w:sz w:val="20"/>
                <w:szCs w:val="20"/>
              </w:rPr>
            </w:pPr>
          </w:p>
        </w:tc>
      </w:tr>
    </w:tbl>
    <w:p w:rsidR="00501431" w:rsidP="00501431" w:rsidRDefault="00501431" w14:paraId="5DE65C85" w14:textId="77777777">
      <w:pPr>
        <w:pStyle w:val="zGTitle12"/>
        <w:jc w:val="left"/>
        <w:sectPr w:rsidR="00501431" w:rsidSect="00455143">
          <w:headerReference w:type="even" r:id="rId133"/>
          <w:headerReference w:type="default" r:id="rId134"/>
          <w:footerReference w:type="even" r:id="rId135"/>
          <w:footerReference w:type="default" r:id="rId136"/>
          <w:headerReference w:type="first" r:id="rId137"/>
          <w:footerReference w:type="first" r:id="rId138"/>
          <w:pgSz w:w="12240" w:h="15840" w:code="1"/>
          <w:pgMar w:top="1440" w:right="1440" w:bottom="1440" w:left="1440" w:header="720" w:footer="720" w:gutter="0"/>
          <w:paperSrc w:first="15" w:other="15"/>
          <w:cols w:space="1440"/>
        </w:sectPr>
      </w:pPr>
      <w:bookmarkStart w:name="_Toc143692424" w:id="1799"/>
    </w:p>
    <w:p w:rsidRPr="005618E3" w:rsidR="002D54C4" w:rsidP="00F774E9" w:rsidRDefault="008B55A2" w14:paraId="6978379A" w14:textId="492440CC">
      <w:pPr>
        <w:pStyle w:val="zGTitleExhibit"/>
        <w:spacing w:after="360"/>
      </w:pPr>
      <w:bookmarkStart w:name="_Toc160749243" w:id="1800"/>
      <w:bookmarkStart w:name="_Toc194937612" w:id="1801"/>
      <w:bookmarkStart w:name="_Toc174624996" w:id="1802"/>
      <w:bookmarkStart w:name="_Toc227451709" w:id="1803"/>
      <w:r>
        <w:lastRenderedPageBreak/>
        <w:t xml:space="preserve">Exhibit </w:t>
      </w:r>
      <w:r w:rsidR="004375AD">
        <w:t>P</w:t>
      </w:r>
      <w:r>
        <w:t xml:space="preserve"> – Notices</w:t>
      </w:r>
      <w:bookmarkEnd w:id="1799"/>
      <w:bookmarkEnd w:id="1800"/>
      <w:bookmarkEnd w:id="1801"/>
      <w:bookmarkEnd w:id="1802"/>
      <w:bookmarkEnd w:id="1803"/>
    </w:p>
    <w:p w:rsidR="002D54C4" w:rsidP="00443731" w:rsidRDefault="008B55A2" w14:paraId="43F9EE41" w14:textId="2B197387">
      <w:pPr>
        <w:widowControl w:val="0"/>
        <w:spacing w:after="240"/>
        <w:jc w:val="both"/>
        <w:rPr>
          <w:rFonts w:ascii="Arial" w:hAnsi="Arial" w:cs="Arial"/>
          <w:b/>
          <w:sz w:val="20"/>
          <w:szCs w:val="20"/>
        </w:rPr>
      </w:pPr>
      <w:r>
        <w:rPr>
          <w:rFonts w:ascii="Arial" w:hAnsi="Arial" w:cs="Arial"/>
          <w:b/>
          <w:bCs/>
          <w:sz w:val="20"/>
          <w:szCs w:val="20"/>
        </w:rPr>
        <w:t xml:space="preserve">Address for delivery of Eligible Collateral for Performance Security in accordance with </w:t>
      </w:r>
      <w:r>
        <w:rPr>
          <w:rFonts w:ascii="Arial" w:hAnsi="Arial" w:cs="Arial"/>
          <w:b/>
          <w:sz w:val="20"/>
          <w:szCs w:val="20"/>
        </w:rPr>
        <w:t>PPA Section 6.</w:t>
      </w:r>
      <w:r w:rsidR="000E46C6">
        <w:rPr>
          <w:rFonts w:ascii="Arial" w:hAnsi="Arial" w:cs="Arial"/>
          <w:b/>
          <w:sz w:val="20"/>
          <w:szCs w:val="20"/>
        </w:rPr>
        <w:t>6</w:t>
      </w:r>
      <w:r>
        <w:rPr>
          <w:rFonts w:ascii="Arial" w:hAnsi="Arial" w:cs="Arial"/>
          <w:b/>
          <w:sz w:val="20"/>
          <w:szCs w:val="20"/>
        </w:rPr>
        <w:t xml:space="preserve"> (</w:t>
      </w:r>
      <w:r>
        <w:rPr>
          <w:rFonts w:ascii="Arial" w:hAnsi="Arial" w:cs="Arial"/>
          <w:b/>
          <w:i/>
          <w:sz w:val="20"/>
          <w:szCs w:val="20"/>
        </w:rPr>
        <w:t>Delivery of Eligible Collateral for Performance Security</w:t>
      </w:r>
      <w:r>
        <w:rPr>
          <w:rFonts w:ascii="Arial" w:hAnsi="Arial" w:cs="Arial"/>
          <w:b/>
          <w:sz w:val="20"/>
          <w:szCs w:val="20"/>
        </w:rPr>
        <w:t>)</w:t>
      </w:r>
      <w:r w:rsidR="00080B2C">
        <w:rPr>
          <w:rFonts w:ascii="Arial" w:hAnsi="Arial" w:cs="Arial"/>
          <w:b/>
          <w:sz w:val="20"/>
          <w:szCs w:val="20"/>
        </w:rPr>
        <w:t>:</w:t>
      </w:r>
    </w:p>
    <w:p w:rsidRPr="004949DF" w:rsidR="00DC79E1" w:rsidP="00B55B83" w:rsidRDefault="00DC79E1" w14:paraId="5FC091E5" w14:textId="002C47D5">
      <w:pPr>
        <w:pStyle w:val="ArticleL2"/>
        <w:widowControl w:val="0"/>
        <w:spacing w:after="0"/>
        <w:rPr>
          <w:rFonts w:ascii="Arial" w:hAnsi="Arial" w:cs="Arial"/>
          <w:sz w:val="20"/>
          <w:szCs w:val="20"/>
        </w:rPr>
      </w:pPr>
      <w:r w:rsidRPr="004949DF">
        <w:rPr>
          <w:rFonts w:ascii="Arial" w:hAnsi="Arial" w:cs="Arial"/>
          <w:sz w:val="20"/>
          <w:szCs w:val="20"/>
        </w:rPr>
        <w:t>For any Eligible Collateral in the form of a Letter of Credit or Seller Guaranty, the following address:</w:t>
      </w:r>
    </w:p>
    <w:p w:rsidRPr="00B55B83" w:rsidR="00B55B83" w:rsidP="00B55B83" w:rsidRDefault="00B55B83" w14:paraId="6229DA85" w14:textId="77777777">
      <w:pPr>
        <w:pStyle w:val="BodyText"/>
      </w:pPr>
    </w:p>
    <w:p w:rsidRPr="005618E3" w:rsidR="002D54C4" w:rsidP="000D5D93" w:rsidRDefault="008B55A2" w14:paraId="66360F40" w14:textId="77777777">
      <w:pPr>
        <w:pStyle w:val="zGNormal"/>
      </w:pPr>
      <w:bookmarkStart w:name="_Toc159142568" w:id="1804"/>
      <w:r>
        <w:t>Georgia Power Company</w:t>
      </w:r>
      <w:bookmarkEnd w:id="1804"/>
      <w:r>
        <w:t xml:space="preserve"> </w:t>
      </w:r>
    </w:p>
    <w:p w:rsidRPr="005618E3" w:rsidR="002D54C4" w:rsidP="000D5D93" w:rsidRDefault="008B55A2" w14:paraId="42F3E9B5" w14:textId="77777777">
      <w:pPr>
        <w:pStyle w:val="zGNormal"/>
      </w:pPr>
      <w:bookmarkStart w:name="_Toc159142569" w:id="1805"/>
      <w:r>
        <w:t>c/o Southern Company Services Inc.</w:t>
      </w:r>
      <w:bookmarkEnd w:id="1805"/>
    </w:p>
    <w:p w:rsidRPr="005618E3" w:rsidR="002D54C4" w:rsidP="000D5D93" w:rsidRDefault="008B55A2" w14:paraId="2259AE54" w14:textId="77777777">
      <w:pPr>
        <w:pStyle w:val="zGNormal"/>
      </w:pPr>
      <w:r>
        <w:t xml:space="preserve">Attn: Assistant Treasurer, </w:t>
      </w:r>
      <w:bookmarkStart w:name="_Toc159142570" w:id="1806"/>
      <w:r>
        <w:t>BIN SC1407</w:t>
      </w:r>
      <w:bookmarkEnd w:id="1806"/>
    </w:p>
    <w:p w:rsidRPr="005618E3" w:rsidR="002D54C4" w:rsidP="000D5D93" w:rsidRDefault="008B55A2" w14:paraId="6581A3BB" w14:textId="77777777">
      <w:pPr>
        <w:pStyle w:val="zGNormal"/>
      </w:pPr>
      <w:bookmarkStart w:name="_Toc159142571" w:id="1807"/>
      <w:r>
        <w:t>30 Ivan Allen Jr. Blvd.</w:t>
      </w:r>
      <w:bookmarkEnd w:id="1807"/>
    </w:p>
    <w:p w:rsidRPr="005618E3" w:rsidR="002D54C4" w:rsidP="000D5D93" w:rsidRDefault="008B55A2" w14:paraId="39732742" w14:textId="77777777">
      <w:pPr>
        <w:pStyle w:val="zGNormal"/>
      </w:pPr>
      <w:bookmarkStart w:name="_Toc159142572" w:id="1808"/>
      <w:r>
        <w:t>Atlanta, Georgia 30308</w:t>
      </w:r>
      <w:bookmarkEnd w:id="1808"/>
    </w:p>
    <w:p w:rsidR="00AC2F5A" w:rsidP="000D5D93" w:rsidRDefault="00AC2F5A" w14:paraId="11B5DF27" w14:textId="77777777">
      <w:pPr>
        <w:pStyle w:val="zGNormal"/>
      </w:pPr>
    </w:p>
    <w:p w:rsidRPr="004949DF" w:rsidR="004949DF" w:rsidP="004949DF" w:rsidRDefault="004949DF" w14:paraId="38680520" w14:textId="77777777">
      <w:pPr>
        <w:widowControl w:val="0"/>
        <w:spacing w:after="240"/>
        <w:jc w:val="both"/>
        <w:rPr>
          <w:rFonts w:ascii="Arial" w:hAnsi="Arial" w:cs="Arial"/>
          <w:sz w:val="20"/>
          <w:szCs w:val="20"/>
        </w:rPr>
      </w:pPr>
      <w:r w:rsidRPr="004949DF">
        <w:rPr>
          <w:rFonts w:ascii="Arial" w:hAnsi="Arial" w:cs="Arial"/>
          <w:sz w:val="20"/>
          <w:szCs w:val="20"/>
        </w:rPr>
        <w:t xml:space="preserve">For any Eligible Collateral in the form of cash, GPC will provide the GPC Security Account information, including wiring instructions, within a reasonable time after receipt of Seller’s written request. </w:t>
      </w:r>
    </w:p>
    <w:p w:rsidRPr="005618E3" w:rsidR="004949DF" w:rsidP="000D5D93" w:rsidRDefault="004949DF" w14:paraId="6831D04F" w14:textId="77777777">
      <w:pPr>
        <w:pStyle w:val="zGNormal"/>
      </w:pPr>
    </w:p>
    <w:p w:rsidRPr="005618E3" w:rsidR="002D54C4" w:rsidP="004D07DD" w:rsidRDefault="008B55A2" w14:paraId="093E9C49" w14:textId="77777777">
      <w:pPr>
        <w:widowControl w:val="0"/>
        <w:spacing w:after="240"/>
        <w:rPr>
          <w:rFonts w:ascii="Arial" w:hAnsi="Arial" w:cs="Arial"/>
          <w:b/>
          <w:bCs/>
          <w:sz w:val="20"/>
          <w:szCs w:val="20"/>
        </w:rPr>
      </w:pPr>
      <w:r>
        <w:rPr>
          <w:rFonts w:ascii="Arial" w:hAnsi="Arial" w:cs="Arial"/>
          <w:b/>
          <w:bCs/>
          <w:sz w:val="20"/>
          <w:szCs w:val="20"/>
        </w:rPr>
        <w:t xml:space="preserve">Addresses for delivery of notices to the Parties in accordance with </w:t>
      </w:r>
      <w:r>
        <w:rPr>
          <w:rFonts w:ascii="Arial" w:hAnsi="Arial" w:cs="Arial"/>
          <w:b/>
          <w:sz w:val="20"/>
          <w:szCs w:val="20"/>
        </w:rPr>
        <w:t>PPA Section 20.4 (</w:t>
      </w:r>
      <w:r>
        <w:rPr>
          <w:rFonts w:ascii="Arial" w:hAnsi="Arial" w:cs="Arial"/>
          <w:b/>
          <w:i/>
          <w:sz w:val="20"/>
          <w:szCs w:val="20"/>
        </w:rPr>
        <w:t>Notice</w:t>
      </w:r>
      <w:r>
        <w:rPr>
          <w:rFonts w:ascii="Arial" w:hAnsi="Arial" w:cs="Arial"/>
          <w:b/>
          <w:sz w:val="20"/>
          <w:szCs w:val="20"/>
        </w:rPr>
        <w:t>)</w:t>
      </w:r>
      <w:r>
        <w:rPr>
          <w:rFonts w:ascii="Arial" w:hAnsi="Arial" w:cs="Arial"/>
          <w:b/>
          <w:bCs/>
          <w:sz w:val="20"/>
          <w:szCs w:val="20"/>
        </w:rPr>
        <w:t>:</w:t>
      </w:r>
    </w:p>
    <w:p w:rsidRPr="00412C31" w:rsidR="002D54C4" w:rsidP="003D47C0" w:rsidRDefault="008B55A2" w14:paraId="41FE4A13" w14:textId="33586A94">
      <w:pPr>
        <w:jc w:val="both"/>
        <w:rPr>
          <w:rFonts w:ascii="Arial" w:hAnsi="Arial" w:cs="Arial"/>
          <w:sz w:val="20"/>
          <w:szCs w:val="20"/>
        </w:rPr>
      </w:pPr>
      <w:r>
        <w:rPr>
          <w:rFonts w:ascii="Arial" w:hAnsi="Arial" w:cs="Arial"/>
          <w:b/>
          <w:bCs/>
          <w:i/>
          <w:iCs/>
          <w:sz w:val="20"/>
          <w:szCs w:val="20"/>
        </w:rPr>
        <w:t xml:space="preserve">In accordance with </w:t>
      </w:r>
      <w:r>
        <w:rPr>
          <w:rFonts w:ascii="Arial" w:hAnsi="Arial" w:eastAsia="MS Gothic" w:cs="Arial"/>
          <w:b/>
          <w:i/>
          <w:sz w:val="20"/>
          <w:szCs w:val="20"/>
        </w:rPr>
        <w:t>PPA</w:t>
      </w:r>
      <w:r>
        <w:rPr>
          <w:rFonts w:ascii="Arial" w:hAnsi="Arial" w:cs="Arial"/>
          <w:b/>
          <w:i/>
          <w:sz w:val="20"/>
          <w:szCs w:val="20"/>
        </w:rPr>
        <w:t xml:space="preserve"> Section 20.4</w:t>
      </w:r>
      <w:r>
        <w:rPr>
          <w:rFonts w:ascii="Arial" w:hAnsi="Arial" w:cs="Arial"/>
          <w:b/>
          <w:bCs/>
          <w:i/>
          <w:iCs/>
          <w:sz w:val="20"/>
          <w:szCs w:val="20"/>
        </w:rPr>
        <w:t>, all notices must include the</w:t>
      </w:r>
      <w:r w:rsidR="008D7D55">
        <w:rPr>
          <w:rFonts w:ascii="Arial" w:hAnsi="Arial" w:cs="Arial"/>
          <w:b/>
          <w:bCs/>
          <w:i/>
          <w:iCs/>
          <w:sz w:val="20"/>
          <w:szCs w:val="20"/>
        </w:rPr>
        <w:t xml:space="preserve"> PPA’s title and the</w:t>
      </w:r>
      <w:r>
        <w:rPr>
          <w:rFonts w:ascii="Arial" w:hAnsi="Arial" w:cs="Arial"/>
          <w:b/>
          <w:bCs/>
          <w:i/>
          <w:iCs/>
          <w:sz w:val="20"/>
          <w:szCs w:val="20"/>
        </w:rPr>
        <w:t xml:space="preserve"> Facility name.</w:t>
      </w:r>
    </w:p>
    <w:p w:rsidRPr="00412C31" w:rsidR="002D54C4" w:rsidP="004D07DD" w:rsidRDefault="002D54C4" w14:paraId="536CA586" w14:textId="77777777">
      <w:pPr>
        <w:widowControl w:val="0"/>
        <w:spacing w:after="0"/>
        <w:ind w:left="720"/>
        <w:rPr>
          <w:rFonts w:ascii="Arial" w:hAnsi="Arial" w:cs="Arial"/>
          <w:sz w:val="20"/>
          <w:szCs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00AE51F9" w14:paraId="3396C2AC" w14:textId="77777777">
        <w:tc>
          <w:tcPr>
            <w:tcW w:w="4675" w:type="dxa"/>
          </w:tcPr>
          <w:p w:rsidRPr="00412C31" w:rsidR="002D54C4" w:rsidRDefault="008B55A2" w14:paraId="0A16F1BB" w14:textId="77777777">
            <w:pPr>
              <w:widowControl w:val="0"/>
              <w:spacing w:before="0"/>
              <w:jc w:val="left"/>
              <w:rPr>
                <w:rFonts w:cs="Arial"/>
                <w:b/>
                <w:bCs/>
              </w:rPr>
            </w:pPr>
            <w:r>
              <w:rPr>
                <w:rFonts w:cs="Arial"/>
                <w:b/>
                <w:bCs/>
              </w:rPr>
              <w:t>Notice to GPC:</w:t>
            </w:r>
          </w:p>
          <w:p w:rsidRPr="00412C31" w:rsidR="002D54C4" w:rsidRDefault="002D54C4" w14:paraId="2D444390" w14:textId="77777777">
            <w:pPr>
              <w:widowControl w:val="0"/>
              <w:spacing w:before="0"/>
              <w:jc w:val="left"/>
              <w:rPr>
                <w:rFonts w:cs="Arial"/>
                <w:b/>
                <w:bCs/>
              </w:rPr>
            </w:pPr>
          </w:p>
          <w:p w:rsidRPr="00412C31" w:rsidR="002D54C4" w:rsidRDefault="008B55A2" w14:paraId="2EE0C0BB" w14:textId="77777777">
            <w:pPr>
              <w:widowControl w:val="0"/>
              <w:spacing w:before="0"/>
              <w:jc w:val="left"/>
              <w:rPr>
                <w:rFonts w:cs="Arial"/>
              </w:rPr>
            </w:pPr>
            <w:r>
              <w:rPr>
                <w:rFonts w:cs="Arial"/>
              </w:rPr>
              <w:t>Georgia Power Company</w:t>
            </w:r>
          </w:p>
          <w:p w:rsidRPr="00412C31" w:rsidR="002D54C4" w:rsidRDefault="008B55A2" w14:paraId="7F4EA277" w14:textId="77777777">
            <w:pPr>
              <w:widowControl w:val="0"/>
              <w:spacing w:before="0"/>
              <w:jc w:val="left"/>
              <w:rPr>
                <w:rFonts w:cs="Arial"/>
              </w:rPr>
            </w:pPr>
            <w:r>
              <w:rPr>
                <w:rFonts w:cs="Arial"/>
              </w:rPr>
              <w:t xml:space="preserve">Attention: </w:t>
            </w:r>
            <w:r>
              <w:rPr>
                <w:rFonts w:cs="Arial"/>
                <w:highlight w:val="yellow"/>
              </w:rPr>
              <w:t>#GPCContact Name</w:t>
            </w:r>
          </w:p>
          <w:p w:rsidRPr="00412C31" w:rsidR="002D54C4" w:rsidRDefault="008B55A2" w14:paraId="06BBBBF3" w14:textId="77777777">
            <w:pPr>
              <w:widowControl w:val="0"/>
              <w:spacing w:before="0"/>
              <w:jc w:val="left"/>
              <w:rPr>
                <w:rFonts w:cs="Arial"/>
              </w:rPr>
            </w:pPr>
            <w:r>
              <w:rPr>
                <w:rFonts w:cs="Arial"/>
              </w:rPr>
              <w:t>241 Ralph McGill Boulevard N.E.</w:t>
            </w:r>
          </w:p>
          <w:p w:rsidRPr="00412C31" w:rsidR="002D54C4" w:rsidRDefault="008B55A2" w14:paraId="6B26118C" w14:textId="77777777">
            <w:pPr>
              <w:widowControl w:val="0"/>
              <w:spacing w:before="0"/>
              <w:jc w:val="left"/>
              <w:rPr>
                <w:rFonts w:cs="Arial"/>
              </w:rPr>
            </w:pPr>
            <w:r>
              <w:rPr>
                <w:rFonts w:cs="Arial"/>
              </w:rPr>
              <w:t xml:space="preserve">BIN </w:t>
            </w:r>
            <w:r>
              <w:rPr>
                <w:rFonts w:cs="Arial"/>
                <w:highlight w:val="yellow"/>
              </w:rPr>
              <w:t>#BinNumber#</w:t>
            </w:r>
          </w:p>
          <w:p w:rsidRPr="00412C31" w:rsidR="002D54C4" w:rsidRDefault="008B55A2" w14:paraId="2E7C1182" w14:textId="77777777">
            <w:pPr>
              <w:widowControl w:val="0"/>
              <w:spacing w:before="0"/>
              <w:jc w:val="left"/>
              <w:rPr>
                <w:rFonts w:cs="Arial"/>
              </w:rPr>
            </w:pPr>
            <w:r>
              <w:rPr>
                <w:rFonts w:cs="Arial"/>
              </w:rPr>
              <w:t>Atlanta, Georgia 30308</w:t>
            </w:r>
          </w:p>
          <w:p w:rsidRPr="00412C31" w:rsidR="002D54C4" w:rsidRDefault="008B55A2" w14:paraId="68B8868F" w14:textId="77777777">
            <w:pPr>
              <w:widowControl w:val="0"/>
              <w:spacing w:before="0"/>
              <w:jc w:val="left"/>
              <w:rPr>
                <w:rFonts w:cs="Arial"/>
              </w:rPr>
            </w:pPr>
            <w:r>
              <w:rPr>
                <w:rFonts w:cs="Arial"/>
              </w:rPr>
              <w:t xml:space="preserve">Email: </w:t>
            </w:r>
            <w:r>
              <w:rPr>
                <w:rFonts w:cs="Arial"/>
                <w:highlight w:val="yellow"/>
              </w:rPr>
              <w:t>#GPCNoticeEmail</w:t>
            </w:r>
          </w:p>
          <w:p w:rsidRPr="00412C31" w:rsidR="002D54C4" w:rsidRDefault="002D54C4" w14:paraId="0A0F1017" w14:textId="77777777">
            <w:pPr>
              <w:widowControl w:val="0"/>
              <w:spacing w:before="0"/>
              <w:jc w:val="left"/>
              <w:rPr>
                <w:rFonts w:cs="Arial"/>
              </w:rPr>
            </w:pPr>
          </w:p>
        </w:tc>
        <w:tc>
          <w:tcPr>
            <w:tcW w:w="4675" w:type="dxa"/>
          </w:tcPr>
          <w:p w:rsidRPr="00412C31" w:rsidR="002D54C4" w:rsidRDefault="008B55A2" w14:paraId="7EE90AA8" w14:textId="77777777">
            <w:pPr>
              <w:widowControl w:val="0"/>
              <w:spacing w:before="0"/>
              <w:jc w:val="left"/>
              <w:rPr>
                <w:rFonts w:cs="Arial"/>
                <w:b/>
                <w:bCs/>
              </w:rPr>
            </w:pPr>
            <w:r>
              <w:rPr>
                <w:rFonts w:cs="Arial"/>
                <w:b/>
                <w:bCs/>
              </w:rPr>
              <w:t>With Copy To:</w:t>
            </w:r>
          </w:p>
          <w:p w:rsidRPr="00412C31" w:rsidR="002D54C4" w:rsidRDefault="002D54C4" w14:paraId="4D4ADA19" w14:textId="77777777">
            <w:pPr>
              <w:widowControl w:val="0"/>
              <w:spacing w:before="0"/>
              <w:jc w:val="left"/>
              <w:rPr>
                <w:rFonts w:cs="Arial"/>
              </w:rPr>
            </w:pPr>
          </w:p>
          <w:p w:rsidRPr="00412C31" w:rsidR="002D54C4" w:rsidRDefault="008B55A2" w14:paraId="4B9DCFB7" w14:textId="77777777">
            <w:pPr>
              <w:widowControl w:val="0"/>
              <w:spacing w:before="0"/>
              <w:jc w:val="left"/>
              <w:rPr>
                <w:rFonts w:cs="Arial"/>
              </w:rPr>
            </w:pPr>
            <w:r>
              <w:rPr>
                <w:rFonts w:cs="Arial"/>
              </w:rPr>
              <w:t>Georgia Power Company Legal Dept.</w:t>
            </w:r>
          </w:p>
          <w:p w:rsidRPr="00412C31" w:rsidR="002D54C4" w:rsidRDefault="008B55A2" w14:paraId="00368922" w14:textId="77777777">
            <w:pPr>
              <w:widowControl w:val="0"/>
              <w:spacing w:before="0"/>
              <w:jc w:val="left"/>
              <w:rPr>
                <w:rFonts w:cs="Arial"/>
              </w:rPr>
            </w:pPr>
            <w:r>
              <w:rPr>
                <w:rFonts w:cs="Arial"/>
              </w:rPr>
              <w:t>Attn: Commercial &amp; Transactional Counsel</w:t>
            </w:r>
          </w:p>
          <w:p w:rsidRPr="00412C31" w:rsidR="002D54C4" w:rsidRDefault="008B55A2" w14:paraId="4737952C" w14:textId="77777777">
            <w:pPr>
              <w:widowControl w:val="0"/>
              <w:spacing w:before="0"/>
              <w:jc w:val="left"/>
              <w:rPr>
                <w:rFonts w:cs="Arial"/>
              </w:rPr>
            </w:pPr>
            <w:r>
              <w:rPr>
                <w:rFonts w:cs="Arial"/>
              </w:rPr>
              <w:t>Bin 10180</w:t>
            </w:r>
          </w:p>
          <w:p w:rsidRPr="00412C31" w:rsidR="002D54C4" w:rsidRDefault="008B55A2" w14:paraId="3A629F30" w14:textId="77777777">
            <w:pPr>
              <w:widowControl w:val="0"/>
              <w:spacing w:before="0"/>
              <w:jc w:val="left"/>
              <w:rPr>
                <w:rFonts w:cs="Arial"/>
              </w:rPr>
            </w:pPr>
            <w:r>
              <w:rPr>
                <w:rFonts w:cs="Arial"/>
              </w:rPr>
              <w:t>241 Ralph McGill Blvd., N.E.</w:t>
            </w:r>
          </w:p>
          <w:p w:rsidRPr="00412C31" w:rsidR="002D54C4" w:rsidRDefault="008B55A2" w14:paraId="7481D35E" w14:textId="77777777">
            <w:pPr>
              <w:widowControl w:val="0"/>
              <w:spacing w:before="0"/>
              <w:jc w:val="left"/>
              <w:rPr>
                <w:rFonts w:cs="Arial"/>
              </w:rPr>
            </w:pPr>
            <w:r>
              <w:rPr>
                <w:rFonts w:cs="Arial"/>
              </w:rPr>
              <w:t>Atlanta, GA 30308</w:t>
            </w:r>
          </w:p>
        </w:tc>
      </w:tr>
    </w:tbl>
    <w:p w:rsidRPr="00412C31" w:rsidR="002D54C4" w:rsidP="004D07DD" w:rsidRDefault="002D54C4" w14:paraId="39B70E56" w14:textId="77777777">
      <w:pPr>
        <w:widowControl w:val="0"/>
        <w:spacing w:after="0"/>
        <w:ind w:left="720"/>
        <w:rPr>
          <w:rFonts w:ascii="Arial" w:hAnsi="Arial" w:cs="Arial"/>
          <w:sz w:val="20"/>
          <w:szCs w:val="20"/>
        </w:rPr>
      </w:pPr>
    </w:p>
    <w:p w:rsidRPr="00412C31" w:rsidR="002D54C4" w:rsidP="004D07DD" w:rsidRDefault="002D54C4" w14:paraId="3EADC884" w14:textId="77777777">
      <w:pPr>
        <w:widowControl w:val="0"/>
        <w:spacing w:after="0"/>
        <w:ind w:left="720"/>
        <w:rPr>
          <w:rFonts w:ascii="Arial" w:hAnsi="Arial" w:cs="Arial"/>
          <w:sz w:val="20"/>
          <w:szCs w:val="20"/>
        </w:rPr>
      </w:pPr>
    </w:p>
    <w:p w:rsidRPr="00412C31" w:rsidR="002D54C4" w:rsidP="004D07DD" w:rsidRDefault="002D54C4" w14:paraId="2BF2508A" w14:textId="77777777">
      <w:pPr>
        <w:widowControl w:val="0"/>
        <w:spacing w:after="0"/>
        <w:ind w:left="720"/>
        <w:rPr>
          <w:rFonts w:ascii="Arial" w:hAnsi="Arial" w:cs="Arial"/>
          <w:sz w:val="20"/>
          <w:szCs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00AE51F9" w14:paraId="69B0A791" w14:textId="77777777">
        <w:tc>
          <w:tcPr>
            <w:tcW w:w="4675" w:type="dxa"/>
          </w:tcPr>
          <w:p w:rsidRPr="00412C31" w:rsidR="002D54C4" w:rsidRDefault="008B55A2" w14:paraId="0A0876C8" w14:textId="77777777">
            <w:pPr>
              <w:widowControl w:val="0"/>
              <w:spacing w:before="0"/>
              <w:jc w:val="left"/>
              <w:rPr>
                <w:rFonts w:cs="Arial"/>
                <w:b/>
                <w:bCs/>
              </w:rPr>
            </w:pPr>
            <w:r>
              <w:rPr>
                <w:rFonts w:cs="Arial"/>
                <w:b/>
                <w:bCs/>
              </w:rPr>
              <w:t>Notice to Seller:</w:t>
            </w:r>
          </w:p>
          <w:p w:rsidRPr="00412C31" w:rsidR="002D54C4" w:rsidRDefault="002D54C4" w14:paraId="01C1966D" w14:textId="77777777">
            <w:pPr>
              <w:widowControl w:val="0"/>
              <w:spacing w:before="0"/>
              <w:jc w:val="left"/>
              <w:rPr>
                <w:rFonts w:cs="Arial"/>
                <w:b/>
                <w:bCs/>
              </w:rPr>
            </w:pPr>
          </w:p>
          <w:p w:rsidRPr="00412C31" w:rsidR="002D54C4" w:rsidRDefault="008B55A2" w14:paraId="7AB476D0" w14:textId="77777777">
            <w:pPr>
              <w:widowControl w:val="0"/>
              <w:spacing w:before="0"/>
              <w:jc w:val="left"/>
              <w:rPr>
                <w:rFonts w:cs="Arial"/>
              </w:rPr>
            </w:pPr>
            <w:r>
              <w:rPr>
                <w:rFonts w:cs="Arial"/>
                <w:highlight w:val="yellow"/>
              </w:rPr>
              <w:t>#SellerLegalName#</w:t>
            </w:r>
          </w:p>
          <w:p w:rsidRPr="00412C31" w:rsidR="002D54C4" w:rsidRDefault="008B55A2" w14:paraId="783EF1A3" w14:textId="77777777">
            <w:pPr>
              <w:widowControl w:val="0"/>
              <w:spacing w:before="0"/>
              <w:jc w:val="left"/>
              <w:rPr>
                <w:rFonts w:cs="Arial"/>
              </w:rPr>
            </w:pPr>
            <w:r>
              <w:rPr>
                <w:rFonts w:cs="Arial"/>
              </w:rPr>
              <w:t xml:space="preserve">Attention: </w:t>
            </w:r>
            <w:r>
              <w:rPr>
                <w:rFonts w:cs="Arial"/>
                <w:highlight w:val="yellow"/>
              </w:rPr>
              <w:t>#SellerContactIndividualName#</w:t>
            </w:r>
          </w:p>
          <w:p w:rsidRPr="00412C31" w:rsidR="002D54C4" w:rsidRDefault="008B55A2" w14:paraId="21C8F686" w14:textId="77777777">
            <w:pPr>
              <w:widowControl w:val="0"/>
              <w:spacing w:before="0"/>
              <w:jc w:val="left"/>
              <w:rPr>
                <w:rFonts w:cs="Arial"/>
                <w:highlight w:val="yellow"/>
              </w:rPr>
            </w:pPr>
            <w:r>
              <w:rPr>
                <w:rFonts w:cs="Arial"/>
                <w:highlight w:val="yellow"/>
              </w:rPr>
              <w:t>#Title</w:t>
            </w:r>
          </w:p>
          <w:p w:rsidRPr="00412C31" w:rsidR="002D54C4" w:rsidRDefault="008B55A2" w14:paraId="35A63358" w14:textId="77777777">
            <w:pPr>
              <w:widowControl w:val="0"/>
              <w:spacing w:before="0"/>
              <w:jc w:val="left"/>
              <w:rPr>
                <w:rFonts w:cs="Arial"/>
              </w:rPr>
            </w:pPr>
            <w:r>
              <w:rPr>
                <w:rFonts w:cs="Arial"/>
                <w:highlight w:val="yellow"/>
              </w:rPr>
              <w:t>#SellerAddress</w:t>
            </w:r>
          </w:p>
          <w:p w:rsidRPr="00412C31" w:rsidR="002D54C4" w:rsidRDefault="008B55A2" w14:paraId="440C8771" w14:textId="77777777">
            <w:pPr>
              <w:widowControl w:val="0"/>
              <w:spacing w:before="0"/>
              <w:jc w:val="left"/>
              <w:rPr>
                <w:rFonts w:cs="Arial"/>
              </w:rPr>
            </w:pPr>
            <w:r>
              <w:rPr>
                <w:rFonts w:cs="Arial"/>
                <w:highlight w:val="yellow"/>
              </w:rPr>
              <w:t>#City</w:t>
            </w:r>
            <w:r>
              <w:rPr>
                <w:rFonts w:cs="Arial"/>
              </w:rPr>
              <w:t xml:space="preserve">, </w:t>
            </w:r>
            <w:r>
              <w:rPr>
                <w:rFonts w:cs="Arial"/>
                <w:highlight w:val="yellow"/>
              </w:rPr>
              <w:t>#State</w:t>
            </w:r>
            <w:r>
              <w:rPr>
                <w:rFonts w:cs="Arial"/>
              </w:rPr>
              <w:t xml:space="preserve"> </w:t>
            </w:r>
            <w:r>
              <w:rPr>
                <w:rFonts w:cs="Arial"/>
                <w:highlight w:val="yellow"/>
              </w:rPr>
              <w:t>#Zip</w:t>
            </w:r>
          </w:p>
          <w:p w:rsidRPr="00412C31" w:rsidR="002D54C4" w:rsidRDefault="008B55A2" w14:paraId="2FB4D70A" w14:textId="77777777">
            <w:pPr>
              <w:widowControl w:val="0"/>
              <w:spacing w:before="0"/>
              <w:jc w:val="left"/>
              <w:rPr>
                <w:rFonts w:cs="Arial"/>
              </w:rPr>
            </w:pPr>
            <w:r>
              <w:rPr>
                <w:rFonts w:cs="Arial"/>
              </w:rPr>
              <w:t xml:space="preserve">Email: </w:t>
            </w:r>
            <w:r>
              <w:rPr>
                <w:rFonts w:cs="Arial"/>
                <w:highlight w:val="yellow"/>
              </w:rPr>
              <w:t>#SellerContactEmail#</w:t>
            </w:r>
          </w:p>
          <w:p w:rsidRPr="00412C31" w:rsidR="002D54C4" w:rsidRDefault="002D54C4" w14:paraId="47AA5E11" w14:textId="77777777">
            <w:pPr>
              <w:widowControl w:val="0"/>
              <w:spacing w:before="0"/>
              <w:jc w:val="left"/>
              <w:rPr>
                <w:rFonts w:cs="Arial"/>
              </w:rPr>
            </w:pPr>
          </w:p>
        </w:tc>
        <w:tc>
          <w:tcPr>
            <w:tcW w:w="4675" w:type="dxa"/>
          </w:tcPr>
          <w:p w:rsidRPr="00412C31" w:rsidR="002D54C4" w:rsidRDefault="002D54C4" w14:paraId="6DE79E4B" w14:textId="77777777">
            <w:pPr>
              <w:widowControl w:val="0"/>
              <w:spacing w:before="0"/>
              <w:jc w:val="left"/>
              <w:rPr>
                <w:rFonts w:cs="Arial"/>
              </w:rPr>
            </w:pPr>
          </w:p>
        </w:tc>
      </w:tr>
    </w:tbl>
    <w:p w:rsidR="00380A8C" w:rsidRDefault="00380A8C" w14:paraId="66C2826E" w14:textId="77777777"/>
    <w:p w:rsidRPr="004B0BBF" w:rsidR="00AE51F9" w:rsidP="00B62CBB" w:rsidRDefault="00AE51F9" w14:paraId="357D21E8" w14:textId="77777777">
      <w:pPr>
        <w:rPr>
          <w:sz w:val="24"/>
        </w:rPr>
      </w:pPr>
    </w:p>
    <w:sectPr w:rsidRPr="004B0BBF" w:rsidR="00AE51F9" w:rsidSect="004B0BBF">
      <w:headerReference w:type="default" r:id="rId139"/>
      <w:pgSz w:w="12240" w:h="15840" w:code="1"/>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QAAADcA" wne:fciIndexBasedOn="0065" wne:acdName="acd0"/>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94A31" w:rsidP="004B0BBF" w:rsidRDefault="00194A31" w14:paraId="2638AA1B" w14:textId="77777777">
      <w:pPr>
        <w:spacing w:after="0" w:line="240" w:lineRule="auto"/>
      </w:pPr>
      <w:r>
        <w:separator/>
      </w:r>
    </w:p>
  </w:endnote>
  <w:endnote w:type="continuationSeparator" w:id="0">
    <w:p w:rsidR="00194A31" w:rsidP="004B0BBF" w:rsidRDefault="00194A31" w14:paraId="1DB6FA77" w14:textId="77777777">
      <w:pPr>
        <w:spacing w:after="0" w:line="240" w:lineRule="auto"/>
      </w:pPr>
      <w:r>
        <w:continuationSeparator/>
      </w:r>
    </w:p>
  </w:endnote>
  <w:endnote w:type="continuationNotice" w:id="1">
    <w:p w:rsidR="00194A31" w:rsidP="004B0BBF" w:rsidRDefault="00194A31" w14:paraId="716EC39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8B55A2" w14:paraId="24145381" w14:textId="77777777">
    <w:pPr>
      <w:pStyle w:val="Footer"/>
      <w:framePr w:wrap="around"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115</w:t>
    </w:r>
    <w:r>
      <w:rPr>
        <w:rStyle w:val="PageNumber"/>
      </w:rPr>
      <w:fldChar w:fldCharType="end"/>
    </w:r>
  </w:p>
  <w:p w:rsidR="002D54C4" w:rsidP="004B0BBF" w:rsidRDefault="00097FB3" w14:paraId="3AD4449F" w14:textId="1D05C2B3">
    <w:pPr>
      <w:pStyle w:val="DocID"/>
    </w:pPr>
    <w:r w:rsidR="001D0B3D">
      <w:rPr>
        <w:b/>
        <w:bCs/>
      </w:rPr>
      <w:t>Error! Unknown document property name.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6198DAF8" w14:textId="0426C0FB">
    <w:pPr>
      <w:pStyle w:val="DocID"/>
    </w:pPr>
    <w:r w:rsidR="001D0B3D">
      <w:rPr>
        <w:b/>
        <w:bCs/>
      </w:rPr>
      <w:t>Error! Unknown document property name.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254648E8" w14:textId="6644F496">
    <w:pPr>
      <w:pStyle w:val="DocID"/>
    </w:pPr>
    <w:r w:rsidR="001D0B3D">
      <w:rPr>
        <w:b/>
        <w:bCs/>
      </w:rPr>
      <w:t>Error! Unknown document property name.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093DF5" w:rsidRDefault="00194A31" w14:paraId="6B3F8F68" w14:textId="69B2EB92">
    <w:pPr>
      <w:pStyle w:val="zGFooter"/>
      <w:tabs>
        <w:tab w:val="clear" w:pos="5040"/>
        <w:tab w:val="clear" w:pos="8630"/>
        <w:tab w:val="left" w:pos="4140"/>
        <w:tab w:val="center" w:pos="4590"/>
        <w:tab w:val="right" w:pos="9630"/>
      </w:tabs>
      <w:jc w:val="center"/>
      <w:rPr>
        <w:noProof/>
        <w:szCs w:val="16"/>
      </w:rPr>
    </w:pPr>
    <w:sdt>
      <w:sdtPr>
        <w:id w:val="-1294601707"/>
        <w:docPartObj>
          <w:docPartGallery w:val="Page Numbers (Bottom of Page)"/>
          <w:docPartUnique/>
        </w:docPartObj>
      </w:sdtPr>
      <w:sdtEndPr>
        <w:rPr>
          <w:noProof/>
        </w:rPr>
      </w:sdtEndPr>
      <w:sdtContent>
        <w:r w:rsidR="00DA59FD">
          <w:t>32</w:t>
        </w:r>
        <w:r w:rsidR="00D51A05">
          <w:t>-</w:t>
        </w:r>
        <w:r w:rsidR="00DA59FD">
          <w:t>33 All-Source</w:t>
        </w:r>
      </w:sdtContent>
    </w:sdt>
    <w:r w:rsidR="00DA59FD">
      <w:t xml:space="preserve"> RFP Standalone BESS / Paired Existing PPA</w:t>
    </w:r>
    <w:r w:rsidDel="00634C88" w:rsidR="00634C88">
      <w:t xml:space="preserve"> </w:t>
    </w:r>
    <w:sdt>
      <w:sdtPr>
        <w:id w:val="1459925079"/>
        <w:docPartObj>
          <w:docPartGallery w:val="Page Numbers (Bottom of Page)"/>
          <w:docPartUnique/>
        </w:docPartObj>
      </w:sdtPr>
      <w:sdtEndPr>
        <w:rPr>
          <w:noProof/>
        </w:rPr>
      </w:sdtEndPr>
      <w:sdtContent>
        <w:r w:rsidR="008B55A2">
          <w:tab/>
        </w:r>
        <w:r w:rsidR="00D51A05">
          <w:t xml:space="preserve">     </w:t>
        </w:r>
        <w:r w:rsidR="008B55A2">
          <w:tab/>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733074043"/>
        <w:docPartObj>
          <w:docPartGallery w:val="Page Numbers (Bottom of Page)"/>
          <w:docPartUnique/>
        </w:docPartObj>
      </w:sdtPr>
      <w:sdtEndPr>
        <w:rPr>
          <w:noProof/>
        </w:rPr>
      </w:sdtEndPr>
      <w:sdtContent>
        <w:r w:rsidR="008B55A2">
          <w:rPr>
            <w:noProof/>
          </w:rPr>
          <w:t>1</w:t>
        </w:r>
        <w:r w:rsidR="00737047">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7BDE8DFB" w14:textId="0EC149CF">
    <w:pPr>
      <w:pStyle w:val="DocID"/>
    </w:pPr>
    <w:r w:rsidR="001D0B3D">
      <w:rPr>
        <w:b/>
        <w:bCs/>
      </w:rPr>
      <w:t>Error! Unknown document property name.</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6CD66403" w14:textId="129FECEC">
    <w:pPr>
      <w:pStyle w:val="DocID"/>
    </w:pPr>
    <w:r w:rsidR="001D0B3D">
      <w:rPr>
        <w:b/>
        <w:bCs/>
      </w:rPr>
      <w:t>Error! Unknown document property name.</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093DF5" w:rsidRDefault="00194A31" w14:paraId="44BCCADC" w14:textId="05F8CAA4">
    <w:pPr>
      <w:pStyle w:val="zGFooter"/>
      <w:tabs>
        <w:tab w:val="clear" w:pos="5040"/>
        <w:tab w:val="clear" w:pos="8630"/>
        <w:tab w:val="left" w:pos="4140"/>
        <w:tab w:val="center" w:pos="4590"/>
        <w:tab w:val="right" w:pos="9630"/>
      </w:tabs>
      <w:jc w:val="center"/>
      <w:rPr>
        <w:noProof/>
        <w:szCs w:val="16"/>
      </w:rPr>
    </w:pPr>
    <w:sdt>
      <w:sdtPr>
        <w:id w:val="1090189830"/>
        <w:docPartObj>
          <w:docPartGallery w:val="Page Numbers (Bottom of Page)"/>
          <w:docPartUnique/>
        </w:docPartObj>
      </w:sdtPr>
      <w:sdtEndPr>
        <w:rPr>
          <w:noProof/>
        </w:rPr>
      </w:sdtEndPr>
      <w:sdtContent>
        <w:r w:rsidR="00DA59FD">
          <w:t>32</w:t>
        </w:r>
        <w:r w:rsidR="003E6594">
          <w:t>-</w:t>
        </w:r>
        <w:r w:rsidR="00DA59FD">
          <w:t>33 All-Source</w:t>
        </w:r>
      </w:sdtContent>
    </w:sdt>
    <w:r w:rsidR="00DA59FD">
      <w:t xml:space="preserve"> RFP Standalone BESS / Paired Existing PPA</w:t>
    </w:r>
    <w:r w:rsidDel="00634C88" w:rsidR="00634C88">
      <w:t xml:space="preserve"> </w:t>
    </w:r>
    <w:sdt>
      <w:sdtPr>
        <w:id w:val="582916162"/>
        <w:docPartObj>
          <w:docPartGallery w:val="Page Numbers (Bottom of Page)"/>
          <w:docPartUnique/>
        </w:docPartObj>
      </w:sdtPr>
      <w:sdtEndPr>
        <w:rPr>
          <w:noProof/>
        </w:rPr>
      </w:sdtEndPr>
      <w:sdtContent>
        <w:r w:rsidR="008B55A2">
          <w:tab/>
        </w:r>
        <w:r w:rsidR="008B55A2">
          <w:tab/>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151327404"/>
        <w:docPartObj>
          <w:docPartGallery w:val="Page Numbers (Bottom of Page)"/>
          <w:docPartUnique/>
        </w:docPartObj>
      </w:sdtPr>
      <w:sdtEndPr>
        <w:rPr>
          <w:noProof/>
        </w:rPr>
      </w:sdtEndPr>
      <w:sdtContent>
        <w:r w:rsidR="008B55A2">
          <w:rPr>
            <w:noProof/>
          </w:rPr>
          <w:t>1</w:t>
        </w:r>
        <w:r w:rsidR="00737047">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6454A0D4" w14:textId="384D2054">
    <w:pPr>
      <w:pStyle w:val="DocID"/>
    </w:pPr>
    <w:r w:rsidR="001D0B3D">
      <w:rPr>
        <w:b/>
        <w:bCs/>
      </w:rPr>
      <w:t>Error! Unknown document property name.</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7184DE4C" w14:textId="0B0CD483">
    <w:pPr>
      <w:pStyle w:val="DocID"/>
    </w:pPr>
    <w:r w:rsidR="001D0B3D">
      <w:rPr>
        <w:b/>
        <w:bCs/>
      </w:rPr>
      <w:t>Error! Unknown document property name.</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4B0BBF" w:rsidRDefault="00194A31" w14:paraId="6C9EE622" w14:textId="595AEE01">
    <w:pPr>
      <w:pStyle w:val="zGFooter"/>
      <w:tabs>
        <w:tab w:val="clear" w:pos="5040"/>
        <w:tab w:val="clear" w:pos="8630"/>
        <w:tab w:val="left" w:pos="4140"/>
        <w:tab w:val="center" w:pos="4590"/>
        <w:tab w:val="right" w:pos="9630"/>
      </w:tabs>
      <w:rPr>
        <w:noProof/>
        <w:szCs w:val="16"/>
      </w:rPr>
    </w:pPr>
    <w:sdt>
      <w:sdtPr>
        <w:id w:val="2140530874"/>
        <w:docPartObj>
          <w:docPartGallery w:val="Page Numbers (Bottom of Page)"/>
          <w:docPartUnique/>
        </w:docPartObj>
      </w:sdtPr>
      <w:sdtEndPr>
        <w:rPr>
          <w:noProof/>
        </w:rPr>
      </w:sdtEndPr>
      <w:sdtContent>
        <w:sdt>
          <w:sdtPr>
            <w:id w:val="808063359"/>
            <w:docPartObj>
              <w:docPartGallery w:val="Page Numbers (Bottom of Page)"/>
              <w:docPartUnique/>
            </w:docPartObj>
          </w:sdtPr>
          <w:sdtEndPr>
            <w:rPr>
              <w:noProof/>
            </w:rPr>
          </w:sdtEndPr>
          <w:sdtContent>
            <w:r w:rsidR="00DA59FD">
              <w:t>3</w:t>
            </w:r>
            <w:r w:rsidR="00E642EE">
              <w:t>2-</w:t>
            </w:r>
            <w:r w:rsidR="00DA59FD">
              <w:t>33 All-Source</w:t>
            </w:r>
          </w:sdtContent>
        </w:sdt>
        <w:r w:rsidR="00DA59FD">
          <w:t xml:space="preserve"> RFP Standalone BESS / Paired Existing PPA</w:t>
        </w:r>
        <w:r w:rsidDel="00634C88" w:rsidR="00634C88">
          <w:t xml:space="preserve"> </w:t>
        </w:r>
      </w:sdtContent>
    </w:sdt>
    <w:r w:rsidR="00E642EE">
      <w:t xml:space="preserve">      </w:t>
    </w:r>
    <w:sdt>
      <w:sdtPr>
        <w:id w:val="1446267244"/>
        <w:docPartObj>
          <w:docPartGallery w:val="Page Numbers (Bottom of Page)"/>
          <w:docPartUnique/>
        </w:docPartObj>
      </w:sdtPr>
      <w:sdtEndPr>
        <w:rPr>
          <w:noProof/>
        </w:rPr>
      </w:sdtEndPr>
      <w:sdtContent>
        <w:r w:rsidR="008B55A2">
          <w:tab/>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945541433"/>
        <w:docPartObj>
          <w:docPartGallery w:val="Page Numbers (Bottom of Page)"/>
          <w:docPartUnique/>
        </w:docPartObj>
      </w:sdtPr>
      <w:sdtEndPr>
        <w:rPr>
          <w:noProof/>
        </w:rPr>
      </w:sdtEndPr>
      <w:sdtContent>
        <w:r w:rsidR="008B55A2">
          <w:rPr>
            <w:noProof/>
          </w:rPr>
          <w:t>1</w:t>
        </w:r>
        <w:r w:rsidR="00737047">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6F70C15B" w14:textId="61B0F58B">
    <w:pPr>
      <w:pStyle w:val="DocID"/>
    </w:pPr>
    <w:r w:rsidR="001D0B3D">
      <w:rPr>
        <w:b/>
        <w:bCs/>
      </w:rPr>
      <w:t>Error! Unknown document property name.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4B0BBF" w:rsidRDefault="00194A31" w14:paraId="02AC19F7" w14:textId="4BE3547E">
    <w:pPr>
      <w:pStyle w:val="zGFooter"/>
      <w:tabs>
        <w:tab w:val="clear" w:pos="5040"/>
        <w:tab w:val="clear" w:pos="8630"/>
        <w:tab w:val="left" w:pos="4140"/>
        <w:tab w:val="center" w:pos="4590"/>
        <w:tab w:val="right" w:pos="9630"/>
      </w:tabs>
      <w:rPr>
        <w:noProof/>
        <w:szCs w:val="16"/>
      </w:rPr>
    </w:pPr>
    <w:sdt>
      <w:sdtPr>
        <w:id w:val="-572963169"/>
        <w:docPartObj>
          <w:docPartGallery w:val="Page Numbers (Bottom of Page)"/>
          <w:docPartUnique/>
        </w:docPartObj>
      </w:sdtPr>
      <w:sdtEndPr>
        <w:rPr>
          <w:noProof/>
        </w:rPr>
      </w:sdtEndPr>
      <w:sdtContent>
        <w:r w:rsidR="00233FAA">
          <w:t>32</w:t>
        </w:r>
        <w:r w:rsidR="00427433">
          <w:t>-</w:t>
        </w:r>
        <w:r w:rsidR="00233FAA">
          <w:t>33 All-Source</w:t>
        </w:r>
      </w:sdtContent>
    </w:sdt>
    <w:r w:rsidR="00233FAA">
      <w:t xml:space="preserve"> RFP Standalone BESS / Paired Existing PPA</w:t>
    </w:r>
    <w:r w:rsidR="00192105">
      <w:t xml:space="preserve">      </w:t>
    </w:r>
    <w:r w:rsidR="00681469">
      <w:t xml:space="preserve"> </w:t>
    </w:r>
    <w:sdt>
      <w:sdtPr>
        <w:id w:val="1314517014"/>
        <w:docPartObj>
          <w:docPartGallery w:val="Page Numbers (Bottom of Page)"/>
          <w:docPartUnique/>
        </w:docPartObj>
      </w:sdtPr>
      <w:sdtEndPr>
        <w:rPr>
          <w:noProof/>
        </w:rPr>
      </w:sdtEndPr>
      <w:sdtContent>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768618526"/>
        <w:docPartObj>
          <w:docPartGallery w:val="Page Numbers (Bottom of Page)"/>
          <w:docPartUnique/>
        </w:docPartObj>
      </w:sdtPr>
      <w:sdtEndPr>
        <w:rPr>
          <w:noProof/>
        </w:rPr>
      </w:sdtEndPr>
      <w:sdtContent>
        <w:r w:rsidR="008B55A2">
          <w:rPr>
            <w:noProof/>
          </w:rPr>
          <w:t>1</w:t>
        </w:r>
        <w:r w:rsidR="00131B71">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59D788EA" w14:textId="0149AAEB">
    <w:pPr>
      <w:pStyle w:val="DocID"/>
    </w:pPr>
    <w:r w:rsidR="001D0B3D">
      <w:rPr>
        <w:b/>
        <w:bCs/>
      </w:rPr>
      <w:t>Error! Unknown document property name.</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093DF5" w:rsidRDefault="00194A31" w14:paraId="3BD341E9" w14:textId="45C38C72">
    <w:pPr>
      <w:pStyle w:val="zGFooter"/>
      <w:tabs>
        <w:tab w:val="clear" w:pos="5040"/>
        <w:tab w:val="clear" w:pos="8630"/>
        <w:tab w:val="left" w:pos="4140"/>
        <w:tab w:val="center" w:pos="4590"/>
        <w:tab w:val="right" w:pos="9630"/>
      </w:tabs>
      <w:jc w:val="center"/>
      <w:rPr>
        <w:noProof/>
        <w:szCs w:val="16"/>
      </w:rPr>
    </w:pPr>
    <w:sdt>
      <w:sdtPr>
        <w:id w:val="1255558958"/>
        <w:docPartObj>
          <w:docPartGallery w:val="Page Numbers (Bottom of Page)"/>
          <w:docPartUnique/>
        </w:docPartObj>
      </w:sdtPr>
      <w:sdtEndPr>
        <w:rPr>
          <w:noProof/>
        </w:rPr>
      </w:sdtEndPr>
      <w:sdtContent>
        <w:r w:rsidR="008B55A2">
          <w:t xml:space="preserve">ESS </w:t>
        </w:r>
      </w:sdtContent>
    </w:sdt>
    <w:r w:rsidR="008B55A2">
      <w:t xml:space="preserve">500 PPA </w:t>
    </w:r>
    <w:sdt>
      <w:sdtPr>
        <w:id w:val="43168265"/>
        <w:docPartObj>
          <w:docPartGallery w:val="Page Numbers (Bottom of Page)"/>
          <w:docPartUnique/>
        </w:docPartObj>
      </w:sdtPr>
      <w:sdtEndPr>
        <w:rPr>
          <w:noProof/>
        </w:rPr>
      </w:sdtEndPr>
      <w:sdtContent>
        <w:r w:rsidR="008B55A2">
          <w:tab/>
        </w:r>
        <w:r w:rsidR="008B55A2">
          <w:tab/>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555668297"/>
        <w:docPartObj>
          <w:docPartGallery w:val="Page Numbers (Bottom of Page)"/>
          <w:docPartUnique/>
        </w:docPartObj>
      </w:sdtPr>
      <w:sdtEndPr>
        <w:rPr>
          <w:noProof/>
        </w:rPr>
      </w:sdtEndPr>
      <w:sdtContent>
        <w:r w:rsidR="008B55A2">
          <w:rPr>
            <w:noProof/>
          </w:rPr>
          <w:t>114</w:t>
        </w:r>
      </w:sdtContent>
    </w:sdt>
    <w:r w:rsidR="008B55A2">
      <w:rPr>
        <w:noProof/>
      </w:rPr>
      <w:tab/>
    </w:r>
    <w:r w:rsidR="008B55A2">
      <w:rPr>
        <w:noProof/>
        <w:szCs w:val="16"/>
      </w:rPr>
      <w:t>GPC-</w:t>
    </w:r>
    <w:r w:rsidR="008B55A2">
      <w:rPr>
        <w:noProof/>
        <w:szCs w:val="16"/>
        <w:highlight w:val="yellow"/>
      </w:rPr>
      <w:t>#ProjectID#</w:t>
    </w:r>
    <w:r w:rsidR="008B55A2">
      <w:rPr>
        <w:noProof/>
        <w:szCs w:val="16"/>
      </w:rPr>
      <w:t xml:space="preserve"> </w:t>
    </w:r>
    <w:r w:rsidR="008B55A2">
      <w:rPr>
        <w:noProof/>
        <w:szCs w:val="16"/>
        <w:highlight w:val="yellow"/>
      </w:rPr>
      <w:t>(#FacilityName#)</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378CBEE4" w14:textId="3EBE3249">
    <w:pPr>
      <w:pStyle w:val="DocID"/>
    </w:pPr>
    <w:r w:rsidR="001D0B3D">
      <w:rPr>
        <w:b/>
        <w:bCs/>
      </w:rPr>
      <w:t>Error! Unknown document property name.</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300F89D4" w14:textId="14ECB6DC">
    <w:pPr>
      <w:pStyle w:val="DocID"/>
    </w:pPr>
    <w:r w:rsidR="001D0B3D">
      <w:rPr>
        <w:b/>
        <w:bCs/>
      </w:rPr>
      <w:t>Error! Unknown document property name.</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4B0BBF" w:rsidRDefault="00194A31" w14:paraId="020C9E51" w14:textId="2EADF18D">
    <w:pPr>
      <w:pStyle w:val="zGFooter"/>
      <w:tabs>
        <w:tab w:val="clear" w:pos="5040"/>
        <w:tab w:val="clear" w:pos="8630"/>
        <w:tab w:val="left" w:pos="4140"/>
        <w:tab w:val="center" w:pos="4590"/>
        <w:tab w:val="right" w:pos="9630"/>
      </w:tabs>
      <w:rPr>
        <w:noProof/>
        <w:szCs w:val="16"/>
      </w:rPr>
    </w:pPr>
    <w:sdt>
      <w:sdtPr>
        <w:id w:val="1279438402"/>
        <w:docPartObj>
          <w:docPartGallery w:val="Page Numbers (Bottom of Page)"/>
          <w:docPartUnique/>
        </w:docPartObj>
      </w:sdtPr>
      <w:sdtEndPr>
        <w:rPr>
          <w:noProof/>
        </w:rPr>
      </w:sdtEndPr>
      <w:sdtContent>
        <w:sdt>
          <w:sdtPr>
            <w:id w:val="-255515046"/>
            <w:docPartObj>
              <w:docPartGallery w:val="Page Numbers (Bottom of Page)"/>
              <w:docPartUnique/>
            </w:docPartObj>
          </w:sdtPr>
          <w:sdtEndPr>
            <w:rPr>
              <w:noProof/>
            </w:rPr>
          </w:sdtEndPr>
          <w:sdtContent>
            <w:r w:rsidR="00DA59FD">
              <w:t>32</w:t>
            </w:r>
            <w:r w:rsidR="00D507C0">
              <w:t>-</w:t>
            </w:r>
            <w:r w:rsidR="00DA59FD">
              <w:t>33 All-Source</w:t>
            </w:r>
          </w:sdtContent>
        </w:sdt>
        <w:r w:rsidR="00DA59FD">
          <w:t xml:space="preserve"> RFP Standalone BESS / Paired Existing PPA</w:t>
        </w:r>
      </w:sdtContent>
    </w:sdt>
    <w:sdt>
      <w:sdtPr>
        <w:id w:val="482197914"/>
        <w:docPartObj>
          <w:docPartGallery w:val="Page Numbers (Bottom of Page)"/>
          <w:docPartUnique/>
        </w:docPartObj>
      </w:sdtPr>
      <w:sdtEndPr>
        <w:rPr>
          <w:noProof/>
        </w:rPr>
      </w:sdtEndPr>
      <w:sdtContent>
        <w:r w:rsidR="008B55A2">
          <w:tab/>
        </w:r>
        <w:r w:rsidR="00D507C0">
          <w:t xml:space="preserve">        </w:t>
        </w:r>
        <w:r w:rsidR="008B55A2">
          <w:tab/>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2118481715"/>
        <w:docPartObj>
          <w:docPartGallery w:val="Page Numbers (Bottom of Page)"/>
          <w:docPartUnique/>
        </w:docPartObj>
      </w:sdtPr>
      <w:sdtEndPr>
        <w:rPr>
          <w:noProof/>
        </w:rPr>
      </w:sdtEndPr>
      <w:sdtContent>
        <w:r w:rsidR="008B55A2">
          <w:rPr>
            <w:noProof/>
          </w:rPr>
          <w:t>1</w:t>
        </w:r>
        <w:r w:rsidR="00737047">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1A940D45" w14:textId="5C9AF990">
    <w:pPr>
      <w:pStyle w:val="DocID"/>
    </w:pPr>
    <w:r w:rsidR="001D0B3D">
      <w:rPr>
        <w:b/>
        <w:bCs/>
      </w:rPr>
      <w:t>Error! Unknown document property name.</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4BC839B5" w14:textId="01E0F86E">
    <w:pPr>
      <w:pStyle w:val="DocID"/>
    </w:pPr>
    <w:r w:rsidR="001D0B3D">
      <w:rPr>
        <w:b/>
        <w:bCs/>
      </w:rPr>
      <w:t>Error! Unknown document property name.</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4B0BBF" w:rsidRDefault="00194A31" w14:paraId="40E30F26" w14:textId="78131711">
    <w:pPr>
      <w:pStyle w:val="zGFooter"/>
      <w:tabs>
        <w:tab w:val="clear" w:pos="5040"/>
        <w:tab w:val="clear" w:pos="8630"/>
        <w:tab w:val="left" w:pos="4140"/>
        <w:tab w:val="center" w:pos="4590"/>
        <w:tab w:val="right" w:pos="9630"/>
      </w:tabs>
      <w:rPr>
        <w:noProof/>
        <w:szCs w:val="16"/>
      </w:rPr>
    </w:pPr>
    <w:sdt>
      <w:sdtPr>
        <w:id w:val="2021585987"/>
        <w:docPartObj>
          <w:docPartGallery w:val="Page Numbers (Bottom of Page)"/>
          <w:docPartUnique/>
        </w:docPartObj>
      </w:sdtPr>
      <w:sdtEndPr>
        <w:rPr>
          <w:noProof/>
        </w:rPr>
      </w:sdtEndPr>
      <w:sdtContent>
        <w:sdt>
          <w:sdtPr>
            <w:id w:val="-127869777"/>
            <w:docPartObj>
              <w:docPartGallery w:val="Page Numbers (Bottom of Page)"/>
              <w:docPartUnique/>
            </w:docPartObj>
          </w:sdtPr>
          <w:sdtEndPr>
            <w:rPr>
              <w:noProof/>
            </w:rPr>
          </w:sdtEndPr>
          <w:sdtContent>
            <w:r w:rsidR="00DA59FD">
              <w:t>32</w:t>
            </w:r>
            <w:r w:rsidR="00F03964">
              <w:t>-</w:t>
            </w:r>
            <w:r w:rsidR="00DA59FD">
              <w:t>33 All-Source</w:t>
            </w:r>
          </w:sdtContent>
        </w:sdt>
        <w:r w:rsidR="00DA59FD">
          <w:t xml:space="preserve"> RFP Standalone BESS / Paired Existing PPA</w:t>
        </w:r>
        <w:r w:rsidDel="00634C88" w:rsidR="00634C88">
          <w:t xml:space="preserve"> </w:t>
        </w:r>
      </w:sdtContent>
    </w:sdt>
    <w:r w:rsidR="008B55A2">
      <w:t xml:space="preserve"> </w:t>
    </w:r>
    <w:sdt>
      <w:sdtPr>
        <w:id w:val="598512660"/>
        <w:docPartObj>
          <w:docPartGallery w:val="Page Numbers (Bottom of Page)"/>
          <w:docPartUnique/>
        </w:docPartObj>
      </w:sdtPr>
      <w:sdtEndPr>
        <w:rPr>
          <w:noProof/>
        </w:rPr>
      </w:sdtEndPr>
      <w:sdtContent>
        <w:r w:rsidR="008B55A2">
          <w:tab/>
        </w:r>
        <w:r w:rsidR="005F1944">
          <w:t xml:space="preserve">      </w:t>
        </w:r>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876301684"/>
        <w:docPartObj>
          <w:docPartGallery w:val="Page Numbers (Bottom of Page)"/>
          <w:docPartUnique/>
        </w:docPartObj>
      </w:sdtPr>
      <w:sdtEndPr>
        <w:rPr>
          <w:noProof/>
        </w:rPr>
      </w:sdtEndPr>
      <w:sdtContent>
        <w:r w:rsidR="008B55A2">
          <w:rPr>
            <w:noProof/>
          </w:rPr>
          <w:t>1</w:t>
        </w:r>
        <w:r w:rsidR="00737047">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2A811350" w14:textId="095E2060">
    <w:pPr>
      <w:pStyle w:val="DocID"/>
    </w:pPr>
    <w:r w:rsidR="001D0B3D">
      <w:rPr>
        <w:b/>
        <w:bCs/>
      </w:rPr>
      <w:t>Error! Unknown document property name.</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65ECA8A7" w14:textId="47CB1DB1">
    <w:pPr>
      <w:pStyle w:val="DocID"/>
    </w:pPr>
    <w:r w:rsidR="001D0B3D">
      <w:rPr>
        <w:b/>
        <w:bCs/>
      </w:rPr>
      <w:t>Error! Unknown document property name.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4B0BBF" w:rsidRDefault="00194A31" w14:paraId="1D2C3D3B" w14:textId="6D0A6707">
    <w:pPr>
      <w:pStyle w:val="zGFooter"/>
      <w:tabs>
        <w:tab w:val="clear" w:pos="5040"/>
        <w:tab w:val="clear" w:pos="8630"/>
        <w:tab w:val="left" w:pos="4140"/>
        <w:tab w:val="center" w:pos="4590"/>
        <w:tab w:val="right" w:pos="9630"/>
      </w:tabs>
      <w:rPr>
        <w:noProof/>
        <w:szCs w:val="16"/>
      </w:rPr>
    </w:pPr>
    <w:sdt>
      <w:sdtPr>
        <w:id w:val="-2090838661"/>
        <w:docPartObj>
          <w:docPartGallery w:val="Page Numbers (Bottom of Page)"/>
          <w:docPartUnique/>
        </w:docPartObj>
      </w:sdtPr>
      <w:sdtEndPr>
        <w:rPr>
          <w:noProof/>
        </w:rPr>
      </w:sdtEndPr>
      <w:sdtContent>
        <w:r w:rsidR="00366AB2">
          <w:t>32</w:t>
        </w:r>
        <w:r w:rsidR="00427433">
          <w:t>-</w:t>
        </w:r>
        <w:r w:rsidR="00366AB2">
          <w:t>33 All-Source</w:t>
        </w:r>
      </w:sdtContent>
    </w:sdt>
    <w:r w:rsidR="008B55A2">
      <w:t xml:space="preserve"> </w:t>
    </w:r>
    <w:sdt>
      <w:sdtPr>
        <w:id w:val="9343969"/>
        <w:docPartObj>
          <w:docPartGallery w:val="Page Numbers (Bottom of Page)"/>
          <w:docPartUnique/>
        </w:docPartObj>
      </w:sdtPr>
      <w:sdtEndPr/>
      <w:sdtContent>
        <w:r w:rsidR="00900C21">
          <w:t xml:space="preserve">RFP </w:t>
        </w:r>
        <w:r w:rsidR="008B55A2">
          <w:t>Standalone BESS / Paired Existing PPA</w:t>
        </w:r>
        <w:r w:rsidR="00992E73">
          <w:t xml:space="preserve">       </w:t>
        </w:r>
      </w:sdtContent>
    </w:sdt>
    <w:r w:rsidRPr="00ED5882" w:rsidR="009A56F3">
      <w:t xml:space="preserve">Page </w:t>
    </w:r>
    <w:r w:rsidRPr="00ED5882" w:rsidR="009A56F3">
      <w:fldChar w:fldCharType="begin"/>
    </w:r>
    <w:r w:rsidRPr="00ED5882" w:rsidR="009A56F3">
      <w:instrText xml:space="preserve"> PAGE </w:instrText>
    </w:r>
    <w:r w:rsidRPr="00ED5882" w:rsidR="009A56F3">
      <w:fldChar w:fldCharType="separate"/>
    </w:r>
    <w:r w:rsidR="009A56F3">
      <w:t>1</w:t>
    </w:r>
    <w:r w:rsidRPr="00ED5882" w:rsidR="009A56F3">
      <w:fldChar w:fldCharType="end"/>
    </w:r>
    <w:r w:rsidRPr="00ED5882" w:rsidR="009A56F3">
      <w:t xml:space="preserve"> of </w:t>
    </w:r>
    <w:r w:rsidR="009A56F3">
      <w:rPr>
        <w:noProof/>
      </w:rPr>
      <w:t>128</w:t>
    </w:r>
    <w:r w:rsidR="00427433">
      <w:rPr>
        <w:noProof/>
      </w:rPr>
      <w:tab/>
    </w:r>
    <w:r w:rsidR="008B55A2">
      <w:rPr>
        <w:noProof/>
        <w:szCs w:val="16"/>
      </w:rPr>
      <w:t xml:space="preserve">GPC </w:t>
    </w:r>
    <w:r w:rsidR="008B55A2">
      <w:rPr>
        <w:noProof/>
        <w:szCs w:val="16"/>
        <w:highlight w:val="yellow"/>
      </w:rPr>
      <w:t>(#FacilityName#)</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4B0BBF" w:rsidRDefault="00194A31" w14:paraId="303F3AC7" w14:textId="46AB6EB9">
    <w:pPr>
      <w:pStyle w:val="zGFooter"/>
      <w:tabs>
        <w:tab w:val="clear" w:pos="5040"/>
        <w:tab w:val="clear" w:pos="8630"/>
        <w:tab w:val="left" w:pos="4140"/>
        <w:tab w:val="center" w:pos="4590"/>
        <w:tab w:val="right" w:pos="9630"/>
      </w:tabs>
      <w:rPr>
        <w:noProof/>
        <w:szCs w:val="16"/>
      </w:rPr>
    </w:pPr>
    <w:sdt>
      <w:sdtPr>
        <w:id w:val="-105886238"/>
        <w:docPartObj>
          <w:docPartGallery w:val="Page Numbers (Bottom of Page)"/>
          <w:docPartUnique/>
        </w:docPartObj>
      </w:sdtPr>
      <w:sdtEndPr>
        <w:rPr>
          <w:noProof/>
        </w:rPr>
      </w:sdtEndPr>
      <w:sdtContent>
        <w:sdt>
          <w:sdtPr>
            <w:id w:val="-1650747919"/>
            <w:docPartObj>
              <w:docPartGallery w:val="Page Numbers (Bottom of Page)"/>
              <w:docPartUnique/>
            </w:docPartObj>
          </w:sdtPr>
          <w:sdtEndPr>
            <w:rPr>
              <w:noProof/>
            </w:rPr>
          </w:sdtEndPr>
          <w:sdtContent>
            <w:r w:rsidR="00DA59FD">
              <w:t>32</w:t>
            </w:r>
            <w:r w:rsidR="005F1944">
              <w:t>-</w:t>
            </w:r>
            <w:r w:rsidR="00DA59FD">
              <w:t>33 All-Source</w:t>
            </w:r>
          </w:sdtContent>
        </w:sdt>
        <w:r w:rsidR="00DA59FD">
          <w:t xml:space="preserve"> RFP Standalone BESS / Paired Existing PPA</w:t>
        </w:r>
        <w:r w:rsidDel="00634C88" w:rsidR="00634C88">
          <w:t xml:space="preserve"> </w:t>
        </w:r>
      </w:sdtContent>
    </w:sdt>
    <w:sdt>
      <w:sdtPr>
        <w:id w:val="-679040636"/>
        <w:docPartObj>
          <w:docPartGallery w:val="Page Numbers (Bottom of Page)"/>
          <w:docPartUnique/>
        </w:docPartObj>
      </w:sdtPr>
      <w:sdtEndPr>
        <w:rPr>
          <w:noProof/>
        </w:rPr>
      </w:sdtEndPr>
      <w:sdtContent>
        <w:r w:rsidR="008B55A2">
          <w:tab/>
        </w:r>
        <w:r w:rsidR="008B55A2">
          <w:tab/>
        </w:r>
        <w:r w:rsidR="005F1944">
          <w:t xml:space="preserve">      </w:t>
        </w:r>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111860196"/>
        <w:docPartObj>
          <w:docPartGallery w:val="Page Numbers (Bottom of Page)"/>
          <w:docPartUnique/>
        </w:docPartObj>
      </w:sdtPr>
      <w:sdtEndPr>
        <w:rPr>
          <w:noProof/>
        </w:rPr>
      </w:sdtEndPr>
      <w:sdtContent>
        <w:r w:rsidR="008B55A2">
          <w:rPr>
            <w:noProof/>
          </w:rPr>
          <w:t>1</w:t>
        </w:r>
        <w:r w:rsidR="00737047">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62F8642F" w14:textId="22F0F2C2">
    <w:pPr>
      <w:pStyle w:val="DocID"/>
    </w:pPr>
    <w:r w:rsidR="001D0B3D">
      <w:rPr>
        <w:b/>
        <w:bCs/>
      </w:rPr>
      <w:t>Error! Unknown document property name.</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722" w:rsidRDefault="002B3722" w14:paraId="0DC23C36" w14:textId="77777777">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37047" w:rsidR="004C65A3" w:rsidP="00737047" w:rsidRDefault="00737047" w14:paraId="79CF6B69" w14:textId="19021C2B">
    <w:pPr>
      <w:pStyle w:val="zGFooter"/>
      <w:tabs>
        <w:tab w:val="clear" w:pos="5040"/>
        <w:tab w:val="clear" w:pos="8630"/>
        <w:tab w:val="left" w:pos="4140"/>
        <w:tab w:val="center" w:pos="4590"/>
        <w:tab w:val="right" w:pos="9630"/>
      </w:tabs>
      <w:rPr>
        <w:noProof/>
        <w:szCs w:val="16"/>
      </w:rPr>
    </w:pPr>
    <w:r w:rsidRPr="00737047">
      <w:t xml:space="preserve"> </w:t>
    </w:r>
    <w:sdt>
      <w:sdtPr>
        <w:id w:val="-572971270"/>
        <w:docPartObj>
          <w:docPartGallery w:val="Page Numbers (Bottom of Page)"/>
          <w:docPartUnique/>
        </w:docPartObj>
      </w:sdtPr>
      <w:sdtEndPr>
        <w:rPr>
          <w:noProof/>
        </w:rPr>
      </w:sdtEndPr>
      <w:sdtContent>
        <w:sdt>
          <w:sdtPr>
            <w:id w:val="-1922711199"/>
            <w:docPartObj>
              <w:docPartGallery w:val="Page Numbers (Bottom of Page)"/>
              <w:docPartUnique/>
            </w:docPartObj>
          </w:sdtPr>
          <w:sdtEndPr>
            <w:rPr>
              <w:noProof/>
            </w:rPr>
          </w:sdtEndPr>
          <w:sdtContent>
            <w:r>
              <w:t>32</w:t>
            </w:r>
            <w:r w:rsidR="005F1944">
              <w:t>-</w:t>
            </w:r>
            <w:r>
              <w:t>33 All-Source</w:t>
            </w:r>
          </w:sdtContent>
        </w:sdt>
        <w:r>
          <w:t xml:space="preserve"> RFP Standalone BESS / Paired Existing PPA</w:t>
        </w:r>
        <w:r w:rsidDel="00634C88">
          <w:t xml:space="preserve"> </w:t>
        </w:r>
      </w:sdtContent>
    </w:sdt>
    <w:sdt>
      <w:sdtPr>
        <w:id w:val="-49456175"/>
        <w:docPartObj>
          <w:docPartGallery w:val="Page Numbers (Bottom of Page)"/>
          <w:docPartUnique/>
        </w:docPartObj>
      </w:sdtPr>
      <w:sdtEndPr>
        <w:rPr>
          <w:noProof/>
        </w:rPr>
      </w:sdtEndPr>
      <w:sdtContent>
        <w:r>
          <w:tab/>
        </w:r>
        <w:r w:rsidR="005F1944">
          <w:t xml:space="preserve">       </w:t>
        </w:r>
        <w:r w:rsidR="00B31A77">
          <w:t xml:space="preserve">     </w:t>
        </w:r>
        <w:r>
          <w:t xml:space="preserve">Page </w:t>
        </w:r>
        <w:r>
          <w:fldChar w:fldCharType="begin"/>
        </w:r>
        <w:r>
          <w:instrText xml:space="preserve"> PAGE </w:instrText>
        </w:r>
        <w:r>
          <w:fldChar w:fldCharType="separate"/>
        </w:r>
        <w:r>
          <w:t>88</w:t>
        </w:r>
        <w:r>
          <w:fldChar w:fldCharType="end"/>
        </w:r>
        <w:r>
          <w:t xml:space="preserve"> of </w:t>
        </w:r>
      </w:sdtContent>
    </w:sdt>
    <w:sdt>
      <w:sdtPr>
        <w:id w:val="-1174328374"/>
        <w:docPartObj>
          <w:docPartGallery w:val="Page Numbers (Bottom of Page)"/>
          <w:docPartUnique/>
        </w:docPartObj>
      </w:sdtPr>
      <w:sdtEndPr>
        <w:rPr>
          <w:noProof/>
        </w:rPr>
      </w:sdtEndPr>
      <w:sdtContent>
        <w:r>
          <w:rPr>
            <w:noProof/>
          </w:rPr>
          <w:t>122</w:t>
        </w:r>
      </w:sdtContent>
    </w:sdt>
    <w:r>
      <w:rPr>
        <w:noProof/>
      </w:rPr>
      <w:tab/>
    </w:r>
    <w:r>
      <w:rPr>
        <w:noProof/>
        <w:szCs w:val="16"/>
      </w:rPr>
      <w:t xml:space="preserve">GPC </w:t>
    </w:r>
    <w:r>
      <w:rPr>
        <w:noProof/>
        <w:szCs w:val="16"/>
        <w:highlight w:val="yellow"/>
      </w:rPr>
      <w:t>(#FacilityName#)</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722" w:rsidRDefault="002B3722" w14:paraId="7D6B7DFF" w14:textId="77777777">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28F1E6B6" w14:textId="7ACBC974">
    <w:pPr>
      <w:pStyle w:val="DocID"/>
    </w:pPr>
    <w:r w:rsidR="001D0B3D">
      <w:rPr>
        <w:b/>
        <w:bCs/>
      </w:rPr>
      <w:t>Error! Unknown document property name.</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A0CF1" w:rsidR="00FA0CF1" w:rsidP="008A309F" w:rsidRDefault="00194A31" w14:paraId="7A54C6BC" w14:textId="58E7B08F">
    <w:pPr>
      <w:pStyle w:val="zGFooter"/>
      <w:tabs>
        <w:tab w:val="clear" w:pos="5040"/>
        <w:tab w:val="clear" w:pos="8630"/>
        <w:tab w:val="left" w:pos="4140"/>
        <w:tab w:val="center" w:pos="4590"/>
        <w:tab w:val="right" w:pos="9630"/>
      </w:tabs>
      <w:rPr>
        <w:noProof/>
      </w:rPr>
    </w:pPr>
    <w:sdt>
      <w:sdtPr>
        <w:id w:val="-1367057805"/>
        <w:docPartObj>
          <w:docPartGallery w:val="Page Numbers (Bottom of Page)"/>
          <w:docPartUnique/>
        </w:docPartObj>
      </w:sdtPr>
      <w:sdtEndPr>
        <w:rPr>
          <w:noProof/>
        </w:rPr>
      </w:sdtEndPr>
      <w:sdtContent>
        <w:r w:rsidR="00DA59FD">
          <w:t>32</w:t>
        </w:r>
        <w:r w:rsidR="005B38CE">
          <w:t>-</w:t>
        </w:r>
        <w:r w:rsidR="00DA59FD">
          <w:t>33 All-Source</w:t>
        </w:r>
      </w:sdtContent>
    </w:sdt>
    <w:r w:rsidR="00DA59FD">
      <w:t xml:space="preserve"> RFP Standalone / Paired Existing PPA</w:t>
    </w:r>
    <w:r w:rsidDel="00634C88" w:rsidR="00634C88">
      <w:t xml:space="preserve"> </w:t>
    </w:r>
    <w:sdt>
      <w:sdtPr>
        <w:id w:val="1983086335"/>
        <w:docPartObj>
          <w:docPartGallery w:val="Page Numbers (Bottom of Page)"/>
          <w:docPartUnique/>
        </w:docPartObj>
      </w:sdtPr>
      <w:sdtEndPr>
        <w:rPr>
          <w:noProof/>
        </w:rPr>
      </w:sdtEndPr>
      <w:sdtContent>
        <w:r w:rsidR="008B55A2">
          <w:tab/>
        </w:r>
        <w:r w:rsidR="008B55A2">
          <w:tab/>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481701833"/>
        <w:docPartObj>
          <w:docPartGallery w:val="Page Numbers (Bottom of Page)"/>
          <w:docPartUnique/>
        </w:docPartObj>
      </w:sdtPr>
      <w:sdtEndPr>
        <w:rPr>
          <w:noProof/>
        </w:rPr>
      </w:sdtEndPr>
      <w:sdtContent>
        <w:r w:rsidR="008B55A2">
          <w:rPr>
            <w:noProof/>
          </w:rPr>
          <w:t>1</w:t>
        </w:r>
        <w:r w:rsidR="00737047">
          <w:rPr>
            <w:noProof/>
          </w:rPr>
          <w:t>22</w:t>
        </w:r>
      </w:sdtContent>
    </w:sdt>
    <w:sdt>
      <w:sdtPr>
        <w:id w:val="2107252668"/>
        <w:docPartObj>
          <w:docPartGallery w:val="Page Numbers (Bottom of Page)"/>
          <w:docPartUnique/>
        </w:docPartObj>
      </w:sdtPr>
      <w:sdtEndPr>
        <w:rPr>
          <w:noProof/>
        </w:rPr>
      </w:sdtEndPr>
      <w:sdtContent>
        <w:r w:rsidR="008B55A2">
          <w:rPr>
            <w:noProof/>
          </w:rPr>
          <w:tab/>
        </w:r>
        <w:r w:rsidR="008B55A2">
          <w:rPr>
            <w:noProof/>
            <w:szCs w:val="16"/>
          </w:rPr>
          <w:t xml:space="preserve">GPC </w:t>
        </w:r>
        <w:r w:rsidR="008B55A2">
          <w:rPr>
            <w:noProof/>
            <w:szCs w:val="16"/>
            <w:highlight w:val="yellow"/>
          </w:rPr>
          <w:t>(#FacilityName#)</w:t>
        </w:r>
      </w:sdtContent>
    </w:sdt>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7607FDC1" w14:textId="4B887DFF">
    <w:pPr>
      <w:pStyle w:val="DocID"/>
    </w:pPr>
    <w:r w:rsidR="001D0B3D">
      <w:rPr>
        <w:b/>
        <w:bCs/>
      </w:rPr>
      <w:t>Error! Unknown document property name.</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300E94C4" w14:textId="573F8333">
    <w:pPr>
      <w:pStyle w:val="DocID"/>
    </w:pPr>
    <w:r w:rsidR="001D0B3D">
      <w:rPr>
        <w:b/>
        <w:bCs/>
      </w:rPr>
      <w:t>Error! Unknown document property name.</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510C21" w:rsidRDefault="00194A31" w14:paraId="251C0881" w14:textId="48CC4F2C">
    <w:pPr>
      <w:pStyle w:val="zGFooter"/>
      <w:tabs>
        <w:tab w:val="clear" w:pos="5040"/>
        <w:tab w:val="clear" w:pos="8630"/>
        <w:tab w:val="left" w:pos="4140"/>
        <w:tab w:val="center" w:pos="4590"/>
        <w:tab w:val="right" w:pos="9630"/>
      </w:tabs>
      <w:rPr>
        <w:noProof/>
      </w:rPr>
    </w:pPr>
    <w:sdt>
      <w:sdtPr>
        <w:id w:val="-795373439"/>
        <w:docPartObj>
          <w:docPartGallery w:val="Page Numbers (Bottom of Page)"/>
          <w:docPartUnique/>
        </w:docPartObj>
      </w:sdtPr>
      <w:sdtEndPr>
        <w:rPr>
          <w:noProof/>
        </w:rPr>
      </w:sdtEndPr>
      <w:sdtContent>
        <w:r w:rsidR="00DA59FD">
          <w:t>32</w:t>
        </w:r>
        <w:r w:rsidR="00B31A77">
          <w:t>-</w:t>
        </w:r>
        <w:r w:rsidR="00DA59FD">
          <w:t>33 All-Source</w:t>
        </w:r>
      </w:sdtContent>
    </w:sdt>
    <w:r w:rsidR="00DA59FD">
      <w:t xml:space="preserve"> RFP Standalone BESS / Paired Existing PPA</w:t>
    </w:r>
    <w:r w:rsidDel="00634C88" w:rsidR="00634C88">
      <w:t xml:space="preserve"> </w:t>
    </w:r>
    <w:sdt>
      <w:sdtPr>
        <w:id w:val="1779493464"/>
        <w:docPartObj>
          <w:docPartGallery w:val="Page Numbers (Bottom of Page)"/>
          <w:docPartUnique/>
        </w:docPartObj>
      </w:sdtPr>
      <w:sdtEndPr>
        <w:rPr>
          <w:noProof/>
        </w:rPr>
      </w:sdtEndPr>
      <w:sdtContent>
        <w:r w:rsidR="008B55A2">
          <w:tab/>
        </w:r>
        <w:r w:rsidR="008B55A2">
          <w:tab/>
        </w:r>
        <w:r w:rsidR="00B31A77">
          <w:t xml:space="preserve">     </w:t>
        </w:r>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337597801"/>
        <w:docPartObj>
          <w:docPartGallery w:val="Page Numbers (Bottom of Page)"/>
          <w:docPartUnique/>
        </w:docPartObj>
      </w:sdtPr>
      <w:sdtEndPr>
        <w:rPr>
          <w:noProof/>
        </w:rPr>
      </w:sdtEndPr>
      <w:sdtContent>
        <w:r w:rsidR="008B55A2">
          <w:rPr>
            <w:noProof/>
          </w:rPr>
          <w:t>1</w:t>
        </w:r>
        <w:r w:rsidR="00737047">
          <w:rPr>
            <w:noProof/>
          </w:rPr>
          <w:t>22</w:t>
        </w:r>
      </w:sdtContent>
    </w:sdt>
    <w:sdt>
      <w:sdtPr>
        <w:id w:val="1442252136"/>
        <w:docPartObj>
          <w:docPartGallery w:val="Page Numbers (Bottom of Page)"/>
          <w:docPartUnique/>
        </w:docPartObj>
      </w:sdtPr>
      <w:sdtEndPr>
        <w:rPr>
          <w:noProof/>
        </w:rPr>
      </w:sdtEndPr>
      <w:sdtContent>
        <w:r w:rsidR="008B55A2">
          <w:rPr>
            <w:noProof/>
          </w:rPr>
          <w:tab/>
        </w:r>
        <w:r w:rsidR="008B55A2">
          <w:rPr>
            <w:noProof/>
            <w:szCs w:val="16"/>
          </w:rPr>
          <w:t xml:space="preserve">GPC </w:t>
        </w:r>
        <w:r w:rsidR="008B55A2">
          <w:rPr>
            <w:noProof/>
            <w:szCs w:val="16"/>
            <w:highlight w:val="yellow"/>
          </w:rPr>
          <w:t>(#FacilityName#)</w:t>
        </w:r>
      </w:sdtContent>
    </w:sdt>
  </w:p>
  <w:p w:rsidRPr="00FA0CF1" w:rsidR="00FA0CF1" w:rsidP="004B0BBF" w:rsidRDefault="00FA0CF1" w14:paraId="3F7EF330" w14:textId="77777777">
    <w:pPr>
      <w:pStyle w:val="DocI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428341FA" w14:textId="64944530">
    <w:pPr>
      <w:pStyle w:val="DocID"/>
    </w:pPr>
    <w:r w:rsidR="001D0B3D">
      <w:rPr>
        <w:b/>
        <w:bCs/>
      </w:rPr>
      <w:t>Error! Unknown document property name.</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78C6B69C" w14:textId="38DA8662">
    <w:pPr>
      <w:pStyle w:val="DocID"/>
    </w:pPr>
    <w:r w:rsidR="001D0B3D">
      <w:rPr>
        <w:b/>
        <w:bCs/>
      </w:rPr>
      <w:t>Error! Unknown document property name.</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17595F8D" w14:textId="6AD943FA">
    <w:pPr>
      <w:pStyle w:val="DocID"/>
    </w:pPr>
    <w:r w:rsidR="001D0B3D">
      <w:rPr>
        <w:b/>
        <w:bCs/>
      </w:rPr>
      <w:t>Error! Unknown document property name.</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A0CF1" w:rsidR="00FA0CF1" w:rsidP="00B31A77" w:rsidRDefault="00194A31" w14:paraId="5FCB7123" w14:textId="094112B9">
    <w:pPr>
      <w:pStyle w:val="zGFooter"/>
      <w:tabs>
        <w:tab w:val="clear" w:pos="5040"/>
        <w:tab w:val="clear" w:pos="8630"/>
        <w:tab w:val="left" w:pos="4140"/>
        <w:tab w:val="center" w:pos="4590"/>
        <w:tab w:val="right" w:pos="9630"/>
      </w:tabs>
      <w:rPr>
        <w:noProof/>
      </w:rPr>
    </w:pPr>
    <w:sdt>
      <w:sdtPr>
        <w:id w:val="-818496940"/>
        <w:docPartObj>
          <w:docPartGallery w:val="Page Numbers (Bottom of Page)"/>
          <w:docPartUnique/>
        </w:docPartObj>
      </w:sdtPr>
      <w:sdtEndPr>
        <w:rPr>
          <w:noProof/>
        </w:rPr>
      </w:sdtEndPr>
      <w:sdtContent>
        <w:r w:rsidR="00DA59FD">
          <w:t>32</w:t>
        </w:r>
        <w:r w:rsidR="00B31A77">
          <w:t>-</w:t>
        </w:r>
        <w:r w:rsidR="00DA59FD">
          <w:t>33 All-Source</w:t>
        </w:r>
      </w:sdtContent>
    </w:sdt>
    <w:r w:rsidR="00DA59FD">
      <w:t xml:space="preserve"> RFP Standalone BESS / Paired Existing PPA</w:t>
    </w:r>
    <w:r w:rsidDel="00634C88" w:rsidR="00634C88">
      <w:t xml:space="preserve"> </w:t>
    </w:r>
    <w:r w:rsidR="008B55A2">
      <w:t xml:space="preserve"> </w:t>
    </w:r>
    <w:sdt>
      <w:sdtPr>
        <w:id w:val="1371193984"/>
        <w:docPartObj>
          <w:docPartGallery w:val="Page Numbers (Bottom of Page)"/>
          <w:docPartUnique/>
        </w:docPartObj>
      </w:sdtPr>
      <w:sdtEndPr>
        <w:rPr>
          <w:noProof/>
        </w:rPr>
      </w:sdtEndPr>
      <w:sdtContent>
        <w:r w:rsidR="008B55A2">
          <w:tab/>
        </w:r>
        <w:r w:rsidR="00B31A77">
          <w:t xml:space="preserve">      </w:t>
        </w:r>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994667868"/>
        <w:docPartObj>
          <w:docPartGallery w:val="Page Numbers (Bottom of Page)"/>
          <w:docPartUnique/>
        </w:docPartObj>
      </w:sdtPr>
      <w:sdtEndPr>
        <w:rPr>
          <w:noProof/>
        </w:rPr>
      </w:sdtEndPr>
      <w:sdtContent>
        <w:r w:rsidR="008B55A2">
          <w:rPr>
            <w:noProof/>
          </w:rPr>
          <w:t>1</w:t>
        </w:r>
        <w:r w:rsidR="00737047">
          <w:rPr>
            <w:noProof/>
          </w:rPr>
          <w:t>22</w:t>
        </w:r>
      </w:sdtContent>
    </w:sdt>
    <w:sdt>
      <w:sdtPr>
        <w:id w:val="68255872"/>
        <w:docPartObj>
          <w:docPartGallery w:val="Page Numbers (Bottom of Page)"/>
          <w:docPartUnique/>
        </w:docPartObj>
      </w:sdtPr>
      <w:sdtEndPr>
        <w:rPr>
          <w:noProof/>
        </w:rPr>
      </w:sdtEndPr>
      <w:sdtContent>
        <w:r w:rsidR="008B55A2">
          <w:rPr>
            <w:noProof/>
          </w:rPr>
          <w:tab/>
        </w:r>
        <w:r w:rsidR="008B55A2">
          <w:rPr>
            <w:noProof/>
            <w:szCs w:val="16"/>
          </w:rPr>
          <w:t xml:space="preserve">GPC </w:t>
        </w:r>
        <w:r w:rsidR="008B55A2">
          <w:rPr>
            <w:noProof/>
            <w:szCs w:val="16"/>
            <w:highlight w:val="yellow"/>
          </w:rPr>
          <w:t>(#FacilityName#)</w:t>
        </w:r>
      </w:sdtContent>
    </w:sdt>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672B54FE" w14:textId="4E49B022">
    <w:pPr>
      <w:pStyle w:val="DocID"/>
    </w:pPr>
    <w:r w:rsidR="001D0B3D">
      <w:rPr>
        <w:b/>
        <w:bCs/>
      </w:rPr>
      <w:t>Error! Unknown document property name.</w: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1C94E83D" w14:textId="50612AC2">
    <w:pPr>
      <w:pStyle w:val="DocID"/>
    </w:pPr>
    <w:r w:rsidR="001D0B3D">
      <w:rPr>
        <w:b/>
        <w:bCs/>
      </w:rPr>
      <w:t>Error! Unknown document property name.</w: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510C21" w:rsidRDefault="00194A31" w14:paraId="292D7682" w14:textId="563D1F3E">
    <w:pPr>
      <w:pStyle w:val="zGFooter"/>
      <w:tabs>
        <w:tab w:val="clear" w:pos="5040"/>
        <w:tab w:val="clear" w:pos="8630"/>
        <w:tab w:val="left" w:pos="4140"/>
        <w:tab w:val="center" w:pos="4590"/>
        <w:tab w:val="right" w:pos="9630"/>
      </w:tabs>
      <w:rPr>
        <w:noProof/>
      </w:rPr>
    </w:pPr>
    <w:sdt>
      <w:sdtPr>
        <w:id w:val="89972377"/>
        <w:docPartObj>
          <w:docPartGallery w:val="Page Numbers (Bottom of Page)"/>
          <w:docPartUnique/>
        </w:docPartObj>
      </w:sdtPr>
      <w:sdtEndPr>
        <w:rPr>
          <w:noProof/>
        </w:rPr>
      </w:sdtEndPr>
      <w:sdtContent>
        <w:r w:rsidR="00DA59FD">
          <w:t>32</w:t>
        </w:r>
        <w:r w:rsidR="00B31A77">
          <w:t>-</w:t>
        </w:r>
        <w:r w:rsidR="00DA59FD">
          <w:t>33 All-Source</w:t>
        </w:r>
      </w:sdtContent>
    </w:sdt>
    <w:r w:rsidR="00DA59FD">
      <w:t xml:space="preserve"> RFP Standalone BESS / Paired Existing PPA</w:t>
    </w:r>
    <w:r w:rsidDel="00634C88" w:rsidR="00634C88">
      <w:t xml:space="preserve"> </w:t>
    </w:r>
    <w:sdt>
      <w:sdtPr>
        <w:id w:val="696983485"/>
        <w:docPartObj>
          <w:docPartGallery w:val="Page Numbers (Bottom of Page)"/>
          <w:docPartUnique/>
        </w:docPartObj>
      </w:sdtPr>
      <w:sdtEndPr>
        <w:rPr>
          <w:noProof/>
        </w:rPr>
      </w:sdtEndPr>
      <w:sdtContent>
        <w:r w:rsidR="008B55A2">
          <w:tab/>
        </w:r>
        <w:r w:rsidR="008B55A2">
          <w:tab/>
        </w:r>
        <w:r w:rsidR="00B31A77">
          <w:t xml:space="preserve">     </w:t>
        </w:r>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261809544"/>
        <w:docPartObj>
          <w:docPartGallery w:val="Page Numbers (Bottom of Page)"/>
          <w:docPartUnique/>
        </w:docPartObj>
      </w:sdtPr>
      <w:sdtEndPr>
        <w:rPr>
          <w:noProof/>
        </w:rPr>
      </w:sdtEndPr>
      <w:sdtContent>
        <w:r w:rsidR="008B55A2">
          <w:rPr>
            <w:noProof/>
          </w:rPr>
          <w:t>1</w:t>
        </w:r>
        <w:r w:rsidR="00737047">
          <w:rPr>
            <w:noProof/>
          </w:rPr>
          <w:t>22</w:t>
        </w:r>
      </w:sdtContent>
    </w:sdt>
    <w:sdt>
      <w:sdtPr>
        <w:id w:val="1775146564"/>
        <w:docPartObj>
          <w:docPartGallery w:val="Page Numbers (Bottom of Page)"/>
          <w:docPartUnique/>
        </w:docPartObj>
      </w:sdtPr>
      <w:sdtEndPr>
        <w:rPr>
          <w:noProof/>
        </w:rPr>
      </w:sdtEndPr>
      <w:sdtContent>
        <w:r w:rsidR="008B55A2">
          <w:rPr>
            <w:noProof/>
          </w:rPr>
          <w:tab/>
        </w:r>
        <w:r w:rsidR="008B55A2">
          <w:rPr>
            <w:noProof/>
            <w:szCs w:val="16"/>
          </w:rPr>
          <w:t xml:space="preserve">GPC </w:t>
        </w:r>
        <w:r w:rsidR="008B55A2">
          <w:rPr>
            <w:noProof/>
            <w:szCs w:val="16"/>
            <w:highlight w:val="yellow"/>
          </w:rPr>
          <w:t>(#FacilityName#)</w:t>
        </w:r>
      </w:sdtContent>
    </w:sdt>
  </w:p>
  <w:p w:rsidRPr="00FA0CF1" w:rsidR="00FA0CF1" w:rsidP="004B0BBF" w:rsidRDefault="00FA0CF1" w14:paraId="5028213B" w14:textId="77777777">
    <w:pPr>
      <w:pStyle w:val="DocID"/>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4FC83025" w14:textId="17AD0C74">
    <w:pPr>
      <w:pStyle w:val="DocID"/>
    </w:pPr>
    <w:r w:rsidR="001D0B3D">
      <w:rPr>
        <w:b/>
        <w:bCs/>
      </w:rPr>
      <w:t>Error! Unknown document property name.</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18B978B2" w14:textId="5BA883CF">
    <w:pPr>
      <w:pStyle w:val="DocID"/>
    </w:pPr>
    <w:r w:rsidR="001D0B3D">
      <w:rPr>
        <w:b/>
        <w:bCs/>
      </w:rPr>
      <w:t>Error! Unknown document property name.</w:t>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510C21" w:rsidRDefault="008B55A2" w14:paraId="2F394CDE" w14:textId="36F7A58D">
    <w:pPr>
      <w:pStyle w:val="zGFooter"/>
      <w:tabs>
        <w:tab w:val="clear" w:pos="5040"/>
        <w:tab w:val="clear" w:pos="8630"/>
        <w:tab w:val="left" w:pos="4140"/>
        <w:tab w:val="center" w:pos="4590"/>
        <w:tab w:val="right" w:pos="9630"/>
      </w:tabs>
      <w:rPr>
        <w:noProof/>
      </w:rPr>
    </w:pPr>
    <w:r>
      <w:t xml:space="preserve">ESS 500 PPA </w:t>
    </w:r>
    <w:sdt>
      <w:sdtPr>
        <w:id w:val="1016834605"/>
        <w:docPartObj>
          <w:docPartGallery w:val="Page Numbers (Bottom of Page)"/>
          <w:docPartUnique/>
        </w:docPartObj>
      </w:sdtPr>
      <w:sdtEndPr>
        <w:rPr>
          <w:noProof/>
        </w:rPr>
      </w:sdtEndPr>
      <w:sdtContent>
        <w:r>
          <w:tab/>
        </w:r>
        <w:r>
          <w:tab/>
          <w:t xml:space="preserve">Page </w:t>
        </w:r>
        <w:r>
          <w:fldChar w:fldCharType="begin"/>
        </w:r>
        <w:r>
          <w:instrText xml:space="preserve"> PAGE </w:instrText>
        </w:r>
        <w:r>
          <w:fldChar w:fldCharType="separate"/>
        </w:r>
        <w:r>
          <w:rPr>
            <w:noProof/>
          </w:rPr>
          <w:t>1</w:t>
        </w:r>
        <w:r>
          <w:fldChar w:fldCharType="end"/>
        </w:r>
        <w:r>
          <w:t xml:space="preserve"> of </w:t>
        </w:r>
      </w:sdtContent>
    </w:sdt>
    <w:sdt>
      <w:sdtPr>
        <w:id w:val="463436381"/>
        <w:docPartObj>
          <w:docPartGallery w:val="Page Numbers (Bottom of Page)"/>
          <w:docPartUnique/>
        </w:docPartObj>
      </w:sdtPr>
      <w:sdtEndPr>
        <w:rPr>
          <w:noProof/>
        </w:rPr>
      </w:sdtEndPr>
      <w:sdtContent>
        <w:r>
          <w:rPr>
            <w:noProof/>
          </w:rPr>
          <w:t>114</w:t>
        </w:r>
      </w:sdtContent>
    </w:sdt>
    <w:sdt>
      <w:sdtPr>
        <w:id w:val="676826393"/>
        <w:docPartObj>
          <w:docPartGallery w:val="Page Numbers (Bottom of Page)"/>
          <w:docPartUnique/>
        </w:docPartObj>
      </w:sdtPr>
      <w:sdtEndPr>
        <w:rPr>
          <w:noProof/>
        </w:rPr>
      </w:sdtEndPr>
      <w:sdtContent>
        <w:r>
          <w:rPr>
            <w:noProof/>
          </w:rPr>
          <w:tab/>
        </w:r>
        <w:r>
          <w:rPr>
            <w:noProof/>
            <w:szCs w:val="16"/>
          </w:rPr>
          <w:t>GPC-</w:t>
        </w:r>
        <w:r>
          <w:rPr>
            <w:noProof/>
            <w:szCs w:val="16"/>
            <w:highlight w:val="yellow"/>
          </w:rPr>
          <w:t>#ProjectID#</w:t>
        </w:r>
        <w:r>
          <w:rPr>
            <w:noProof/>
            <w:szCs w:val="16"/>
          </w:rPr>
          <w:t xml:space="preserve"> </w:t>
        </w:r>
        <w:r>
          <w:rPr>
            <w:noProof/>
            <w:szCs w:val="16"/>
            <w:highlight w:val="yellow"/>
          </w:rPr>
          <w:t>(#FacilityName#)</w:t>
        </w:r>
      </w:sdtContent>
    </w:sdt>
  </w:p>
  <w:p w:rsidRPr="00FA0CF1" w:rsidR="00FA0CF1" w:rsidP="004B0BBF" w:rsidRDefault="00FA0CF1" w14:paraId="4446AD73" w14:textId="77777777">
    <w:pPr>
      <w:pStyle w:val="DocID"/>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17E8778C" w14:textId="0EA04324">
    <w:pPr>
      <w:pStyle w:val="DocID"/>
    </w:pPr>
    <w:r w:rsidR="001D0B3D">
      <w:rPr>
        <w:b/>
        <w:bCs/>
      </w:rPr>
      <w:t>Error! Unknown document property name.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39589347" w14:textId="2C3E12CE">
    <w:pPr>
      <w:pStyle w:val="DocID"/>
    </w:pPr>
    <w:r w:rsidR="001D0B3D">
      <w:rPr>
        <w:b/>
        <w:bCs/>
      </w:rPr>
      <w:t>Error! Unknown document property name.</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292FCF59" w14:textId="5CD203CB">
    <w:pPr>
      <w:pStyle w:val="DocID"/>
    </w:pPr>
    <w:r w:rsidR="001D0B3D">
      <w:rPr>
        <w:b/>
        <w:bCs/>
      </w:rPr>
      <w:t>Error! Unknown document property name.</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510C21" w:rsidRDefault="00194A31" w14:paraId="666A4AD0" w14:textId="5FB77278">
    <w:pPr>
      <w:pStyle w:val="zGFooter"/>
      <w:tabs>
        <w:tab w:val="clear" w:pos="5040"/>
        <w:tab w:val="clear" w:pos="8630"/>
        <w:tab w:val="left" w:pos="4140"/>
        <w:tab w:val="center" w:pos="4590"/>
        <w:tab w:val="right" w:pos="9630"/>
      </w:tabs>
      <w:rPr>
        <w:noProof/>
      </w:rPr>
    </w:pPr>
    <w:sdt>
      <w:sdtPr>
        <w:id w:val="-2025386184"/>
        <w:docPartObj>
          <w:docPartGallery w:val="Page Numbers (Bottom of Page)"/>
          <w:docPartUnique/>
        </w:docPartObj>
      </w:sdtPr>
      <w:sdtEndPr>
        <w:rPr>
          <w:noProof/>
        </w:rPr>
      </w:sdtEndPr>
      <w:sdtContent>
        <w:r w:rsidR="00DA59FD">
          <w:t>32</w:t>
        </w:r>
        <w:r w:rsidR="00B31A77">
          <w:t>-</w:t>
        </w:r>
        <w:r w:rsidR="00DA59FD">
          <w:t>33 All-Source</w:t>
        </w:r>
      </w:sdtContent>
    </w:sdt>
    <w:r w:rsidR="00DA59FD">
      <w:t xml:space="preserve"> RFP Standalone BESS / Paired Existing PPA</w:t>
    </w:r>
    <w:r w:rsidDel="00634C88" w:rsidR="00634C88">
      <w:t xml:space="preserve"> </w:t>
    </w:r>
    <w:sdt>
      <w:sdtPr>
        <w:id w:val="417614413"/>
        <w:docPartObj>
          <w:docPartGallery w:val="Page Numbers (Bottom of Page)"/>
          <w:docPartUnique/>
        </w:docPartObj>
      </w:sdtPr>
      <w:sdtEndPr>
        <w:rPr>
          <w:noProof/>
        </w:rPr>
      </w:sdtEndPr>
      <w:sdtContent>
        <w:r w:rsidR="008B55A2">
          <w:tab/>
        </w:r>
        <w:r w:rsidR="008B55A2">
          <w:tab/>
        </w:r>
        <w:r w:rsidR="00B31A77">
          <w:t xml:space="preserve">     </w:t>
        </w:r>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332721974"/>
        <w:docPartObj>
          <w:docPartGallery w:val="Page Numbers (Bottom of Page)"/>
          <w:docPartUnique/>
        </w:docPartObj>
      </w:sdtPr>
      <w:sdtEndPr>
        <w:rPr>
          <w:noProof/>
        </w:rPr>
      </w:sdtEndPr>
      <w:sdtContent>
        <w:r w:rsidR="008B55A2">
          <w:rPr>
            <w:noProof/>
          </w:rPr>
          <w:t>1</w:t>
        </w:r>
        <w:r w:rsidR="00EC1255">
          <w:rPr>
            <w:noProof/>
          </w:rPr>
          <w:t>22</w:t>
        </w:r>
      </w:sdtContent>
    </w:sdt>
    <w:sdt>
      <w:sdtPr>
        <w:id w:val="1806521323"/>
        <w:docPartObj>
          <w:docPartGallery w:val="Page Numbers (Bottom of Page)"/>
          <w:docPartUnique/>
        </w:docPartObj>
      </w:sdtPr>
      <w:sdtEndPr>
        <w:rPr>
          <w:noProof/>
        </w:rPr>
      </w:sdtEndPr>
      <w:sdtContent>
        <w:r w:rsidR="008B55A2">
          <w:rPr>
            <w:noProof/>
          </w:rPr>
          <w:tab/>
        </w:r>
        <w:r w:rsidR="008B55A2">
          <w:rPr>
            <w:noProof/>
            <w:szCs w:val="16"/>
          </w:rPr>
          <w:t xml:space="preserve">GPC </w:t>
        </w:r>
        <w:r w:rsidR="008B55A2">
          <w:rPr>
            <w:noProof/>
            <w:szCs w:val="16"/>
            <w:highlight w:val="yellow"/>
          </w:rPr>
          <w:t>(#FacilityName#)</w:t>
        </w:r>
      </w:sdtContent>
    </w:sdt>
  </w:p>
  <w:p w:rsidRPr="00FA0CF1" w:rsidR="00FA0CF1" w:rsidP="004B0BBF" w:rsidRDefault="00FA0CF1" w14:paraId="16C50E11" w14:textId="77777777">
    <w:pPr>
      <w:pStyle w:val="DocID"/>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14C1C531" w14:textId="08404BDF">
    <w:pPr>
      <w:pStyle w:val="DocID"/>
    </w:pPr>
    <w:r w:rsidR="001D0B3D">
      <w:rPr>
        <w:b/>
        <w:bCs/>
      </w:rPr>
      <w:t>Error! Unknown document property name.</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34241BB4" w14:textId="71180AF1">
    <w:pPr>
      <w:pStyle w:val="DocID"/>
    </w:pPr>
    <w:r w:rsidR="001D0B3D">
      <w:rPr>
        <w:b/>
        <w:bCs/>
      </w:rPr>
      <w:t>Error! Unknown document property name.</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A0CF1" w:rsidR="00FA0CF1" w:rsidP="00B31A77" w:rsidRDefault="00194A31" w14:paraId="115F662C" w14:textId="534DB2EB">
    <w:pPr>
      <w:pStyle w:val="zGFooter"/>
      <w:tabs>
        <w:tab w:val="clear" w:pos="5040"/>
        <w:tab w:val="clear" w:pos="8630"/>
        <w:tab w:val="left" w:pos="4140"/>
        <w:tab w:val="center" w:pos="4590"/>
        <w:tab w:val="right" w:pos="9630"/>
      </w:tabs>
      <w:rPr>
        <w:noProof/>
      </w:rPr>
    </w:pPr>
    <w:sdt>
      <w:sdtPr>
        <w:id w:val="-762381810"/>
        <w:docPartObj>
          <w:docPartGallery w:val="Page Numbers (Bottom of Page)"/>
          <w:docPartUnique/>
        </w:docPartObj>
      </w:sdtPr>
      <w:sdtEndPr>
        <w:rPr>
          <w:noProof/>
        </w:rPr>
      </w:sdtEndPr>
      <w:sdtContent>
        <w:r w:rsidR="00DA59FD">
          <w:t>32</w:t>
        </w:r>
        <w:r w:rsidR="00B31A77">
          <w:t>-</w:t>
        </w:r>
        <w:r w:rsidR="00DA59FD">
          <w:t>33 All-Source</w:t>
        </w:r>
      </w:sdtContent>
    </w:sdt>
    <w:r w:rsidR="00DA59FD">
      <w:t xml:space="preserve"> RFP Standalone BESS / Paired Existing PPA</w:t>
    </w:r>
    <w:r w:rsidDel="00634C88" w:rsidR="00634C88">
      <w:t xml:space="preserve"> </w:t>
    </w:r>
    <w:r w:rsidR="008B55A2">
      <w:t xml:space="preserve"> </w:t>
    </w:r>
    <w:sdt>
      <w:sdtPr>
        <w:id w:val="57260835"/>
        <w:docPartObj>
          <w:docPartGallery w:val="Page Numbers (Bottom of Page)"/>
          <w:docPartUnique/>
        </w:docPartObj>
      </w:sdtPr>
      <w:sdtEndPr>
        <w:rPr>
          <w:noProof/>
        </w:rPr>
      </w:sdtEndPr>
      <w:sdtContent>
        <w:r w:rsidR="008B55A2">
          <w:tab/>
        </w:r>
        <w:r w:rsidR="00B31A77">
          <w:t xml:space="preserve">     </w:t>
        </w:r>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863034142"/>
        <w:docPartObj>
          <w:docPartGallery w:val="Page Numbers (Bottom of Page)"/>
          <w:docPartUnique/>
        </w:docPartObj>
      </w:sdtPr>
      <w:sdtEndPr>
        <w:rPr>
          <w:noProof/>
        </w:rPr>
      </w:sdtEndPr>
      <w:sdtContent>
        <w:r w:rsidR="008B55A2">
          <w:rPr>
            <w:noProof/>
          </w:rPr>
          <w:t>1</w:t>
        </w:r>
        <w:r w:rsidR="00EC1255">
          <w:rPr>
            <w:noProof/>
          </w:rPr>
          <w:t>22</w:t>
        </w:r>
      </w:sdtContent>
    </w:sdt>
    <w:sdt>
      <w:sdtPr>
        <w:id w:val="2122391175"/>
        <w:docPartObj>
          <w:docPartGallery w:val="Page Numbers (Bottom of Page)"/>
          <w:docPartUnique/>
        </w:docPartObj>
      </w:sdtPr>
      <w:sdtEndPr>
        <w:rPr>
          <w:noProof/>
        </w:rPr>
      </w:sdtEndPr>
      <w:sdtContent>
        <w:r w:rsidR="008B55A2">
          <w:rPr>
            <w:noProof/>
          </w:rPr>
          <w:tab/>
        </w:r>
        <w:r w:rsidR="008B55A2">
          <w:rPr>
            <w:noProof/>
            <w:szCs w:val="16"/>
          </w:rPr>
          <w:t xml:space="preserve">GPC </w:t>
        </w:r>
        <w:r w:rsidR="008B55A2">
          <w:rPr>
            <w:noProof/>
            <w:szCs w:val="16"/>
            <w:highlight w:val="yellow"/>
          </w:rPr>
          <w:t>(#FacilityName#)</w:t>
        </w:r>
      </w:sdtContent>
    </w:sdt>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2D9DDD44" w14:textId="705A98D8">
    <w:pPr>
      <w:pStyle w:val="DocID"/>
    </w:pPr>
    <w:r w:rsidR="001D0B3D">
      <w:rPr>
        <w:b/>
        <w:bCs/>
      </w:rPr>
      <w:t>Error! Unknown document property name.</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FA0CF1" w:rsidRDefault="008B55A2" w14:paraId="0AFDBE9F" w14:textId="5D22B38E">
    <w:pPr>
      <w:pStyle w:val="DocID"/>
    </w:pPr>
    <w:r w:rsidR="001D0B3D">
      <w:rPr>
        <w:b/>
        <w:bCs/>
      </w:rPr>
      <w:t>Error! Unknown document property name.</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A0CF1" w:rsidR="00FA0CF1" w:rsidP="00B31A77" w:rsidRDefault="00194A31" w14:paraId="42235DA9" w14:textId="505DB79E">
    <w:pPr>
      <w:pStyle w:val="zGFooter"/>
      <w:tabs>
        <w:tab w:val="clear" w:pos="5040"/>
        <w:tab w:val="clear" w:pos="8630"/>
        <w:tab w:val="left" w:pos="4140"/>
        <w:tab w:val="center" w:pos="4590"/>
        <w:tab w:val="right" w:pos="9630"/>
      </w:tabs>
      <w:rPr>
        <w:noProof/>
      </w:rPr>
    </w:pPr>
    <w:sdt>
      <w:sdtPr>
        <w:id w:val="1491982146"/>
        <w:docPartObj>
          <w:docPartGallery w:val="Page Numbers (Bottom of Page)"/>
          <w:docPartUnique/>
        </w:docPartObj>
      </w:sdtPr>
      <w:sdtEndPr>
        <w:rPr>
          <w:noProof/>
        </w:rPr>
      </w:sdtEndPr>
      <w:sdtContent>
        <w:r w:rsidR="00DA59FD">
          <w:t>32</w:t>
        </w:r>
        <w:r w:rsidR="009D34CB">
          <w:t>-</w:t>
        </w:r>
        <w:r w:rsidR="00DA59FD">
          <w:t>33 All-Source</w:t>
        </w:r>
      </w:sdtContent>
    </w:sdt>
    <w:r w:rsidR="00DA59FD">
      <w:t xml:space="preserve"> RFP Standalone / Paired Existing PPA</w:t>
    </w:r>
    <w:r w:rsidDel="00634C88" w:rsidR="00634C88">
      <w:t xml:space="preserve"> </w:t>
    </w:r>
    <w:r w:rsidR="008B55A2">
      <w:t xml:space="preserve"> </w:t>
    </w:r>
    <w:sdt>
      <w:sdtPr>
        <w:id w:val="848671059"/>
        <w:docPartObj>
          <w:docPartGallery w:val="Page Numbers (Bottom of Page)"/>
          <w:docPartUnique/>
        </w:docPartObj>
      </w:sdtPr>
      <w:sdtEndPr>
        <w:rPr>
          <w:noProof/>
        </w:rPr>
      </w:sdtEndPr>
      <w:sdtContent>
        <w:r w:rsidR="008B55A2">
          <w:tab/>
        </w:r>
        <w:r w:rsidR="008B55A2">
          <w:tab/>
          <w:t xml:space="preserve">Page </w:t>
        </w:r>
      </w:sdtContent>
    </w:sdt>
    <w:sdt>
      <w:sdtPr>
        <w:id w:val="513740124"/>
        <w:docPartObj>
          <w:docPartGallery w:val="Page Numbers (Bottom of Page)"/>
          <w:docPartUnique/>
        </w:docPartObj>
      </w:sdtPr>
      <w:sdtEndPr>
        <w:rPr>
          <w:noProof/>
        </w:rPr>
      </w:sdtEndPr>
      <w:sdtContent>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w:t>
        </w:r>
      </w:sdtContent>
    </w:sdt>
    <w:r w:rsidR="008B55A2">
      <w:t xml:space="preserve">of </w:t>
    </w:r>
    <w:sdt>
      <w:sdtPr>
        <w:id w:val="1783893134"/>
        <w:docPartObj>
          <w:docPartGallery w:val="Page Numbers (Bottom of Page)"/>
          <w:docPartUnique/>
        </w:docPartObj>
      </w:sdtPr>
      <w:sdtEndPr>
        <w:rPr>
          <w:noProof/>
        </w:rPr>
      </w:sdtEndPr>
      <w:sdtContent>
        <w:r w:rsidR="008B55A2">
          <w:rPr>
            <w:noProof/>
          </w:rPr>
          <w:t>1</w:t>
        </w:r>
        <w:r w:rsidR="00EC1255">
          <w:rPr>
            <w:noProof/>
          </w:rPr>
          <w:t>22</w:t>
        </w:r>
        <w:r w:rsidR="008B55A2">
          <w:rPr>
            <w:noProof/>
          </w:rPr>
          <w:tab/>
        </w:r>
        <w:r w:rsidR="008B55A2">
          <w:rPr>
            <w:noProof/>
            <w:szCs w:val="16"/>
          </w:rPr>
          <w:t xml:space="preserve">GPC </w:t>
        </w:r>
        <w:r w:rsidR="008B55A2">
          <w:rPr>
            <w:noProof/>
            <w:szCs w:val="16"/>
            <w:highlight w:val="yellow"/>
          </w:rPr>
          <w:t>(#FacilityName#)</w:t>
        </w:r>
      </w:sdtContent>
    </w:sdt>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FA0CF1" w:rsidRDefault="008B55A2" w14:paraId="53AE2D3E" w14:textId="672CC358">
    <w:pPr>
      <w:pStyle w:val="DocID"/>
    </w:pPr>
    <w:r w:rsidR="001D0B3D">
      <w:rPr>
        <w:b/>
        <w:bCs/>
      </w:rPr>
      <w:t>Error! Unknown document property name.</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5D61212C" w14:textId="2A2D6CC0">
    <w:pPr>
      <w:pStyle w:val="DocID"/>
    </w:pPr>
    <w:r w:rsidR="001D0B3D">
      <w:rPr>
        <w:b/>
        <w:bCs/>
      </w:rPr>
      <w:t>Error! Unknown document property name.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4A0A447A" w14:textId="6640CADC">
    <w:pPr>
      <w:pStyle w:val="DocID"/>
    </w:pPr>
    <w:r w:rsidR="001D0B3D">
      <w:rPr>
        <w:b/>
        <w:bCs/>
      </w:rPr>
      <w:t>Error! Unknown document property name.</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510C21" w:rsidRDefault="00194A31" w14:paraId="7912ACCA" w14:textId="5C7E3531">
    <w:pPr>
      <w:pStyle w:val="zGFooter"/>
      <w:tabs>
        <w:tab w:val="clear" w:pos="5040"/>
        <w:tab w:val="clear" w:pos="8630"/>
        <w:tab w:val="left" w:pos="4140"/>
        <w:tab w:val="center" w:pos="4590"/>
        <w:tab w:val="right" w:pos="9630"/>
      </w:tabs>
      <w:rPr>
        <w:noProof/>
      </w:rPr>
    </w:pPr>
    <w:sdt>
      <w:sdtPr>
        <w:id w:val="909278320"/>
        <w:docPartObj>
          <w:docPartGallery w:val="Page Numbers (Bottom of Page)"/>
          <w:docPartUnique/>
        </w:docPartObj>
      </w:sdtPr>
      <w:sdtEndPr>
        <w:rPr>
          <w:noProof/>
        </w:rPr>
      </w:sdtEndPr>
      <w:sdtContent>
        <w:r w:rsidR="00DA59FD">
          <w:t>32</w:t>
        </w:r>
        <w:r w:rsidR="00151D8B">
          <w:t>-</w:t>
        </w:r>
        <w:r w:rsidR="00DA59FD">
          <w:t>33 All-Source</w:t>
        </w:r>
      </w:sdtContent>
    </w:sdt>
    <w:r w:rsidR="00DA59FD">
      <w:t xml:space="preserve"> RFP Standalone / Paired Existing PPA</w:t>
    </w:r>
    <w:r w:rsidDel="00634C88" w:rsidR="00634C88">
      <w:t xml:space="preserve"> </w:t>
    </w:r>
    <w:sdt>
      <w:sdtPr>
        <w:id w:val="891012980"/>
        <w:docPartObj>
          <w:docPartGallery w:val="Page Numbers (Bottom of Page)"/>
          <w:docPartUnique/>
        </w:docPartObj>
      </w:sdtPr>
      <w:sdtEndPr>
        <w:rPr>
          <w:noProof/>
        </w:rPr>
      </w:sdtEndPr>
      <w:sdtContent>
        <w:r w:rsidR="008B55A2">
          <w:tab/>
        </w:r>
        <w:r w:rsidR="008B55A2">
          <w:tab/>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909602207"/>
        <w:docPartObj>
          <w:docPartGallery w:val="Page Numbers (Bottom of Page)"/>
          <w:docPartUnique/>
        </w:docPartObj>
      </w:sdtPr>
      <w:sdtEndPr>
        <w:rPr>
          <w:noProof/>
        </w:rPr>
      </w:sdtEndPr>
      <w:sdtContent>
        <w:r w:rsidR="008B55A2">
          <w:rPr>
            <w:noProof/>
          </w:rPr>
          <w:t>1</w:t>
        </w:r>
        <w:r w:rsidR="00EC1255">
          <w:rPr>
            <w:noProof/>
          </w:rPr>
          <w:t>22</w:t>
        </w:r>
      </w:sdtContent>
    </w:sdt>
    <w:sdt>
      <w:sdtPr>
        <w:id w:val="695782597"/>
        <w:docPartObj>
          <w:docPartGallery w:val="Page Numbers (Bottom of Page)"/>
          <w:docPartUnique/>
        </w:docPartObj>
      </w:sdtPr>
      <w:sdtEndPr>
        <w:rPr>
          <w:noProof/>
        </w:rPr>
      </w:sdtEndPr>
      <w:sdtContent>
        <w:r w:rsidR="008B55A2">
          <w:rPr>
            <w:noProof/>
          </w:rPr>
          <w:tab/>
        </w:r>
        <w:r w:rsidR="008B55A2">
          <w:rPr>
            <w:noProof/>
            <w:szCs w:val="16"/>
          </w:rPr>
          <w:t xml:space="preserve">GPC </w:t>
        </w:r>
        <w:r w:rsidR="008B55A2">
          <w:rPr>
            <w:noProof/>
            <w:szCs w:val="16"/>
            <w:highlight w:val="yellow"/>
          </w:rPr>
          <w:t>(#FacilityName#)</w:t>
        </w:r>
      </w:sdtContent>
    </w:sdt>
  </w:p>
  <w:p w:rsidRPr="00FA0CF1" w:rsidR="00FA0CF1" w:rsidP="004B0BBF" w:rsidRDefault="00FA0CF1" w14:paraId="5C7BA902" w14:textId="77777777">
    <w:pPr>
      <w:pStyle w:val="DocID"/>
    </w:pP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P="004B0BBF" w:rsidRDefault="008B55A2" w14:paraId="7F391354" w14:textId="017F2006">
    <w:pPr>
      <w:pStyle w:val="DocID"/>
    </w:pPr>
    <w:r w:rsidR="001D0B3D">
      <w:rPr>
        <w:b/>
        <w:bCs/>
      </w:rPr>
      <w:t>Error! Unknown document property name.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21FEC54E" w14:textId="60C0CACE">
    <w:pPr>
      <w:pStyle w:val="DocID"/>
    </w:pPr>
    <w:r w:rsidR="001D0B3D">
      <w:rPr>
        <w:b/>
        <w:bCs/>
      </w:rPr>
      <w:t>Error! Unknown document property name.</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P="004B0BBF" w:rsidRDefault="008B55A2" w14:paraId="35E24C88" w14:textId="7CA0F0B8">
    <w:pPr>
      <w:pStyle w:val="DocID"/>
    </w:pPr>
    <w:r w:rsidR="001D0B3D">
      <w:rPr>
        <w:b/>
        <w:bCs/>
      </w:rPr>
      <w:t>Error! Unknown document property name.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3DF5" w:rsidR="00FA0CF1" w:rsidP="004B0BBF" w:rsidRDefault="00194A31" w14:paraId="7B1BAD64" w14:textId="40F9B004">
    <w:pPr>
      <w:pStyle w:val="zGFooter"/>
      <w:tabs>
        <w:tab w:val="clear" w:pos="5040"/>
        <w:tab w:val="clear" w:pos="8630"/>
        <w:tab w:val="left" w:pos="4140"/>
        <w:tab w:val="center" w:pos="4590"/>
        <w:tab w:val="right" w:pos="9630"/>
      </w:tabs>
      <w:rPr>
        <w:noProof/>
        <w:szCs w:val="16"/>
      </w:rPr>
    </w:pPr>
    <w:sdt>
      <w:sdtPr>
        <w:id w:val="1216296658"/>
        <w:docPartObj>
          <w:docPartGallery w:val="Page Numbers (Bottom of Page)"/>
          <w:docPartUnique/>
        </w:docPartObj>
      </w:sdtPr>
      <w:sdtEndPr>
        <w:rPr>
          <w:noProof/>
        </w:rPr>
      </w:sdtEndPr>
      <w:sdtContent>
        <w:sdt>
          <w:sdtPr>
            <w:id w:val="-1010751910"/>
            <w:docPartObj>
              <w:docPartGallery w:val="Page Numbers (Bottom of Page)"/>
              <w:docPartUnique/>
            </w:docPartObj>
          </w:sdtPr>
          <w:sdtEndPr>
            <w:rPr>
              <w:noProof/>
            </w:rPr>
          </w:sdtEndPr>
          <w:sdtContent>
            <w:r w:rsidR="00DA59FD">
              <w:t>32</w:t>
            </w:r>
            <w:r w:rsidR="00434642">
              <w:t>-</w:t>
            </w:r>
            <w:r w:rsidR="00DA59FD">
              <w:t>33 All-Source</w:t>
            </w:r>
          </w:sdtContent>
        </w:sdt>
        <w:r w:rsidR="00DA59FD">
          <w:t xml:space="preserve"> RFP Standalone BESS / Paired Existing PPA</w:t>
        </w:r>
        <w:r w:rsidDel="00710365" w:rsidR="00710365">
          <w:t xml:space="preserve"> </w:t>
        </w:r>
      </w:sdtContent>
    </w:sdt>
    <w:r w:rsidR="008B55A2">
      <w:t xml:space="preserve"> </w:t>
    </w:r>
    <w:r w:rsidR="00434642">
      <w:t xml:space="preserve">    </w:t>
    </w:r>
    <w:sdt>
      <w:sdtPr>
        <w:id w:val="617864"/>
        <w:docPartObj>
          <w:docPartGallery w:val="Page Numbers (Bottom of Page)"/>
          <w:docPartUnique/>
        </w:docPartObj>
      </w:sdtPr>
      <w:sdtEndPr>
        <w:rPr>
          <w:noProof/>
        </w:rPr>
      </w:sdtEndPr>
      <w:sdtContent>
        <w:r w:rsidR="008B55A2">
          <w:t xml:space="preserve">Page </w:t>
        </w:r>
        <w:r w:rsidR="008B55A2">
          <w:fldChar w:fldCharType="begin"/>
        </w:r>
        <w:r w:rsidR="008B55A2">
          <w:instrText xml:space="preserve"> PAGE </w:instrText>
        </w:r>
        <w:r w:rsidR="008B55A2">
          <w:fldChar w:fldCharType="separate"/>
        </w:r>
        <w:r w:rsidR="008B55A2">
          <w:rPr>
            <w:noProof/>
          </w:rPr>
          <w:t>1</w:t>
        </w:r>
        <w:r w:rsidR="008B55A2">
          <w:fldChar w:fldCharType="end"/>
        </w:r>
        <w:r w:rsidR="008B55A2">
          <w:t xml:space="preserve"> of </w:t>
        </w:r>
      </w:sdtContent>
    </w:sdt>
    <w:sdt>
      <w:sdtPr>
        <w:id w:val="1733047664"/>
        <w:docPartObj>
          <w:docPartGallery w:val="Page Numbers (Bottom of Page)"/>
          <w:docPartUnique/>
        </w:docPartObj>
      </w:sdtPr>
      <w:sdtEndPr>
        <w:rPr>
          <w:noProof/>
        </w:rPr>
      </w:sdtEndPr>
      <w:sdtContent>
        <w:r w:rsidR="008B55A2">
          <w:rPr>
            <w:noProof/>
          </w:rPr>
          <w:t>1</w:t>
        </w:r>
        <w:r w:rsidR="00737047">
          <w:rPr>
            <w:noProof/>
          </w:rPr>
          <w:t>22</w:t>
        </w:r>
      </w:sdtContent>
    </w:sdt>
    <w:r w:rsidR="008B55A2">
      <w:rPr>
        <w:noProof/>
      </w:rPr>
      <w:tab/>
    </w:r>
    <w:r w:rsidR="008B55A2">
      <w:rPr>
        <w:noProof/>
        <w:szCs w:val="16"/>
      </w:rPr>
      <w:t xml:space="preserve">GPC </w:t>
    </w:r>
    <w:r w:rsidR="008B55A2">
      <w:rPr>
        <w:noProof/>
        <w:szCs w:val="16"/>
        <w:highlight w:val="yellow"/>
      </w:rPr>
      <w:t>(#FacilityName#)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94A31" w:rsidP="002D54C4" w:rsidRDefault="00194A31" w14:paraId="0CBAE742" w14:textId="77777777">
      <w:pPr>
        <w:spacing w:after="0"/>
      </w:pPr>
      <w:r>
        <w:separator/>
      </w:r>
    </w:p>
  </w:footnote>
  <w:footnote w:type="continuationSeparator" w:id="0">
    <w:p w:rsidR="00194A31" w:rsidP="002D54C4" w:rsidRDefault="00194A31" w14:paraId="22439F97" w14:textId="77777777">
      <w:pPr>
        <w:spacing w:after="0"/>
      </w:pPr>
      <w:r>
        <w:continuationSeparator/>
      </w:r>
    </w:p>
  </w:footnote>
  <w:footnote w:type="continuationNotice" w:id="1">
    <w:p w:rsidR="00194A31" w:rsidRDefault="00194A31" w14:paraId="2ADEDE2C" w14:textId="77777777">
      <w:pPr>
        <w:spacing w:after="0"/>
      </w:pPr>
    </w:p>
  </w:footnote>
  <w:footnote w:id="2">
    <w:p w:rsidRPr="00427EB0" w:rsidR="001C046A" w:rsidRDefault="008B55A2" w14:paraId="0BD71C8E" w14:textId="709D2105">
      <w:pPr>
        <w:pStyle w:val="FootnoteText"/>
        <w:rPr>
          <w:rFonts w:ascii="Arial" w:hAnsi="Arial" w:cs="Arial"/>
          <w:color w:val="FF0000"/>
        </w:rPr>
      </w:pPr>
      <w:r>
        <w:rPr>
          <w:rStyle w:val="FootnoteReference"/>
          <w:rFonts w:ascii="Arial" w:hAnsi="Arial" w:cs="Arial"/>
          <w:color w:val="FF0000"/>
        </w:rPr>
        <w:footnoteRef/>
      </w:r>
      <w:r>
        <w:rPr>
          <w:rFonts w:ascii="Arial" w:hAnsi="Arial" w:cs="Arial"/>
          <w:color w:val="FF0000"/>
        </w:rPr>
        <w:t xml:space="preserve"> Note to Bidders: Surplus Interconnection issues to be addressed</w:t>
      </w:r>
      <w:r w:rsidR="00BF0231">
        <w:rPr>
          <w:rFonts w:ascii="Arial" w:hAnsi="Arial" w:cs="Arial"/>
          <w:color w:val="FF0000"/>
        </w:rPr>
        <w:t>, if applicable</w:t>
      </w:r>
      <w:r>
        <w:rPr>
          <w:rFonts w:ascii="Arial" w:hAnsi="Arial" w:cs="Arial"/>
          <w:color w:val="FF0000"/>
        </w:rPr>
        <w:t>.</w:t>
      </w:r>
    </w:p>
  </w:footnote>
  <w:footnote w:id="3">
    <w:p w:rsidR="00981751" w:rsidRDefault="00981751" w14:paraId="41FDAF2C" w14:textId="2809AC75">
      <w:pPr>
        <w:pStyle w:val="FootnoteText"/>
      </w:pPr>
      <w:r w:rsidRPr="00011875">
        <w:rPr>
          <w:rStyle w:val="FootnoteReference"/>
          <w:rFonts w:ascii="Arial" w:hAnsi="Arial" w:cs="Arial"/>
        </w:rPr>
        <w:footnoteRef/>
      </w:r>
      <w:r w:rsidRPr="00011875">
        <w:rPr>
          <w:rFonts w:ascii="Arial" w:hAnsi="Arial" w:cs="Arial"/>
        </w:rPr>
        <w:t xml:space="preserve"> </w:t>
      </w:r>
      <w:r w:rsidRPr="00011875" w:rsidR="00011875">
        <w:rPr>
          <w:rFonts w:ascii="Arial" w:hAnsi="Arial" w:cs="Arial"/>
        </w:rPr>
        <w:t>[</w:t>
      </w:r>
      <w:r w:rsidRPr="00B41BCB" w:rsidR="00011875">
        <w:rPr>
          <w:rFonts w:ascii="Arial" w:hAnsi="Arial" w:cs="Arial"/>
          <w:b/>
          <w:bCs/>
          <w:highlight w:val="cyan"/>
          <w:u w:val="single"/>
        </w:rPr>
        <w:t>Note to Bidders</w:t>
      </w:r>
      <w:r w:rsidRPr="00B41BCB" w:rsidR="00011875">
        <w:rPr>
          <w:rFonts w:ascii="Arial" w:hAnsi="Arial" w:cs="Arial"/>
          <w:highlight w:val="cyan"/>
        </w:rPr>
        <w:t xml:space="preserve">: </w:t>
      </w:r>
      <w:r w:rsidR="00011875">
        <w:rPr>
          <w:rFonts w:ascii="Arial" w:hAnsi="Arial" w:cs="Arial"/>
          <w:highlight w:val="cyan"/>
        </w:rPr>
        <w:t>Table A-3 may include a</w:t>
      </w:r>
      <w:r w:rsidRPr="00B41BCB" w:rsidR="00011875">
        <w:rPr>
          <w:rFonts w:ascii="Arial" w:hAnsi="Arial" w:cs="Arial"/>
          <w:highlight w:val="cyan"/>
        </w:rPr>
        <w:t>ny applicable average annual state of charge limitation , so long as supporting OEM documentation that substantiates the proposed limitation is provided</w:t>
      </w:r>
      <w:r w:rsidRPr="00F26D5D" w:rsidR="00F26D5D">
        <w:rPr>
          <w:rFonts w:ascii="Arial" w:hAnsi="Arial" w:cs="Arial"/>
          <w:highlight w:val="cyan"/>
        </w:rPr>
        <w:t xml:space="preserve"> as part of the Bid</w:t>
      </w:r>
      <w:r w:rsidRPr="00BA5065" w:rsidR="00011875">
        <w:rPr>
          <w:rFonts w:ascii="Arial" w:hAnsi="Arial" w:cs="Arial"/>
        </w:rPr>
        <w:t>.]</w:t>
      </w:r>
    </w:p>
  </w:footnote>
  <w:footnote w:id="4">
    <w:p w:rsidRPr="007E58B3" w:rsidR="00D61E70" w:rsidP="00D61E70" w:rsidRDefault="008B55A2" w14:paraId="566F2D48" w14:textId="655EBAB5">
      <w:pPr>
        <w:pStyle w:val="FootnoteText"/>
        <w:spacing w:line="240" w:lineRule="auto"/>
        <w:jc w:val="both"/>
        <w:rPr>
          <w:rFonts w:ascii="Arial" w:hAnsi="Arial" w:cs="Arial"/>
          <w:sz w:val="20"/>
          <w:szCs w:val="20"/>
        </w:rPr>
      </w:pPr>
      <w:r>
        <w:rPr>
          <w:rStyle w:val="FootnoteReference"/>
          <w:rFonts w:ascii="Arial" w:hAnsi="Arial" w:cs="Arial"/>
          <w:sz w:val="20"/>
          <w:szCs w:val="20"/>
        </w:rPr>
        <w:footnoteRef/>
      </w:r>
      <w:r>
        <w:rPr>
          <w:rFonts w:ascii="Arial" w:hAnsi="Arial" w:cs="Arial"/>
          <w:sz w:val="20"/>
          <w:szCs w:val="20"/>
        </w:rPr>
        <w:t xml:space="preserve"> Without limiting any other PPA requirement, as a condition to achieving each Key Milestone on or before the Key Milestone Date, Seller must provide evidence satisfactory to GPC demonstrating that each Key Milestone was achieved by the Key Milestone Date, including the items described in this table. </w:t>
      </w:r>
    </w:p>
  </w:footnote>
  <w:footnote w:id="5">
    <w:p w:rsidRPr="00B24831" w:rsidR="002D54C4" w:rsidP="002D54C4" w:rsidRDefault="008B55A2" w14:paraId="0228F7C1" w14:textId="77777777">
      <w:pPr>
        <w:pStyle w:val="CommentText"/>
        <w:spacing w:line="0" w:lineRule="atLeast"/>
        <w:rPr>
          <w:rFonts w:ascii="Arial" w:hAnsi="Arial" w:cs="Arial"/>
          <w:sz w:val="20"/>
          <w:szCs w:val="20"/>
        </w:rPr>
      </w:pPr>
      <w:r>
        <w:rPr>
          <w:rStyle w:val="FootnoteReference"/>
          <w:rFonts w:ascii="Arial" w:hAnsi="Arial" w:cs="Arial"/>
          <w:sz w:val="20"/>
          <w:szCs w:val="20"/>
        </w:rPr>
        <w:footnoteRef/>
      </w:r>
      <w:r>
        <w:rPr>
          <w:rFonts w:ascii="Arial" w:hAnsi="Arial" w:cs="Arial"/>
          <w:sz w:val="20"/>
          <w:szCs w:val="20"/>
        </w:rPr>
        <w:t xml:space="preserve"> If Seller’s business structure does not designate an officer with this or a similar title, Seller must provide written documentation affirming the authority of the individual who attests to this certification.</w:t>
      </w:r>
    </w:p>
    <w:p w:rsidRPr="00B24831" w:rsidR="002D54C4" w:rsidP="002D54C4" w:rsidRDefault="002D54C4" w14:paraId="78B55D5C" w14:textId="77777777">
      <w:pPr>
        <w:pStyle w:val="FootnoteText"/>
        <w:rPr>
          <w:rFonts w:ascii="Arial" w:hAnsi="Arial" w:cs="Arial"/>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61EEF523" w14:textId="77777777">
    <w:pPr>
      <w:tabs>
        <w:tab w:val="right" w:pos="9360"/>
      </w:tabs>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43A0D154" w14:textId="657CE21F">
    <w:pPr>
      <w:pStyle w:val="zGNormal"/>
      <w:jc w:val="right"/>
      <w:rPr>
        <w:b/>
        <w:bCs/>
        <w:i/>
        <w:iCs/>
        <w:color w:val="FF0000"/>
      </w:rPr>
    </w:pPr>
    <w:r>
      <w:rPr>
        <w:b/>
        <w:bCs/>
        <w:i/>
        <w:iCs/>
        <w:color w:val="FF0000"/>
      </w:rPr>
      <w:t xml:space="preserve"> ESS 500 RFP</w:t>
    </w:r>
  </w:p>
  <w:p w:rsidR="00E449A7" w:rsidP="00E449A7" w:rsidRDefault="008B55A2" w14:paraId="79CBDD48" w14:textId="77777777">
    <w:pPr>
      <w:pStyle w:val="zGNormal"/>
      <w:jc w:val="right"/>
      <w:rPr>
        <w:b/>
        <w:bCs/>
        <w:i/>
        <w:iCs/>
        <w:color w:val="FF0000"/>
      </w:rPr>
    </w:pPr>
    <w:r>
      <w:rPr>
        <w:b/>
        <w:bCs/>
        <w:i/>
        <w:iCs/>
        <w:color w:val="FF0000"/>
      </w:rPr>
      <w:t>Pro Forma PPA</w:t>
    </w:r>
  </w:p>
  <w:p w:rsidRPr="00CE3A1B" w:rsidR="00E449A7" w:rsidP="00E449A7" w:rsidRDefault="008B55A2" w14:paraId="1CF51B01" w14:textId="77777777">
    <w:pPr>
      <w:pStyle w:val="zGNormal"/>
      <w:jc w:val="right"/>
    </w:pPr>
    <w:r>
      <w:rPr>
        <w:b/>
        <w:bCs/>
        <w:i/>
        <w:iCs/>
        <w:color w:val="FF0000"/>
      </w:rPr>
      <w:t>DRAFT 2025.04.25</w:t>
    </w:r>
  </w:p>
  <w:p w:rsidRPr="00CE3A1B" w:rsidR="00DF665C" w:rsidP="004B0BBF" w:rsidRDefault="00DF665C" w14:paraId="0219B4FB" w14:textId="77777777">
    <w:pPr>
      <w:pStyle w:val="zGNormal"/>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0DD0694E" w14:textId="7777777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54D4C165"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010C2AD8"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6E63A9A9" w14:textId="54677B1A">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FE32A1" w:rsidR="004F37E8" w:rsidP="004B0BBF" w:rsidRDefault="004F37E8" w14:paraId="7D5C4216" w14:textId="52C97B11">
    <w:pPr>
      <w:pStyle w:val="zGNormal"/>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0363F1C9" w14:textId="21515930">
    <w:pPr>
      <w:pStyle w:val="zGNormal"/>
      <w:jc w:val="right"/>
      <w:rPr>
        <w:b/>
        <w:bCs/>
        <w:i/>
        <w:iCs/>
        <w:color w:val="FF0000"/>
      </w:rPr>
    </w:pPr>
    <w:r>
      <w:rPr>
        <w:b/>
        <w:bCs/>
        <w:i/>
        <w:iCs/>
        <w:color w:val="FF0000"/>
      </w:rPr>
      <w:t xml:space="preserve"> ESS 500 RFP</w:t>
    </w:r>
  </w:p>
  <w:p w:rsidR="00E449A7" w:rsidP="00E449A7" w:rsidRDefault="008B55A2" w14:paraId="16A403C8" w14:textId="77777777">
    <w:pPr>
      <w:pStyle w:val="zGNormal"/>
      <w:jc w:val="right"/>
      <w:rPr>
        <w:b/>
        <w:bCs/>
        <w:i/>
        <w:iCs/>
        <w:color w:val="FF0000"/>
      </w:rPr>
    </w:pPr>
    <w:r>
      <w:rPr>
        <w:b/>
        <w:bCs/>
        <w:i/>
        <w:iCs/>
        <w:color w:val="FF0000"/>
      </w:rPr>
      <w:t>Pro Forma PPA</w:t>
    </w:r>
  </w:p>
  <w:p w:rsidRPr="00CE3A1B" w:rsidR="00E449A7" w:rsidP="00E449A7" w:rsidRDefault="008B55A2" w14:paraId="2D31D2E8" w14:textId="77777777">
    <w:pPr>
      <w:pStyle w:val="zGNormal"/>
      <w:jc w:val="right"/>
    </w:pPr>
    <w:r>
      <w:rPr>
        <w:b/>
        <w:bCs/>
        <w:i/>
        <w:iCs/>
        <w:color w:val="FF0000"/>
      </w:rPr>
      <w:t>DRAFT 2025.04.25</w:t>
    </w:r>
  </w:p>
  <w:p w:rsidRPr="00CE3A1B" w:rsidR="00DF665C" w:rsidP="004B0BBF" w:rsidRDefault="00DF665C" w14:paraId="6B74D5CC" w14:textId="77777777">
    <w:pPr>
      <w:pStyle w:val="zGNormal"/>
      <w:jc w:val="righ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4212AC2E" w14:textId="7777777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675AB81D"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1E5613D1"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2CE845D1" w14:textId="2D9283EA">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FE32A1" w:rsidR="004F37E8" w:rsidP="004B0BBF" w:rsidRDefault="004F37E8" w14:paraId="3131231A" w14:textId="2ED3625B">
    <w:pPr>
      <w:pStyle w:val="zGNormal"/>
      <w:jc w:val="righ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578D8D5F" w14:textId="3A10991A">
    <w:pPr>
      <w:pStyle w:val="zGNormal"/>
      <w:jc w:val="right"/>
      <w:rPr>
        <w:b/>
        <w:bCs/>
        <w:i/>
        <w:iCs/>
        <w:color w:val="FF0000"/>
      </w:rPr>
    </w:pPr>
    <w:r>
      <w:rPr>
        <w:b/>
        <w:bCs/>
        <w:i/>
        <w:iCs/>
        <w:color w:val="FF0000"/>
      </w:rPr>
      <w:t xml:space="preserve"> ESS 500 RFP</w:t>
    </w:r>
  </w:p>
  <w:p w:rsidR="00E449A7" w:rsidP="00E449A7" w:rsidRDefault="008B55A2" w14:paraId="6E9C9CE5" w14:textId="77777777">
    <w:pPr>
      <w:pStyle w:val="zGNormal"/>
      <w:jc w:val="right"/>
      <w:rPr>
        <w:b/>
        <w:bCs/>
        <w:i/>
        <w:iCs/>
        <w:color w:val="FF0000"/>
      </w:rPr>
    </w:pPr>
    <w:r>
      <w:rPr>
        <w:b/>
        <w:bCs/>
        <w:i/>
        <w:iCs/>
        <w:color w:val="FF0000"/>
      </w:rPr>
      <w:t>Pro Forma PPA</w:t>
    </w:r>
  </w:p>
  <w:p w:rsidRPr="00CE3A1B" w:rsidR="00E449A7" w:rsidP="00E449A7" w:rsidRDefault="008B55A2" w14:paraId="093BF1B5" w14:textId="77777777">
    <w:pPr>
      <w:pStyle w:val="zGNormal"/>
      <w:jc w:val="right"/>
    </w:pPr>
    <w:r>
      <w:rPr>
        <w:b/>
        <w:bCs/>
        <w:i/>
        <w:iCs/>
        <w:color w:val="FF0000"/>
      </w:rPr>
      <w:t>DRAFT 2025.04.25</w:t>
    </w:r>
  </w:p>
  <w:p w:rsidRPr="00CE3A1B" w:rsidR="00DF665C" w:rsidP="004B0BBF" w:rsidRDefault="00DF665C" w14:paraId="5BB4719D" w14:textId="77777777">
    <w:pPr>
      <w:pStyle w:val="zGNormal"/>
      <w:jc w:val="righ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3FF1C979" w14:textId="7777777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1A940EBF"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3D066378"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0491F085" w14:textId="0AE942A4">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FE32A1" w:rsidR="004F37E8" w:rsidP="004B0BBF" w:rsidRDefault="004F37E8" w14:paraId="7F4EA7C7" w14:textId="6176F6DE">
    <w:pPr>
      <w:pStyle w:val="zGNormal"/>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4FC4AAB7" w14:textId="3FE3F8FB">
    <w:pPr>
      <w:pStyle w:val="zGNormal"/>
      <w:jc w:val="right"/>
      <w:rPr>
        <w:b/>
        <w:bCs/>
        <w:i/>
        <w:iCs/>
        <w:color w:val="FF0000"/>
      </w:rPr>
    </w:pPr>
    <w:r>
      <w:rPr>
        <w:b/>
        <w:bCs/>
        <w:i/>
        <w:iCs/>
        <w:color w:val="FF0000"/>
      </w:rPr>
      <w:t xml:space="preserve"> ESS 500 RFP</w:t>
    </w:r>
  </w:p>
  <w:p w:rsidR="00E449A7" w:rsidP="00E449A7" w:rsidRDefault="008B55A2" w14:paraId="1A2FB8CD" w14:textId="77777777">
    <w:pPr>
      <w:pStyle w:val="zGNormal"/>
      <w:jc w:val="right"/>
      <w:rPr>
        <w:b/>
        <w:bCs/>
        <w:i/>
        <w:iCs/>
        <w:color w:val="FF0000"/>
      </w:rPr>
    </w:pPr>
    <w:r>
      <w:rPr>
        <w:b/>
        <w:bCs/>
        <w:i/>
        <w:iCs/>
        <w:color w:val="FF0000"/>
      </w:rPr>
      <w:t>Pro Forma PPA</w:t>
    </w:r>
  </w:p>
  <w:p w:rsidRPr="00CE3A1B" w:rsidR="00E449A7" w:rsidP="00E449A7" w:rsidRDefault="008B55A2" w14:paraId="33D15F4C" w14:textId="77777777">
    <w:pPr>
      <w:pStyle w:val="zGNormal"/>
      <w:jc w:val="right"/>
    </w:pPr>
    <w:r>
      <w:rPr>
        <w:b/>
        <w:bCs/>
        <w:i/>
        <w:iCs/>
        <w:color w:val="FF0000"/>
      </w:rPr>
      <w:t>DRAFT 2025.04.25</w:t>
    </w:r>
  </w:p>
  <w:p w:rsidRPr="00CE3A1B" w:rsidR="00DF665C" w:rsidP="004B0BBF" w:rsidRDefault="00DF665C" w14:paraId="0241C3C0" w14:textId="77777777">
    <w:pPr>
      <w:pStyle w:val="zGNormal"/>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7AD9320D"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79620C23" w14:textId="77777777">
    <w:pPr>
      <w:pStyle w:val="zGNormal"/>
      <w:jc w:val="right"/>
      <w:rPr>
        <w:b/>
        <w:bCs/>
        <w:i/>
        <w:iCs/>
        <w:color w:val="FF0000"/>
      </w:rPr>
    </w:pPr>
    <w:r>
      <w:rPr>
        <w:b/>
        <w:bCs/>
        <w:i/>
        <w:iCs/>
        <w:color w:val="FF0000"/>
      </w:rPr>
      <w:t>Pro Forma PPA (Standalone + Paired Existing RR)</w:t>
    </w:r>
  </w:p>
  <w:p w:rsidRPr="003F5FFF" w:rsidR="0075633C" w:rsidP="0075633C" w:rsidRDefault="009C2D82" w14:paraId="7259B843" w14:textId="32718BEF">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F837A1" w:rsidR="004F37E8" w:rsidP="004B0BBF" w:rsidRDefault="004F37E8" w14:paraId="38CCDC9B" w14:textId="4E21E101">
    <w:pPr>
      <w:pStyle w:val="zGNormal"/>
      <w:jc w:val="righ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23682E32" w14:textId="7777777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4ADF" w:rsidP="00874ADF" w:rsidRDefault="008B55A2" w14:paraId="7AB6E269" w14:textId="77777777">
    <w:pPr>
      <w:keepLines/>
      <w:tabs>
        <w:tab w:val="center" w:pos="4320"/>
        <w:tab w:val="left" w:pos="8360"/>
      </w:tabs>
      <w:spacing w:after="0" w:line="240" w:lineRule="auto"/>
      <w:jc w:val="right"/>
      <w:rPr>
        <w:rFonts w:ascii="Arial" w:hAnsi="Arial" w:cs="Arial"/>
        <w:b/>
        <w:i/>
        <w:color w:val="FF0000"/>
        <w:sz w:val="20"/>
        <w:szCs w:val="20"/>
      </w:rPr>
    </w:pPr>
    <w:r>
      <w:rPr>
        <w:rFonts w:ascii="Arial" w:hAnsi="Arial" w:cs="Arial"/>
        <w:b/>
        <w:i/>
        <w:color w:val="FF0000"/>
        <w:sz w:val="20"/>
        <w:szCs w:val="20"/>
      </w:rPr>
      <w:t>2029</w:t>
    </w:r>
    <w:r>
      <w:rPr>
        <w:rFonts w:ascii="Arial" w:hAnsi="Arial" w:cs="Arial"/>
        <w:color w:val="FF0000"/>
        <w:sz w:val="20"/>
        <w:szCs w:val="20"/>
      </w:rPr>
      <w:t>–</w:t>
    </w:r>
    <w:r>
      <w:rPr>
        <w:rFonts w:ascii="Arial" w:hAnsi="Arial" w:cs="Arial"/>
        <w:b/>
        <w:i/>
        <w:color w:val="FF0000"/>
        <w:sz w:val="20"/>
        <w:szCs w:val="20"/>
      </w:rPr>
      <w:t>2031 All-Source Capacity RFP</w:t>
    </w:r>
  </w:p>
  <w:p w:rsidR="00874ADF" w:rsidP="00874ADF" w:rsidRDefault="008B55A2" w14:paraId="5518C304" w14:textId="77777777">
    <w:pPr>
      <w:keepLines/>
      <w:tabs>
        <w:tab w:val="center" w:pos="4320"/>
        <w:tab w:val="left" w:pos="8360"/>
      </w:tabs>
      <w:spacing w:after="0" w:line="240" w:lineRule="auto"/>
      <w:jc w:val="right"/>
      <w:rPr>
        <w:rFonts w:ascii="Arial" w:hAnsi="Arial" w:cs="Arial"/>
        <w:b/>
        <w:i/>
        <w:color w:val="FF0000"/>
        <w:sz w:val="20"/>
        <w:szCs w:val="20"/>
      </w:rPr>
    </w:pPr>
    <w:r>
      <w:rPr>
        <w:rFonts w:ascii="Arial" w:hAnsi="Arial" w:cs="Arial"/>
        <w:b/>
        <w:i/>
        <w:color w:val="FF0000"/>
        <w:sz w:val="20"/>
        <w:szCs w:val="20"/>
      </w:rPr>
      <w:t>Pro Forma PPA (Standalone ESS)</w:t>
    </w:r>
  </w:p>
  <w:p w:rsidRPr="00C16D85" w:rsidR="00B67989" w:rsidP="00C16D85" w:rsidRDefault="008B55A2" w14:paraId="31FE4772" w14:textId="77777777">
    <w:pPr>
      <w:keepLines/>
      <w:tabs>
        <w:tab w:val="center" w:pos="4320"/>
        <w:tab w:val="left" w:pos="8360"/>
      </w:tabs>
      <w:spacing w:after="0" w:line="240" w:lineRule="auto"/>
      <w:jc w:val="right"/>
      <w:rPr>
        <w:rFonts w:ascii="Arial" w:hAnsi="Arial" w:cs="Arial"/>
        <w:b/>
        <w:i/>
        <w:color w:val="FF0000"/>
        <w:sz w:val="20"/>
        <w:szCs w:val="20"/>
      </w:rPr>
    </w:pPr>
    <w:r>
      <w:rPr>
        <w:rFonts w:ascii="Arial" w:hAnsi="Arial" w:cs="Arial"/>
        <w:b/>
        <w:i/>
        <w:color w:val="FF0000"/>
        <w:sz w:val="20"/>
        <w:szCs w:val="20"/>
      </w:rPr>
      <w:t>March 8, 2024, Public Comment Period</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0058B023" w14:textId="1E68736A">
    <w:pPr>
      <w:pStyle w:val="zGNormal"/>
      <w:jc w:val="right"/>
      <w:rPr>
        <w:b/>
        <w:bCs/>
        <w:i/>
        <w:iCs/>
        <w:color w:val="FF0000"/>
      </w:rPr>
    </w:pPr>
    <w:r>
      <w:rPr>
        <w:b/>
        <w:bCs/>
        <w:i/>
        <w:iCs/>
        <w:color w:val="FF0000"/>
      </w:rPr>
      <w:t xml:space="preserve"> ESS 500 RFP</w:t>
    </w:r>
  </w:p>
  <w:p w:rsidR="00E449A7" w:rsidP="00E449A7" w:rsidRDefault="008B55A2" w14:paraId="2BD1EF8F" w14:textId="77777777">
    <w:pPr>
      <w:pStyle w:val="zGNormal"/>
      <w:jc w:val="right"/>
      <w:rPr>
        <w:b/>
        <w:bCs/>
        <w:i/>
        <w:iCs/>
        <w:color w:val="FF0000"/>
      </w:rPr>
    </w:pPr>
    <w:r>
      <w:rPr>
        <w:b/>
        <w:bCs/>
        <w:i/>
        <w:iCs/>
        <w:color w:val="FF0000"/>
      </w:rPr>
      <w:t>Pro Forma PPA</w:t>
    </w:r>
  </w:p>
  <w:p w:rsidRPr="00CE3A1B" w:rsidR="00E449A7" w:rsidP="00E449A7" w:rsidRDefault="008B55A2" w14:paraId="2FE013E5" w14:textId="77777777">
    <w:pPr>
      <w:pStyle w:val="zGNormal"/>
      <w:jc w:val="right"/>
    </w:pPr>
    <w:r>
      <w:rPr>
        <w:b/>
        <w:bCs/>
        <w:i/>
        <w:iCs/>
        <w:color w:val="FF0000"/>
      </w:rPr>
      <w:t>DRAFT 2025.04.25</w:t>
    </w:r>
  </w:p>
  <w:p w:rsidRPr="00CE3A1B" w:rsidR="00DF665C" w:rsidP="004B0BBF" w:rsidRDefault="00DF665C" w14:paraId="426814F4" w14:textId="77777777">
    <w:pPr>
      <w:pStyle w:val="zGNormal"/>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3E0D0E9F" w14:textId="7777777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02F2F5A8"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3DC6D452"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1594CE11" w14:textId="6E5B5C5C">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7078091F" w14:textId="1E84A72B">
    <w:pPr>
      <w:pStyle w:val="zGNormal"/>
      <w:jc w:val="righ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714ADE4E" w14:textId="0B425A44">
    <w:pPr>
      <w:pStyle w:val="zGNormal"/>
      <w:jc w:val="right"/>
      <w:rPr>
        <w:b/>
        <w:bCs/>
        <w:i/>
        <w:iCs/>
        <w:color w:val="FF0000"/>
      </w:rPr>
    </w:pPr>
    <w:r>
      <w:rPr>
        <w:b/>
        <w:bCs/>
        <w:i/>
        <w:iCs/>
        <w:color w:val="FF0000"/>
      </w:rPr>
      <w:t xml:space="preserve"> ESS 500 RFP</w:t>
    </w:r>
  </w:p>
  <w:p w:rsidR="00E449A7" w:rsidP="00E449A7" w:rsidRDefault="008B55A2" w14:paraId="7801C839" w14:textId="77777777">
    <w:pPr>
      <w:pStyle w:val="zGNormal"/>
      <w:jc w:val="right"/>
      <w:rPr>
        <w:b/>
        <w:bCs/>
        <w:i/>
        <w:iCs/>
        <w:color w:val="FF0000"/>
      </w:rPr>
    </w:pPr>
    <w:r>
      <w:rPr>
        <w:b/>
        <w:bCs/>
        <w:i/>
        <w:iCs/>
        <w:color w:val="FF0000"/>
      </w:rPr>
      <w:t>Pro Forma PPA</w:t>
    </w:r>
  </w:p>
  <w:p w:rsidRPr="00CE3A1B" w:rsidR="00E449A7" w:rsidP="00E449A7" w:rsidRDefault="008B55A2" w14:paraId="776B29D7" w14:textId="77777777">
    <w:pPr>
      <w:pStyle w:val="zGNormal"/>
      <w:jc w:val="right"/>
    </w:pPr>
    <w:r>
      <w:rPr>
        <w:b/>
        <w:bCs/>
        <w:i/>
        <w:iCs/>
        <w:color w:val="FF0000"/>
      </w:rPr>
      <w:t>DRAFT 2025.04.25</w:t>
    </w:r>
  </w:p>
  <w:p w:rsidRPr="00CE3A1B" w:rsidR="00DF665C" w:rsidP="004B0BBF" w:rsidRDefault="00DF665C" w14:paraId="6531161D" w14:textId="77777777">
    <w:pPr>
      <w:pStyle w:val="zGNormal"/>
      <w:jc w:val="righ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409391F9" w14:textId="77777777">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41F6F842"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3A9EC688"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4C76D0BE" w14:textId="41F3D02C">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17A29858" w14:textId="7962901E">
    <w:pPr>
      <w:pStyle w:val="zGNormal"/>
      <w:jc w:val="righ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7808C429" w14:textId="5B58358F">
    <w:pPr>
      <w:pStyle w:val="zGNormal"/>
      <w:jc w:val="right"/>
      <w:rPr>
        <w:b/>
        <w:bCs/>
        <w:i/>
        <w:iCs/>
        <w:color w:val="FF0000"/>
      </w:rPr>
    </w:pPr>
    <w:r>
      <w:rPr>
        <w:b/>
        <w:bCs/>
        <w:i/>
        <w:iCs/>
        <w:color w:val="FF0000"/>
      </w:rPr>
      <w:t xml:space="preserve"> ESS 500 RFP</w:t>
    </w:r>
  </w:p>
  <w:p w:rsidR="00E449A7" w:rsidP="00E449A7" w:rsidRDefault="008B55A2" w14:paraId="3B0AB1FC" w14:textId="77777777">
    <w:pPr>
      <w:pStyle w:val="zGNormal"/>
      <w:jc w:val="right"/>
      <w:rPr>
        <w:b/>
        <w:bCs/>
        <w:i/>
        <w:iCs/>
        <w:color w:val="FF0000"/>
      </w:rPr>
    </w:pPr>
    <w:r>
      <w:rPr>
        <w:b/>
        <w:bCs/>
        <w:i/>
        <w:iCs/>
        <w:color w:val="FF0000"/>
      </w:rPr>
      <w:t>Pro Forma PPA</w:t>
    </w:r>
  </w:p>
  <w:p w:rsidRPr="00CE3A1B" w:rsidR="00E449A7" w:rsidP="00E449A7" w:rsidRDefault="008B55A2" w14:paraId="245AF4A7" w14:textId="77777777">
    <w:pPr>
      <w:pStyle w:val="zGNormal"/>
      <w:jc w:val="right"/>
    </w:pPr>
    <w:r>
      <w:rPr>
        <w:b/>
        <w:bCs/>
        <w:i/>
        <w:iCs/>
        <w:color w:val="FF0000"/>
      </w:rPr>
      <w:t>DRAFT 2025.04.25</w:t>
    </w:r>
  </w:p>
  <w:p w:rsidRPr="00CE3A1B" w:rsidR="00DF665C" w:rsidP="004B0BBF" w:rsidRDefault="00DF665C" w14:paraId="506877EB" w14:textId="77777777">
    <w:pPr>
      <w:pStyle w:val="zGNormal"/>
      <w:jc w:val="righ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7AAB74D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68F82DFD" w14:textId="70924E1B">
    <w:pPr>
      <w:pStyle w:val="zGNormal"/>
      <w:jc w:val="right"/>
      <w:rPr>
        <w:b/>
        <w:bCs/>
        <w:i/>
        <w:iCs/>
        <w:color w:val="FF0000"/>
      </w:rPr>
    </w:pPr>
    <w:r>
      <w:rPr>
        <w:b/>
        <w:bCs/>
        <w:i/>
        <w:iCs/>
        <w:color w:val="FF0000"/>
      </w:rPr>
      <w:t xml:space="preserve"> </w:t>
    </w: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140920F3" w14:textId="77777777">
    <w:pPr>
      <w:pStyle w:val="zGNormal"/>
      <w:jc w:val="right"/>
      <w:rPr>
        <w:b/>
        <w:bCs/>
        <w:i/>
        <w:iCs/>
        <w:color w:val="FF0000"/>
      </w:rPr>
    </w:pPr>
    <w:r>
      <w:rPr>
        <w:b/>
        <w:bCs/>
        <w:i/>
        <w:iCs/>
        <w:color w:val="FF0000"/>
      </w:rPr>
      <w:t>Pro Forma PPA (Standalone + Paired Existing RR)</w:t>
    </w:r>
  </w:p>
  <w:p w:rsidRPr="00990CD9" w:rsidR="00DF665C" w:rsidP="00990CD9" w:rsidRDefault="00787DEC" w14:paraId="6E2AFB78" w14:textId="3CC8C149">
    <w:pPr>
      <w:keepLines/>
      <w:tabs>
        <w:tab w:val="center" w:pos="4320"/>
        <w:tab w:val="left" w:pos="8360"/>
      </w:tabs>
      <w:spacing w:after="40"/>
      <w:jc w:val="right"/>
      <w:rPr>
        <w:rFonts w:ascii="Arial" w:hAnsi="Arial" w:cs="Arial"/>
        <w:sz w:val="20"/>
        <w:szCs w:val="20"/>
      </w:rPr>
    </w:pPr>
    <w:r>
      <w:rPr>
        <w:b/>
        <w:bCs/>
        <w:i/>
        <w:iCs/>
        <w:color w:val="FF0000"/>
      </w:rPr>
      <w:t>Filing Draft</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40466EBC"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6912F3BE"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5AB11624" w14:textId="5D26846B">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0344A8B1" w14:textId="2B8A5A7A">
    <w:pPr>
      <w:pStyle w:val="zGNormal"/>
      <w:jc w:val="righ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207A9F1A" w14:textId="3BCDE2FD">
    <w:pPr>
      <w:pStyle w:val="zGNormal"/>
      <w:jc w:val="right"/>
      <w:rPr>
        <w:b/>
        <w:bCs/>
        <w:i/>
        <w:iCs/>
        <w:color w:val="FF0000"/>
      </w:rPr>
    </w:pPr>
    <w:r>
      <w:rPr>
        <w:b/>
        <w:bCs/>
        <w:i/>
        <w:iCs/>
        <w:color w:val="FF0000"/>
      </w:rPr>
      <w:t xml:space="preserve"> ESS 500 RFP</w:t>
    </w:r>
  </w:p>
  <w:p w:rsidR="00E449A7" w:rsidP="00E449A7" w:rsidRDefault="008B55A2" w14:paraId="0FF57876" w14:textId="77777777">
    <w:pPr>
      <w:pStyle w:val="zGNormal"/>
      <w:jc w:val="right"/>
      <w:rPr>
        <w:b/>
        <w:bCs/>
        <w:i/>
        <w:iCs/>
        <w:color w:val="FF0000"/>
      </w:rPr>
    </w:pPr>
    <w:r>
      <w:rPr>
        <w:b/>
        <w:bCs/>
        <w:i/>
        <w:iCs/>
        <w:color w:val="FF0000"/>
      </w:rPr>
      <w:t>Pro Forma PPA</w:t>
    </w:r>
  </w:p>
  <w:p w:rsidRPr="00CE3A1B" w:rsidR="00E449A7" w:rsidP="00E449A7" w:rsidRDefault="008B55A2" w14:paraId="571AFC24" w14:textId="77777777">
    <w:pPr>
      <w:pStyle w:val="zGNormal"/>
      <w:jc w:val="right"/>
    </w:pPr>
    <w:r>
      <w:rPr>
        <w:b/>
        <w:bCs/>
        <w:i/>
        <w:iCs/>
        <w:color w:val="FF0000"/>
      </w:rPr>
      <w:t>DRAFT 2025.04.25</w:t>
    </w:r>
  </w:p>
  <w:p w:rsidRPr="00CE3A1B" w:rsidR="00DF665C" w:rsidP="004B0BBF" w:rsidRDefault="00DF665C" w14:paraId="4147D089" w14:textId="77777777">
    <w:pPr>
      <w:pStyle w:val="zGNormal"/>
      <w:jc w:val="right"/>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722" w:rsidRDefault="002B3722" w14:paraId="57384DE8" w14:textId="77777777">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F1F95" w:rsidR="00531D70" w:rsidP="00CA1FF0" w:rsidRDefault="00531D70" w14:paraId="48B79063" w14:textId="14D0FD63">
    <w:pPr>
      <w:pStyle w:val="zGNormal"/>
      <w:jc w:val="right"/>
    </w:pPr>
    <w:r w:rsidRPr="00793D79">
      <w:rPr>
        <w:b/>
        <w:bCs/>
        <w:i/>
        <w:iCs/>
        <w:color w:val="FF0000"/>
      </w:rPr>
      <w:t>32</w:t>
    </w:r>
    <w:r>
      <w:rPr>
        <w:b/>
        <w:bCs/>
        <w:i/>
        <w:iCs/>
        <w:color w:val="FF0000"/>
      </w:rPr>
      <w:t>-</w:t>
    </w:r>
    <w:r w:rsidRPr="00793D79">
      <w:rPr>
        <w:b/>
        <w:bCs/>
        <w:i/>
        <w:iCs/>
        <w:color w:val="FF0000"/>
      </w:rPr>
      <w:t xml:space="preserve">33 </w:t>
    </w:r>
    <w:r w:rsidRPr="00CA1FF0">
      <w:rPr>
        <w:b/>
        <w:i/>
        <w:color w:val="FF0000"/>
      </w:rPr>
      <w:t>All-Source RFP</w:t>
    </w:r>
  </w:p>
  <w:p w:rsidRPr="00CA1FF0" w:rsidR="00531D70" w:rsidP="00CA1FF0" w:rsidRDefault="00531D70" w14:paraId="452B0D5E" w14:textId="30958ADE">
    <w:pPr>
      <w:pStyle w:val="zGNormal"/>
      <w:jc w:val="right"/>
    </w:pPr>
    <w:r w:rsidRPr="00CA1FF0">
      <w:rPr>
        <w:b/>
        <w:i/>
        <w:color w:val="FF0000"/>
      </w:rPr>
      <w:t xml:space="preserve">Pro Forma PPA (Standalone </w:t>
    </w:r>
    <w:r>
      <w:rPr>
        <w:b/>
        <w:bCs/>
        <w:i/>
        <w:iCs/>
        <w:color w:val="FF0000"/>
      </w:rPr>
      <w:t>+ Paired Existing RR</w:t>
    </w:r>
    <w:r w:rsidRPr="00CA1FF0">
      <w:rPr>
        <w:b/>
        <w:i/>
        <w:color w:val="FF0000"/>
      </w:rPr>
      <w:t>)</w:t>
    </w:r>
  </w:p>
  <w:p w:rsidR="002B3722" w:rsidP="00AD1FAC" w:rsidRDefault="006B105A" w14:paraId="2611A3B6" w14:textId="1F6EEF2D">
    <w:pPr>
      <w:jc w:val="right"/>
    </w:pPr>
    <w:r>
      <w:rPr>
        <w:rFonts w:ascii="Arial" w:hAnsi="Arial" w:cs="Arial"/>
        <w:b/>
        <w:i/>
        <w:color w:val="EE0000"/>
        <w:sz w:val="20"/>
        <w:szCs w:val="20"/>
      </w:rPr>
      <w:t>Filing Draft</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722" w:rsidRDefault="002B3722" w14:paraId="7F370944" w14:textId="77777777">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RDefault="00EC17B6" w14:paraId="00339D4C" w14:textId="77777777">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3A7F1393"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381EC911"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207439AF" w14:textId="6F559A9B">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0941B5F6" w14:textId="5002997B">
    <w:pPr>
      <w:pStyle w:val="zGNormal"/>
      <w:jc w:val="right"/>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5E81" w:rsidR="00EC17B6" w:rsidP="004B0BBF" w:rsidRDefault="008B55A2" w14:paraId="6ED0FAE8" w14:textId="77777777">
    <w:pPr>
      <w:jc w:val="right"/>
      <w:rPr>
        <w:sz w:val="18"/>
        <w:szCs w:val="18"/>
      </w:rPr>
    </w:pPr>
    <w:r>
      <w:rPr>
        <w:sz w:val="18"/>
        <w:szCs w:val="18"/>
      </w:rPr>
      <w:t>CARES 2023 RFP for Utility Scale Renewable Generation</w:t>
    </w:r>
  </w:p>
  <w:p w:rsidRPr="0006058F" w:rsidR="00EC17B6" w:rsidP="004B0BBF" w:rsidRDefault="008B55A2" w14:paraId="62368FD0" w14:textId="77777777">
    <w:pPr>
      <w:jc w:val="right"/>
      <w:rPr>
        <w:sz w:val="24"/>
      </w:rPr>
    </w:pPr>
    <w:r>
      <w:rPr>
        <w:sz w:val="18"/>
        <w:szCs w:val="18"/>
      </w:rPr>
      <w:t>GPC Draft – October 13, 2022</w:t>
    </w:r>
  </w:p>
  <w:p w:rsidR="00EC17B6" w:rsidRDefault="00EC17B6" w14:paraId="62381060" w14:textId="77777777">
    <w:pPr>
      <w:tabs>
        <w:tab w:val="right" w:pos="9360"/>
      </w:tabs>
      <w:jc w:val="right"/>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RDefault="00EC17B6" w14:paraId="0664C1DF" w14:textId="77777777">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5FD03D32"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52C88CFE"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46C02D76" w14:textId="17AF49F6">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1A5C5F1A" w14:textId="58BA07AE">
    <w:pPr>
      <w:pStyle w:val="zGNormal"/>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5786DB7A" w14:textId="77777777">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5E81" w:rsidR="00EC17B6" w:rsidP="004B0BBF" w:rsidRDefault="008B55A2" w14:paraId="4A4C3407" w14:textId="77777777">
    <w:pPr>
      <w:jc w:val="right"/>
      <w:rPr>
        <w:sz w:val="18"/>
        <w:szCs w:val="18"/>
      </w:rPr>
    </w:pPr>
    <w:r>
      <w:rPr>
        <w:sz w:val="18"/>
        <w:szCs w:val="18"/>
      </w:rPr>
      <w:t>CARES 2023 RFP for Utility Scale Renewable Generation</w:t>
    </w:r>
  </w:p>
  <w:p w:rsidRPr="0006058F" w:rsidR="00EC17B6" w:rsidP="004B0BBF" w:rsidRDefault="008B55A2" w14:paraId="6874CD01" w14:textId="77777777">
    <w:pPr>
      <w:jc w:val="right"/>
      <w:rPr>
        <w:sz w:val="24"/>
      </w:rPr>
    </w:pPr>
    <w:r>
      <w:rPr>
        <w:sz w:val="18"/>
        <w:szCs w:val="18"/>
      </w:rPr>
      <w:t>GPC Draft – October 13, 2022</w:t>
    </w:r>
  </w:p>
  <w:p w:rsidR="00EC17B6" w:rsidRDefault="00EC17B6" w14:paraId="63E97EBF" w14:textId="77777777">
    <w:pPr>
      <w:tabs>
        <w:tab w:val="right" w:pos="9360"/>
      </w:tabs>
      <w:jc w:val="right"/>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RDefault="00EC17B6" w14:paraId="2CB26F9C" w14:textId="77777777">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52A67F37"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586B319A" w14:textId="77777777">
    <w:pPr>
      <w:pStyle w:val="zGNormal"/>
      <w:jc w:val="right"/>
      <w:rPr>
        <w:b/>
        <w:bCs/>
        <w:i/>
        <w:iCs/>
        <w:color w:val="FF0000"/>
      </w:rPr>
    </w:pPr>
    <w:r>
      <w:rPr>
        <w:b/>
        <w:bCs/>
        <w:i/>
        <w:iCs/>
        <w:color w:val="FF0000"/>
      </w:rPr>
      <w:t>Pro Forma PPA (Standalone + Paired Existing RR)</w:t>
    </w:r>
  </w:p>
  <w:p w:rsidRPr="003F5FFF" w:rsidR="00AD1FAC" w:rsidP="00AD1FAC" w:rsidRDefault="00CC7935" w14:paraId="771B9F5A" w14:textId="6C5F26FB">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3C4ABB4D" w14:textId="0B47F02F">
    <w:pPr>
      <w:pStyle w:val="zGNormal"/>
      <w:jc w:val="right"/>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5E81" w:rsidR="00EC17B6" w:rsidP="004B0BBF" w:rsidRDefault="008B55A2" w14:paraId="5BF70185" w14:textId="77777777">
    <w:pPr>
      <w:jc w:val="right"/>
      <w:rPr>
        <w:sz w:val="18"/>
        <w:szCs w:val="18"/>
      </w:rPr>
    </w:pPr>
    <w:r>
      <w:rPr>
        <w:sz w:val="18"/>
        <w:szCs w:val="18"/>
      </w:rPr>
      <w:t>CARES 2023 RFP for Utility Scale Renewable Generation</w:t>
    </w:r>
  </w:p>
  <w:p w:rsidRPr="0006058F" w:rsidR="00EC17B6" w:rsidP="004B0BBF" w:rsidRDefault="008B55A2" w14:paraId="2E022AED" w14:textId="77777777">
    <w:pPr>
      <w:jc w:val="right"/>
      <w:rPr>
        <w:sz w:val="24"/>
      </w:rPr>
    </w:pPr>
    <w:r>
      <w:rPr>
        <w:sz w:val="18"/>
        <w:szCs w:val="18"/>
      </w:rPr>
      <w:t>GPC Draft – October 13, 2022</w:t>
    </w:r>
  </w:p>
  <w:p w:rsidR="00EC17B6" w:rsidRDefault="00EC17B6" w14:paraId="2435973F" w14:textId="77777777">
    <w:pPr>
      <w:tabs>
        <w:tab w:val="right" w:pos="9360"/>
      </w:tabs>
      <w:jc w:val="right"/>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17B6" w:rsidRDefault="00EC17B6" w14:paraId="3893DAD5" w14:textId="77777777">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01B7BBAA"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00A72B00" w14:textId="77777777">
    <w:pPr>
      <w:pStyle w:val="zGNormal"/>
      <w:jc w:val="right"/>
      <w:rPr>
        <w:b/>
        <w:bCs/>
        <w:i/>
        <w:iCs/>
        <w:color w:val="FF0000"/>
      </w:rPr>
    </w:pPr>
    <w:r>
      <w:rPr>
        <w:b/>
        <w:bCs/>
        <w:i/>
        <w:iCs/>
        <w:color w:val="FF0000"/>
      </w:rPr>
      <w:t>Pro Forma PPA (Standalone + Paired Existing RR)</w:t>
    </w:r>
  </w:p>
  <w:p w:rsidRPr="003F5FFF" w:rsidR="00AD1FAC" w:rsidP="00AD1FAC" w:rsidRDefault="00CC7935" w14:paraId="1D05C6F4" w14:textId="51BD16A1">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36FB45B7" w14:textId="579849AE">
    <w:pPr>
      <w:pStyle w:val="zGNormal"/>
      <w:jc w:val="right"/>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5E81" w:rsidR="00EC17B6" w:rsidP="004B0BBF" w:rsidRDefault="008B55A2" w14:paraId="5C50C03E" w14:textId="77777777">
    <w:pPr>
      <w:jc w:val="right"/>
      <w:rPr>
        <w:sz w:val="18"/>
        <w:szCs w:val="18"/>
      </w:rPr>
    </w:pPr>
    <w:r>
      <w:rPr>
        <w:sz w:val="18"/>
        <w:szCs w:val="18"/>
      </w:rPr>
      <w:t>CARES 2023 RFP for Utility Scale Renewable Generation</w:t>
    </w:r>
  </w:p>
  <w:p w:rsidRPr="0006058F" w:rsidR="00EC17B6" w:rsidP="004B0BBF" w:rsidRDefault="008B55A2" w14:paraId="20EBF2AD" w14:textId="77777777">
    <w:pPr>
      <w:jc w:val="right"/>
      <w:rPr>
        <w:sz w:val="24"/>
      </w:rPr>
    </w:pPr>
    <w:r>
      <w:rPr>
        <w:sz w:val="18"/>
        <w:szCs w:val="18"/>
      </w:rPr>
      <w:t>GPC Draft – October 13, 2022</w:t>
    </w:r>
  </w:p>
  <w:p w:rsidR="00EC17B6" w:rsidRDefault="00EC17B6" w14:paraId="16C99CC2" w14:textId="77777777">
    <w:pPr>
      <w:tabs>
        <w:tab w:val="right" w:pos="9360"/>
      </w:tabs>
      <w:jc w:val="right"/>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62B92" w:rsidR="00B67989" w:rsidRDefault="00B67989" w14:paraId="6BF4963B" w14:textId="77777777">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3152" w:rsidP="00FE3152" w:rsidRDefault="008B55A2" w14:paraId="6CF4A058" w14:textId="24BE3EC6">
    <w:pPr>
      <w:pStyle w:val="zGNormal"/>
      <w:jc w:val="right"/>
      <w:rPr>
        <w:b/>
        <w:bCs/>
        <w:i/>
        <w:iCs/>
        <w:color w:val="FF0000"/>
      </w:rPr>
    </w:pPr>
    <w:r>
      <w:rPr>
        <w:b/>
        <w:bCs/>
        <w:i/>
        <w:iCs/>
        <w:color w:val="FF0000"/>
      </w:rPr>
      <w:t>ESS 500 RFP</w:t>
    </w:r>
  </w:p>
  <w:p w:rsidRPr="004B0BBF" w:rsidR="00FE3152" w:rsidP="004B0BBF" w:rsidRDefault="008B55A2" w14:paraId="7FB84E4B" w14:textId="5BA18CBF">
    <w:pPr>
      <w:pStyle w:val="zGNormal"/>
      <w:jc w:val="right"/>
    </w:pPr>
    <w:r w:rsidRPr="004B0BBF">
      <w:rPr>
        <w:b/>
        <w:i/>
        <w:color w:val="FF0000"/>
      </w:rPr>
      <w:t>Pro Forma PPA</w:t>
    </w:r>
  </w:p>
  <w:p w:rsidRPr="00CE3A1B" w:rsidR="00FE3152" w:rsidP="00FE3152" w:rsidRDefault="008B55A2" w14:paraId="5CA09D0A" w14:textId="5FA15B12">
    <w:pPr>
      <w:pStyle w:val="zGNormal"/>
      <w:jc w:val="right"/>
    </w:pPr>
    <w:r>
      <w:rPr>
        <w:b/>
        <w:bCs/>
        <w:i/>
        <w:iCs/>
        <w:color w:val="FF0000"/>
      </w:rPr>
      <w:t>DRAFT 2025.04.07</w:t>
    </w:r>
  </w:p>
  <w:p w:rsidRPr="004B0BBF" w:rsidR="004F37E8" w:rsidP="004B0BBF" w:rsidRDefault="004F37E8" w14:paraId="18B563F9" w14:textId="535511BA">
    <w:pPr>
      <w:pStyle w:val="zGNormal"/>
      <w:jc w:val="right"/>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989" w:rsidRDefault="00B67989" w14:paraId="4972490B"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3FA91EFB" w14:textId="509D0461">
    <w:pPr>
      <w:pStyle w:val="zGNormal"/>
      <w:jc w:val="right"/>
      <w:rPr>
        <w:b/>
        <w:bCs/>
        <w:i/>
        <w:iCs/>
        <w:color w:val="FF0000"/>
      </w:rPr>
    </w:pPr>
    <w:r>
      <w:rPr>
        <w:b/>
        <w:bCs/>
        <w:i/>
        <w:iCs/>
        <w:color w:val="FF0000"/>
      </w:rPr>
      <w:t xml:space="preserve"> ESS 500 RFP</w:t>
    </w:r>
  </w:p>
  <w:p w:rsidR="00E449A7" w:rsidP="00E449A7" w:rsidRDefault="008B55A2" w14:paraId="31189694" w14:textId="77777777">
    <w:pPr>
      <w:pStyle w:val="zGNormal"/>
      <w:jc w:val="right"/>
      <w:rPr>
        <w:b/>
        <w:bCs/>
        <w:i/>
        <w:iCs/>
        <w:color w:val="FF0000"/>
      </w:rPr>
    </w:pPr>
    <w:r>
      <w:rPr>
        <w:b/>
        <w:bCs/>
        <w:i/>
        <w:iCs/>
        <w:color w:val="FF0000"/>
      </w:rPr>
      <w:t>Pro Forma PPA</w:t>
    </w:r>
  </w:p>
  <w:p w:rsidRPr="00CE3A1B" w:rsidR="00E449A7" w:rsidP="00E449A7" w:rsidRDefault="008B55A2" w14:paraId="175586F5" w14:textId="77777777">
    <w:pPr>
      <w:pStyle w:val="zGNormal"/>
      <w:jc w:val="right"/>
    </w:pPr>
    <w:r>
      <w:rPr>
        <w:b/>
        <w:bCs/>
        <w:i/>
        <w:iCs/>
        <w:color w:val="FF0000"/>
      </w:rPr>
      <w:t>DRAFT 2025.04.25</w:t>
    </w:r>
  </w:p>
  <w:p w:rsidRPr="00CE3A1B" w:rsidR="00DF665C" w:rsidP="004B0BBF" w:rsidRDefault="00DF665C" w14:paraId="47271AA7" w14:textId="77777777">
    <w:pPr>
      <w:pStyle w:val="zGNormal"/>
      <w:jc w:val="right"/>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62B92" w:rsidR="00B67989" w:rsidRDefault="00B67989" w14:paraId="25173394" w14:textId="77777777">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25474AD9"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3B0F2147" w14:textId="77777777">
    <w:pPr>
      <w:pStyle w:val="zGNormal"/>
      <w:jc w:val="right"/>
      <w:rPr>
        <w:b/>
        <w:bCs/>
        <w:i/>
        <w:iCs/>
        <w:color w:val="FF0000"/>
      </w:rPr>
    </w:pPr>
    <w:r>
      <w:rPr>
        <w:b/>
        <w:bCs/>
        <w:i/>
        <w:iCs/>
        <w:color w:val="FF0000"/>
      </w:rPr>
      <w:t>Pro Forma PPA (Standalone + Paired Existing RR)</w:t>
    </w:r>
  </w:p>
  <w:p w:rsidRPr="003F5FFF" w:rsidR="00AD1FAC" w:rsidP="00AD1FAC" w:rsidRDefault="00CC7935" w14:paraId="5402FC62" w14:textId="16C72D85">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0C347937" w14:textId="3F85FC9C">
    <w:pPr>
      <w:pStyle w:val="zGNormal"/>
      <w:jc w:val="right"/>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989" w:rsidRDefault="00B67989" w14:paraId="040BB755" w14:textId="77777777">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62B92" w:rsidR="00B67989" w:rsidRDefault="00B67989" w14:paraId="4367A101" w14:textId="77777777">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743B29F9"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1CC63643" w14:textId="77777777">
    <w:pPr>
      <w:pStyle w:val="zGNormal"/>
      <w:jc w:val="right"/>
      <w:rPr>
        <w:b/>
        <w:bCs/>
        <w:i/>
        <w:iCs/>
        <w:color w:val="FF0000"/>
      </w:rPr>
    </w:pPr>
    <w:r>
      <w:rPr>
        <w:b/>
        <w:bCs/>
        <w:i/>
        <w:iCs/>
        <w:color w:val="FF0000"/>
      </w:rPr>
      <w:t>Pro Forma PPA (Standalone + Paired Existing RR)</w:t>
    </w:r>
  </w:p>
  <w:p w:rsidRPr="003F5FFF" w:rsidR="00AD1FAC" w:rsidP="00AD1FAC" w:rsidRDefault="00CC7935" w14:paraId="6A2DCB04" w14:textId="0434453D">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2523CBD7" w14:textId="209A9288">
    <w:pPr>
      <w:pStyle w:val="zGNormal"/>
      <w:jc w:val="right"/>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989" w:rsidRDefault="00B67989" w14:paraId="7D40B576" w14:textId="77777777">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62B92" w:rsidR="00B67989" w:rsidRDefault="00B67989" w14:paraId="49F5F59A" w14:textId="77777777">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7D772C8E"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5FF53015" w14:textId="77777777">
    <w:pPr>
      <w:pStyle w:val="zGNormal"/>
      <w:jc w:val="right"/>
      <w:rPr>
        <w:b/>
        <w:bCs/>
        <w:i/>
        <w:iCs/>
        <w:color w:val="FF0000"/>
      </w:rPr>
    </w:pPr>
    <w:r>
      <w:rPr>
        <w:b/>
        <w:bCs/>
        <w:i/>
        <w:iCs/>
        <w:color w:val="FF0000"/>
      </w:rPr>
      <w:t>Pro Forma PPA (Standalone + Paired Existing RR)</w:t>
    </w:r>
  </w:p>
  <w:p w:rsidRPr="003F5FFF" w:rsidR="00AD1FAC" w:rsidP="00AD1FAC" w:rsidRDefault="00CC7935" w14:paraId="76377D3A" w14:textId="4E2D87D3">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CE3A1B" w:rsidR="004F37E8" w:rsidP="004F37E8" w:rsidRDefault="004F37E8" w14:paraId="4F2D3C6A" w14:textId="49B2782E">
    <w:pPr>
      <w:pStyle w:val="zGNormal"/>
      <w:jc w:val="right"/>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989" w:rsidRDefault="00B67989" w14:paraId="10F7D77D" w14:textId="77777777">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62B92" w:rsidR="00B67989" w:rsidRDefault="00B67989" w14:paraId="3CA25C09"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07312DD2" w14:textId="77777777">
    <w:pPr>
      <w:pStyle w:val="Heade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3177F6E0"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6246C132" w14:textId="77777777">
    <w:pPr>
      <w:pStyle w:val="zGNormal"/>
      <w:jc w:val="right"/>
      <w:rPr>
        <w:b/>
        <w:bCs/>
        <w:i/>
        <w:iCs/>
        <w:color w:val="FF0000"/>
      </w:rPr>
    </w:pPr>
    <w:r>
      <w:rPr>
        <w:b/>
        <w:bCs/>
        <w:i/>
        <w:iCs/>
        <w:color w:val="FF0000"/>
      </w:rPr>
      <w:t>Pro Forma PPA (Standalone + Paired Existing RR)</w:t>
    </w:r>
  </w:p>
  <w:p w:rsidRPr="003F5FFF" w:rsidR="00AD1FAC" w:rsidP="00AD1FAC" w:rsidRDefault="00CC7935" w14:paraId="5CA819FF" w14:textId="622B933E">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4F37E8" w:rsidP="004B0BBF" w:rsidRDefault="004F37E8" w14:paraId="36519FF5" w14:textId="5DEAB3CC">
    <w:pPr>
      <w:pStyle w:val="zGNormal"/>
      <w:jc w:val="right"/>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7989" w:rsidRDefault="00B67989" w14:paraId="63A07D61" w14:textId="77777777">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0CADA255"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7C395AA1" w14:textId="77777777">
    <w:pPr>
      <w:pStyle w:val="zGNormal"/>
      <w:jc w:val="right"/>
      <w:rPr>
        <w:b/>
        <w:bCs/>
        <w:i/>
        <w:iCs/>
        <w:color w:val="FF0000"/>
      </w:rPr>
    </w:pPr>
    <w:r>
      <w:rPr>
        <w:b/>
        <w:bCs/>
        <w:i/>
        <w:iCs/>
        <w:color w:val="FF0000"/>
      </w:rPr>
      <w:t>Pro Forma PPA (Standalone + Paired Existing RR)</w:t>
    </w:r>
  </w:p>
  <w:p w:rsidRPr="003F5FFF" w:rsidR="00AD1FAC" w:rsidP="00AD1FAC" w:rsidRDefault="00CC7935" w14:paraId="1AD376DB" w14:textId="3B8F468D">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4B0BBF" w:rsidR="00AE51F9" w:rsidP="004B0BBF" w:rsidRDefault="00AE51F9" w14:paraId="17B68CB8" w14:textId="4D2D9754">
    <w:pPr>
      <w:jc w:val="right"/>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449A7" w:rsidP="00E449A7" w:rsidRDefault="008B55A2" w14:paraId="62FB9A29" w14:textId="223E0C7A">
    <w:pPr>
      <w:pStyle w:val="zGNormal"/>
      <w:jc w:val="right"/>
      <w:rPr>
        <w:b/>
        <w:bCs/>
        <w:i/>
        <w:iCs/>
        <w:color w:val="FF0000"/>
      </w:rPr>
    </w:pPr>
    <w:r>
      <w:rPr>
        <w:b/>
        <w:bCs/>
        <w:i/>
        <w:iCs/>
        <w:color w:val="FF0000"/>
      </w:rPr>
      <w:t xml:space="preserve"> ESS 500 RFP</w:t>
    </w:r>
  </w:p>
  <w:p w:rsidR="00E449A7" w:rsidP="00E449A7" w:rsidRDefault="008B55A2" w14:paraId="233D343C" w14:textId="77777777">
    <w:pPr>
      <w:pStyle w:val="zGNormal"/>
      <w:jc w:val="right"/>
      <w:rPr>
        <w:b/>
        <w:bCs/>
        <w:i/>
        <w:iCs/>
        <w:color w:val="FF0000"/>
      </w:rPr>
    </w:pPr>
    <w:r>
      <w:rPr>
        <w:b/>
        <w:bCs/>
        <w:i/>
        <w:iCs/>
        <w:color w:val="FF0000"/>
      </w:rPr>
      <w:t>Pro Forma PPA</w:t>
    </w:r>
  </w:p>
  <w:p w:rsidRPr="00CE3A1B" w:rsidR="00E449A7" w:rsidP="00E449A7" w:rsidRDefault="008B55A2" w14:paraId="7E09ACB9" w14:textId="77777777">
    <w:pPr>
      <w:pStyle w:val="zGNormal"/>
      <w:jc w:val="right"/>
    </w:pPr>
    <w:r>
      <w:rPr>
        <w:b/>
        <w:bCs/>
        <w:i/>
        <w:iCs/>
        <w:color w:val="FF0000"/>
      </w:rPr>
      <w:t>DRAFT 2025.04.25</w:t>
    </w:r>
  </w:p>
  <w:p w:rsidRPr="00CE3A1B" w:rsidR="00DF665C" w:rsidP="004B0BBF" w:rsidRDefault="00DF665C" w14:paraId="5434279F" w14:textId="77777777">
    <w:pPr>
      <w:pStyle w:val="zGNormal"/>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59C86C78" w14:textId="7777777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0A28" w:rsidP="00170A28" w:rsidRDefault="00170A28" w14:paraId="1E705697" w14:textId="77777777">
    <w:pPr>
      <w:pStyle w:val="zGNormal"/>
      <w:jc w:val="right"/>
      <w:rPr>
        <w:b/>
        <w:bCs/>
        <w:i/>
        <w:iCs/>
        <w:color w:val="FF0000"/>
      </w:rPr>
    </w:pPr>
    <w:r w:rsidRPr="00793D79">
      <w:rPr>
        <w:b/>
        <w:bCs/>
        <w:i/>
        <w:iCs/>
        <w:color w:val="FF0000"/>
      </w:rPr>
      <w:t>32</w:t>
    </w:r>
    <w:r>
      <w:rPr>
        <w:b/>
        <w:bCs/>
        <w:i/>
        <w:iCs/>
        <w:color w:val="FF0000"/>
      </w:rPr>
      <w:t>-</w:t>
    </w:r>
    <w:r w:rsidRPr="00793D79">
      <w:rPr>
        <w:b/>
        <w:bCs/>
        <w:i/>
        <w:iCs/>
        <w:color w:val="FF0000"/>
      </w:rPr>
      <w:t>33 All-Source RFP</w:t>
    </w:r>
  </w:p>
  <w:p w:rsidR="00170A28" w:rsidP="00170A28" w:rsidRDefault="00170A28" w14:paraId="56B6A5A9" w14:textId="77777777">
    <w:pPr>
      <w:pStyle w:val="zGNormal"/>
      <w:jc w:val="right"/>
      <w:rPr>
        <w:b/>
        <w:bCs/>
        <w:i/>
        <w:iCs/>
        <w:color w:val="FF0000"/>
      </w:rPr>
    </w:pPr>
    <w:r>
      <w:rPr>
        <w:b/>
        <w:bCs/>
        <w:i/>
        <w:iCs/>
        <w:color w:val="FF0000"/>
      </w:rPr>
      <w:t>Pro Forma PPA (Standalone + Paired Existing RR)</w:t>
    </w:r>
  </w:p>
  <w:p w:rsidRPr="003F5FFF" w:rsidR="00AD1FAC" w:rsidP="00AD1FAC" w:rsidRDefault="006B105A" w14:paraId="7A25D859" w14:textId="5854A4F1">
    <w:pPr>
      <w:keepLines/>
      <w:tabs>
        <w:tab w:val="center" w:pos="4320"/>
        <w:tab w:val="left" w:pos="8360"/>
      </w:tabs>
      <w:spacing w:after="0"/>
      <w:jc w:val="right"/>
      <w:rPr>
        <w:rFonts w:ascii="Arial" w:hAnsi="Arial" w:cs="Arial"/>
        <w:b/>
        <w:i/>
        <w:color w:val="FF0000"/>
        <w:sz w:val="20"/>
        <w:szCs w:val="20"/>
      </w:rPr>
    </w:pPr>
    <w:r>
      <w:rPr>
        <w:rFonts w:ascii="Arial" w:hAnsi="Arial" w:cs="Arial"/>
        <w:b/>
        <w:i/>
        <w:color w:val="EE0000"/>
        <w:sz w:val="20"/>
        <w:szCs w:val="20"/>
      </w:rPr>
      <w:t>Filing Draft</w:t>
    </w:r>
  </w:p>
  <w:p w:rsidRPr="00FE32A1" w:rsidR="004F37E8" w:rsidP="004B0BBF" w:rsidRDefault="004F37E8" w14:paraId="4F212FBA" w14:textId="676CF82F">
    <w:pPr>
      <w:pStyle w:val="zGNormal"/>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79287A6"/>
    <w:name w:val="List Number 3"/>
    <w:lvl w:ilvl="0">
      <w:start w:val="1"/>
      <w:numFmt w:val="decimal"/>
      <w:pStyle w:val="ListNumber3"/>
      <w:lvlText w:val="%1."/>
      <w:lvlJc w:val="left"/>
      <w:pPr>
        <w:ind w:left="180" w:firstLine="1440"/>
      </w:pPr>
      <w:rPr>
        <w:rFonts w:hint="default"/>
      </w:rPr>
    </w:lvl>
  </w:abstractNum>
  <w:abstractNum w:abstractNumId="1" w15:restartNumberingAfterBreak="0">
    <w:nsid w:val="FFFFFF82"/>
    <w:multiLevelType w:val="singleLevel"/>
    <w:tmpl w:val="46F6DBAA"/>
    <w:name w:val="Heading"/>
    <w:styleLink w:val="CurrentList1"/>
    <w:lvl w:ilvl="0">
      <w:start w:val="1"/>
      <w:numFmt w:val="bullet"/>
      <w:pStyle w:val="ListBullet3"/>
      <w:lvlText w:val="o"/>
      <w:lvlJc w:val="left"/>
      <w:pPr>
        <w:ind w:left="1440" w:hanging="360"/>
      </w:pPr>
      <w:rPr>
        <w:rFonts w:ascii="Courier New" w:hAnsi="Courier New" w:cs="Courier New" w:hint="default"/>
      </w:rPr>
    </w:lvl>
  </w:abstractNum>
  <w:abstractNum w:abstractNumId="2" w15:restartNumberingAfterBreak="0">
    <w:nsid w:val="FFFFFF83"/>
    <w:multiLevelType w:val="singleLevel"/>
    <w:tmpl w:val="B1E08A66"/>
    <w:name w:val="List Bullet 2"/>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B906C314"/>
    <w:name w:val="List Bullet"/>
    <w:lvl w:ilvl="0">
      <w:start w:val="1"/>
      <w:numFmt w:val="bullet"/>
      <w:pStyle w:val="ListBullet"/>
      <w:lvlText w:val=""/>
      <w:lvlJc w:val="left"/>
      <w:pPr>
        <w:tabs>
          <w:tab w:val="num" w:pos="720"/>
        </w:tabs>
        <w:ind w:left="720" w:hanging="720"/>
      </w:pPr>
      <w:rPr>
        <w:rFonts w:ascii="Symbol" w:hAnsi="Symbol" w:hint="default"/>
      </w:rPr>
    </w:lvl>
  </w:abstractNum>
  <w:abstractNum w:abstractNumId="4" w15:restartNumberingAfterBreak="0">
    <w:nsid w:val="00000001"/>
    <w:multiLevelType w:val="hybridMultilevel"/>
    <w:tmpl w:val="59F817CA"/>
    <w:name w:val="zGTableBullet"/>
    <w:lvl w:ilvl="0" w:tplc="CEB458A4">
      <w:start w:val="1"/>
      <w:numFmt w:val="bullet"/>
      <w:pStyle w:val="zGTableBullet"/>
      <w:lvlText w:val=""/>
      <w:lvlJc w:val="left"/>
      <w:pPr>
        <w:ind w:left="427" w:hanging="360"/>
      </w:pPr>
      <w:rPr>
        <w:rFonts w:ascii="Wingdings" w:hAnsi="Wingdings"/>
      </w:rPr>
    </w:lvl>
    <w:lvl w:ilvl="1" w:tplc="DDAEDC52">
      <w:start w:val="1"/>
      <w:numFmt w:val="bullet"/>
      <w:lvlText w:val="o"/>
      <w:lvlJc w:val="left"/>
      <w:pPr>
        <w:ind w:left="1147" w:hanging="360"/>
      </w:pPr>
      <w:rPr>
        <w:rFonts w:ascii="Courier New" w:hAnsi="Courier New" w:cs="Courier New"/>
      </w:rPr>
    </w:lvl>
    <w:lvl w:ilvl="2" w:tplc="D3E474DC">
      <w:start w:val="1"/>
      <w:numFmt w:val="bullet"/>
      <w:lvlText w:val=""/>
      <w:lvlJc w:val="left"/>
      <w:pPr>
        <w:ind w:left="1867" w:hanging="360"/>
      </w:pPr>
      <w:rPr>
        <w:rFonts w:ascii="Wingdings" w:hAnsi="Wingdings"/>
      </w:rPr>
    </w:lvl>
    <w:lvl w:ilvl="3" w:tplc="88B896F4">
      <w:start w:val="1"/>
      <w:numFmt w:val="bullet"/>
      <w:lvlText w:val=""/>
      <w:lvlJc w:val="left"/>
      <w:pPr>
        <w:ind w:left="2587" w:hanging="360"/>
      </w:pPr>
      <w:rPr>
        <w:rFonts w:ascii="Symbol" w:hAnsi="Symbol"/>
      </w:rPr>
    </w:lvl>
    <w:lvl w:ilvl="4" w:tplc="7E448C8A">
      <w:start w:val="1"/>
      <w:numFmt w:val="bullet"/>
      <w:lvlText w:val="o"/>
      <w:lvlJc w:val="left"/>
      <w:pPr>
        <w:ind w:left="3307" w:hanging="360"/>
      </w:pPr>
      <w:rPr>
        <w:rFonts w:ascii="Courier New" w:hAnsi="Courier New" w:cs="Courier New"/>
      </w:rPr>
    </w:lvl>
    <w:lvl w:ilvl="5" w:tplc="FFF4F656">
      <w:start w:val="1"/>
      <w:numFmt w:val="bullet"/>
      <w:lvlText w:val=""/>
      <w:lvlJc w:val="left"/>
      <w:pPr>
        <w:ind w:left="4027" w:hanging="360"/>
      </w:pPr>
      <w:rPr>
        <w:rFonts w:ascii="Wingdings" w:hAnsi="Wingdings"/>
      </w:rPr>
    </w:lvl>
    <w:lvl w:ilvl="6" w:tplc="05D4D754">
      <w:start w:val="1"/>
      <w:numFmt w:val="bullet"/>
      <w:lvlText w:val=""/>
      <w:lvlJc w:val="left"/>
      <w:pPr>
        <w:ind w:left="4747" w:hanging="360"/>
      </w:pPr>
      <w:rPr>
        <w:rFonts w:ascii="Symbol" w:hAnsi="Symbol"/>
      </w:rPr>
    </w:lvl>
    <w:lvl w:ilvl="7" w:tplc="2D4C3ED0">
      <w:start w:val="1"/>
      <w:numFmt w:val="bullet"/>
      <w:lvlText w:val="o"/>
      <w:lvlJc w:val="left"/>
      <w:pPr>
        <w:ind w:left="5467" w:hanging="360"/>
      </w:pPr>
      <w:rPr>
        <w:rFonts w:ascii="Courier New" w:hAnsi="Courier New" w:cs="Courier New"/>
      </w:rPr>
    </w:lvl>
    <w:lvl w:ilvl="8" w:tplc="44C8109E">
      <w:start w:val="1"/>
      <w:numFmt w:val="bullet"/>
      <w:lvlText w:val=""/>
      <w:lvlJc w:val="left"/>
      <w:pPr>
        <w:ind w:left="6187" w:hanging="360"/>
      </w:pPr>
      <w:rPr>
        <w:rFonts w:ascii="Wingdings" w:hAnsi="Wingdings"/>
      </w:rPr>
    </w:lvl>
  </w:abstractNum>
  <w:abstractNum w:abstractNumId="5" w15:restartNumberingAfterBreak="0">
    <w:nsid w:val="00000002"/>
    <w:multiLevelType w:val="multilevel"/>
    <w:tmpl w:val="8D64AA7A"/>
    <w:name w:val="zGListBullet"/>
    <w:lvl w:ilvl="0">
      <w:start w:val="1"/>
      <w:numFmt w:val="bullet"/>
      <w:pStyle w:val="zGListBullet"/>
      <w:lvlText w:val=""/>
      <w:lvlJc w:val="left"/>
      <w:pPr>
        <w:ind w:left="1440" w:hanging="360"/>
      </w:pPr>
      <w:rPr>
        <w:rFonts w:ascii="Wingdings" w:hAnsi="Wingdings"/>
        <w:b/>
        <w:i w:val="0"/>
        <w:color w:val="000000"/>
        <w:sz w:val="20"/>
      </w:rPr>
    </w:lvl>
    <w:lvl w:ilvl="1">
      <w:start w:val="1"/>
      <w:numFmt w:val="bullet"/>
      <w:lvlText w:val="o"/>
      <w:lvlJc w:val="left"/>
      <w:pPr>
        <w:ind w:left="2160" w:hanging="360"/>
      </w:pPr>
      <w:rPr>
        <w:rFonts w:ascii="Courier New" w:hAnsi="Courier New"/>
        <w:b/>
        <w:bCs/>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6"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0000006"/>
    <w:multiLevelType w:val="hybridMultilevel"/>
    <w:tmpl w:val="B86C81BE"/>
    <w:name w:val="zGListBullet2"/>
    <w:lvl w:ilvl="0" w:tplc="0DC0BCF2">
      <w:start w:val="1"/>
      <w:numFmt w:val="bullet"/>
      <w:pStyle w:val="zGListBullet2"/>
      <w:lvlText w:val="o"/>
      <w:lvlJc w:val="left"/>
      <w:pPr>
        <w:ind w:left="1440" w:hanging="360"/>
      </w:pPr>
      <w:rPr>
        <w:rFonts w:ascii="Courier New" w:hAnsi="Courier New"/>
      </w:rPr>
    </w:lvl>
    <w:lvl w:ilvl="1" w:tplc="1CAA17E4">
      <w:start w:val="1"/>
      <w:numFmt w:val="bullet"/>
      <w:lvlText w:val="o"/>
      <w:lvlJc w:val="left"/>
      <w:pPr>
        <w:ind w:left="1800" w:hanging="360"/>
      </w:pPr>
      <w:rPr>
        <w:rFonts w:ascii="Courier New" w:hAnsi="Courier New"/>
      </w:rPr>
    </w:lvl>
    <w:lvl w:ilvl="2" w:tplc="C56404CA">
      <w:start w:val="1"/>
      <w:numFmt w:val="bullet"/>
      <w:lvlText w:val=""/>
      <w:lvlJc w:val="left"/>
      <w:pPr>
        <w:ind w:left="2520" w:hanging="360"/>
      </w:pPr>
      <w:rPr>
        <w:rFonts w:ascii="Wingdings" w:hAnsi="Wingdings"/>
      </w:rPr>
    </w:lvl>
    <w:lvl w:ilvl="3" w:tplc="1C88F71A">
      <w:start w:val="1"/>
      <w:numFmt w:val="bullet"/>
      <w:lvlText w:val=""/>
      <w:lvlJc w:val="left"/>
      <w:pPr>
        <w:ind w:left="3240" w:hanging="360"/>
      </w:pPr>
      <w:rPr>
        <w:rFonts w:ascii="Symbol" w:hAnsi="Symbol"/>
      </w:rPr>
    </w:lvl>
    <w:lvl w:ilvl="4" w:tplc="5BE4A7EE">
      <w:start w:val="1"/>
      <w:numFmt w:val="bullet"/>
      <w:lvlText w:val="o"/>
      <w:lvlJc w:val="left"/>
      <w:pPr>
        <w:ind w:left="3960" w:hanging="360"/>
      </w:pPr>
      <w:rPr>
        <w:rFonts w:ascii="Courier New" w:hAnsi="Courier New"/>
      </w:rPr>
    </w:lvl>
    <w:lvl w:ilvl="5" w:tplc="CA1AF244">
      <w:start w:val="1"/>
      <w:numFmt w:val="bullet"/>
      <w:lvlText w:val=""/>
      <w:lvlJc w:val="left"/>
      <w:pPr>
        <w:ind w:left="4680" w:hanging="360"/>
      </w:pPr>
      <w:rPr>
        <w:rFonts w:ascii="Wingdings" w:hAnsi="Wingdings"/>
      </w:rPr>
    </w:lvl>
    <w:lvl w:ilvl="6" w:tplc="B234FBAC">
      <w:start w:val="1"/>
      <w:numFmt w:val="bullet"/>
      <w:lvlText w:val=""/>
      <w:lvlJc w:val="left"/>
      <w:pPr>
        <w:ind w:left="5400" w:hanging="360"/>
      </w:pPr>
      <w:rPr>
        <w:rFonts w:ascii="Symbol" w:hAnsi="Symbol"/>
      </w:rPr>
    </w:lvl>
    <w:lvl w:ilvl="7" w:tplc="9A0A0982">
      <w:start w:val="1"/>
      <w:numFmt w:val="bullet"/>
      <w:lvlText w:val="o"/>
      <w:lvlJc w:val="left"/>
      <w:pPr>
        <w:ind w:left="6120" w:hanging="360"/>
      </w:pPr>
      <w:rPr>
        <w:rFonts w:ascii="Courier New" w:hAnsi="Courier New"/>
      </w:rPr>
    </w:lvl>
    <w:lvl w:ilvl="8" w:tplc="16541C0E">
      <w:start w:val="1"/>
      <w:numFmt w:val="bullet"/>
      <w:lvlText w:val=""/>
      <w:lvlJc w:val="left"/>
      <w:pPr>
        <w:ind w:left="6840" w:hanging="360"/>
      </w:pPr>
      <w:rPr>
        <w:rFonts w:ascii="Wingdings" w:hAnsi="Wingdings"/>
      </w:rPr>
    </w:lvl>
  </w:abstractNum>
  <w:abstractNum w:abstractNumId="8" w15:restartNumberingAfterBreak="0">
    <w:nsid w:val="00000008"/>
    <w:multiLevelType w:val="multilevel"/>
    <w:tmpl w:val="15163078"/>
    <w:name w:val="zG01"/>
    <w:lvl w:ilvl="0">
      <w:start w:val="1"/>
      <w:numFmt w:val="decimal"/>
      <w:pStyle w:val="zG01"/>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pStyle w:val="zG02"/>
      <w:lvlText w:val="%1.%2"/>
      <w:lvlJc w:val="left"/>
      <w:pPr>
        <w:tabs>
          <w:tab w:val="num" w:pos="576"/>
        </w:tabs>
      </w:pPr>
      <w:rPr>
        <w:rFonts w:ascii="Arial" w:hAnsi="Arial"/>
        <w:b/>
        <w:i w:val="0"/>
        <w:caps/>
        <w:strike w:val="0"/>
        <w:dstrike w:val="0"/>
        <w:vanish w:val="0"/>
        <w:color w:val="000000"/>
        <w:sz w:val="20"/>
        <w:u w:val="none"/>
      </w:rPr>
    </w:lvl>
    <w:lvl w:ilvl="2">
      <w:start w:val="1"/>
      <w:numFmt w:val="upperLetter"/>
      <w:pStyle w:val="zG03"/>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pStyle w:val="zG04"/>
      <w:lvlText w:val="(%4)"/>
      <w:lvlJc w:val="left"/>
      <w:pPr>
        <w:tabs>
          <w:tab w:val="num" w:pos="936"/>
        </w:tabs>
        <w:ind w:left="504"/>
      </w:pPr>
      <w:rPr>
        <w:b/>
        <w:i w:val="0"/>
        <w:caps w:val="0"/>
        <w:strike w:val="0"/>
        <w:dstrike w:val="0"/>
        <w:vanish w:val="0"/>
        <w:color w:val="000000"/>
        <w:sz w:val="20"/>
        <w:u w:val="none"/>
      </w:rPr>
    </w:lvl>
    <w:lvl w:ilvl="4">
      <w:start w:val="1"/>
      <w:numFmt w:val="lowerLetter"/>
      <w:pStyle w:val="zG05"/>
      <w:lvlText w:val="(%5)"/>
      <w:lvlJc w:val="left"/>
      <w:pPr>
        <w:tabs>
          <w:tab w:val="num" w:pos="1368"/>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0000010"/>
    <w:multiLevelType w:val="hybridMultilevel"/>
    <w:tmpl w:val="8D3495B2"/>
    <w:name w:val="zGListNum"/>
    <w:lvl w:ilvl="0" w:tplc="7BB2F9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AB845F7E">
      <w:start w:val="1"/>
      <w:numFmt w:val="lowerLetter"/>
      <w:lvlText w:val="%2."/>
      <w:lvlJc w:val="left"/>
      <w:pPr>
        <w:tabs>
          <w:tab w:val="num" w:pos="1440"/>
        </w:tabs>
        <w:ind w:left="1440" w:hanging="360"/>
      </w:pPr>
      <w:rPr>
        <w:rFonts w:cs="Times New Roman"/>
      </w:rPr>
    </w:lvl>
    <w:lvl w:ilvl="2" w:tplc="EC4602A2">
      <w:start w:val="1"/>
      <w:numFmt w:val="lowerRoman"/>
      <w:lvlText w:val="%3."/>
      <w:lvlJc w:val="right"/>
      <w:pPr>
        <w:tabs>
          <w:tab w:val="num" w:pos="2160"/>
        </w:tabs>
        <w:ind w:left="2160" w:hanging="180"/>
      </w:pPr>
      <w:rPr>
        <w:rFonts w:cs="Times New Roman"/>
      </w:rPr>
    </w:lvl>
    <w:lvl w:ilvl="3" w:tplc="730E75B8">
      <w:start w:val="1"/>
      <w:numFmt w:val="decimal"/>
      <w:lvlText w:val="%4."/>
      <w:lvlJc w:val="left"/>
      <w:pPr>
        <w:tabs>
          <w:tab w:val="num" w:pos="2880"/>
        </w:tabs>
        <w:ind w:left="2880" w:hanging="360"/>
      </w:pPr>
      <w:rPr>
        <w:rFonts w:cs="Times New Roman"/>
      </w:rPr>
    </w:lvl>
    <w:lvl w:ilvl="4" w:tplc="7A6AB524">
      <w:start w:val="1"/>
      <w:numFmt w:val="lowerLetter"/>
      <w:lvlText w:val="%5."/>
      <w:lvlJc w:val="left"/>
      <w:pPr>
        <w:tabs>
          <w:tab w:val="num" w:pos="3600"/>
        </w:tabs>
        <w:ind w:left="3600" w:hanging="360"/>
      </w:pPr>
      <w:rPr>
        <w:rFonts w:cs="Times New Roman"/>
      </w:rPr>
    </w:lvl>
    <w:lvl w:ilvl="5" w:tplc="94A88E78">
      <w:start w:val="1"/>
      <w:numFmt w:val="lowerRoman"/>
      <w:lvlText w:val="%6."/>
      <w:lvlJc w:val="right"/>
      <w:pPr>
        <w:tabs>
          <w:tab w:val="num" w:pos="4320"/>
        </w:tabs>
        <w:ind w:left="4320" w:hanging="180"/>
      </w:pPr>
      <w:rPr>
        <w:rFonts w:cs="Times New Roman"/>
      </w:rPr>
    </w:lvl>
    <w:lvl w:ilvl="6" w:tplc="FCDC277A">
      <w:start w:val="1"/>
      <w:numFmt w:val="decimal"/>
      <w:lvlText w:val="%7."/>
      <w:lvlJc w:val="left"/>
      <w:pPr>
        <w:tabs>
          <w:tab w:val="num" w:pos="5040"/>
        </w:tabs>
        <w:ind w:left="5040" w:hanging="360"/>
      </w:pPr>
      <w:rPr>
        <w:rFonts w:cs="Times New Roman"/>
      </w:rPr>
    </w:lvl>
    <w:lvl w:ilvl="7" w:tplc="FFE834C2">
      <w:start w:val="1"/>
      <w:numFmt w:val="lowerLetter"/>
      <w:lvlText w:val="%8."/>
      <w:lvlJc w:val="left"/>
      <w:pPr>
        <w:tabs>
          <w:tab w:val="num" w:pos="5760"/>
        </w:tabs>
        <w:ind w:left="5760" w:hanging="360"/>
      </w:pPr>
      <w:rPr>
        <w:rFonts w:cs="Times New Roman"/>
      </w:rPr>
    </w:lvl>
    <w:lvl w:ilvl="8" w:tplc="4E4AD09C">
      <w:start w:val="1"/>
      <w:numFmt w:val="lowerRoman"/>
      <w:lvlText w:val="%9."/>
      <w:lvlJc w:val="right"/>
      <w:pPr>
        <w:tabs>
          <w:tab w:val="num" w:pos="6480"/>
        </w:tabs>
        <w:ind w:left="6480" w:hanging="180"/>
      </w:pPr>
      <w:rPr>
        <w:rFonts w:cs="Times New Roman"/>
      </w:rPr>
    </w:lvl>
  </w:abstractNum>
  <w:abstractNum w:abstractNumId="10" w15:restartNumberingAfterBreak="0">
    <w:nsid w:val="00000011"/>
    <w:multiLevelType w:val="hybridMultilevel"/>
    <w:tmpl w:val="52142AA8"/>
    <w:name w:val="zzmpArticle5||Article5|2|1|1|3|10|41||1|10|1||1|10|1||1|10|1||1|12|0||1|12|0||1|12|0||1|12|0||mpNA||2"/>
    <w:lvl w:ilvl="0" w:tplc="ED92A06A">
      <w:start w:val="1"/>
      <w:numFmt w:val="decimal"/>
      <w:lvlText w:val="%1.1"/>
      <w:lvlJc w:val="left"/>
      <w:pPr>
        <w:ind w:left="720" w:hanging="360"/>
      </w:pPr>
      <w:rPr>
        <w:rFonts w:ascii="Arial" w:hAnsi="Arial" w:cs="Arial" w:hint="default"/>
        <w:b/>
      </w:rPr>
    </w:lvl>
    <w:lvl w:ilvl="1" w:tplc="887692FE">
      <w:start w:val="1"/>
      <w:numFmt w:val="lowerLetter"/>
      <w:lvlText w:val="%2."/>
      <w:lvlJc w:val="left"/>
      <w:pPr>
        <w:ind w:left="1440" w:hanging="360"/>
      </w:pPr>
    </w:lvl>
    <w:lvl w:ilvl="2" w:tplc="A7CA5A4C">
      <w:start w:val="1"/>
      <w:numFmt w:val="lowerRoman"/>
      <w:lvlText w:val="%3."/>
      <w:lvlJc w:val="right"/>
      <w:pPr>
        <w:ind w:left="2160" w:hanging="180"/>
      </w:pPr>
    </w:lvl>
    <w:lvl w:ilvl="3" w:tplc="74CE736E">
      <w:start w:val="1"/>
      <w:numFmt w:val="decimal"/>
      <w:lvlText w:val="%4."/>
      <w:lvlJc w:val="left"/>
      <w:pPr>
        <w:ind w:left="2880" w:hanging="360"/>
      </w:pPr>
    </w:lvl>
    <w:lvl w:ilvl="4" w:tplc="A426B4CC">
      <w:start w:val="1"/>
      <w:numFmt w:val="lowerLetter"/>
      <w:lvlText w:val="%5."/>
      <w:lvlJc w:val="left"/>
      <w:pPr>
        <w:ind w:left="3600" w:hanging="360"/>
      </w:pPr>
    </w:lvl>
    <w:lvl w:ilvl="5" w:tplc="89B69C3E">
      <w:start w:val="1"/>
      <w:numFmt w:val="lowerRoman"/>
      <w:lvlText w:val="%6."/>
      <w:lvlJc w:val="right"/>
      <w:pPr>
        <w:ind w:left="4320" w:hanging="180"/>
      </w:pPr>
    </w:lvl>
    <w:lvl w:ilvl="6" w:tplc="9470028C">
      <w:start w:val="1"/>
      <w:numFmt w:val="decimal"/>
      <w:lvlText w:val="%7."/>
      <w:lvlJc w:val="left"/>
      <w:pPr>
        <w:ind w:left="5040" w:hanging="360"/>
      </w:pPr>
    </w:lvl>
    <w:lvl w:ilvl="7" w:tplc="09DCBB82">
      <w:start w:val="1"/>
      <w:numFmt w:val="lowerLetter"/>
      <w:lvlText w:val="%8."/>
      <w:lvlJc w:val="left"/>
      <w:pPr>
        <w:ind w:left="5760" w:hanging="360"/>
      </w:pPr>
    </w:lvl>
    <w:lvl w:ilvl="8" w:tplc="208033C6">
      <w:start w:val="1"/>
      <w:numFmt w:val="lowerRoman"/>
      <w:lvlText w:val="%9."/>
      <w:lvlJc w:val="right"/>
      <w:pPr>
        <w:ind w:left="6480" w:hanging="180"/>
      </w:pPr>
    </w:lvl>
  </w:abstractNum>
  <w:abstractNum w:abstractNumId="11" w15:restartNumberingAfterBreak="0">
    <w:nsid w:val="00000016"/>
    <w:multiLevelType w:val="hybridMultilevel"/>
    <w:tmpl w:val="91504E84"/>
    <w:name w:val="zGList(i)"/>
    <w:lvl w:ilvl="0" w:tplc="B0F65346">
      <w:start w:val="1"/>
      <w:numFmt w:val="lowerRoman"/>
      <w:pStyle w:val="zGListi"/>
      <w:lvlText w:val="%1."/>
      <w:lvlJc w:val="left"/>
      <w:pPr>
        <w:ind w:left="720" w:hanging="360"/>
      </w:pPr>
      <w:rPr>
        <w:rFonts w:ascii="Arial" w:hAnsi="Arial"/>
        <w:b w:val="0"/>
        <w:bCs/>
        <w:i w:val="0"/>
        <w:caps w:val="0"/>
        <w:strike w:val="0"/>
        <w:dstrike w:val="0"/>
        <w:vanish w:val="0"/>
        <w:color w:val="auto"/>
        <w:sz w:val="20"/>
        <w:u w:val="none"/>
      </w:rPr>
    </w:lvl>
    <w:lvl w:ilvl="1" w:tplc="30B28CDE">
      <w:start w:val="1"/>
      <w:numFmt w:val="lowerLetter"/>
      <w:lvlText w:val="%2."/>
      <w:lvlJc w:val="left"/>
      <w:pPr>
        <w:ind w:left="1440" w:hanging="360"/>
      </w:pPr>
    </w:lvl>
    <w:lvl w:ilvl="2" w:tplc="81344228">
      <w:start w:val="1"/>
      <w:numFmt w:val="lowerRoman"/>
      <w:lvlText w:val="%3."/>
      <w:lvlJc w:val="right"/>
      <w:pPr>
        <w:ind w:left="2160" w:hanging="180"/>
      </w:pPr>
    </w:lvl>
    <w:lvl w:ilvl="3" w:tplc="45BA5EDA">
      <w:start w:val="1"/>
      <w:numFmt w:val="decimal"/>
      <w:lvlText w:val="%4."/>
      <w:lvlJc w:val="left"/>
      <w:pPr>
        <w:ind w:left="2880" w:hanging="360"/>
      </w:pPr>
    </w:lvl>
    <w:lvl w:ilvl="4" w:tplc="5860B9C2">
      <w:start w:val="1"/>
      <w:numFmt w:val="lowerLetter"/>
      <w:lvlText w:val="%5."/>
      <w:lvlJc w:val="left"/>
      <w:pPr>
        <w:ind w:left="3600" w:hanging="360"/>
      </w:pPr>
    </w:lvl>
    <w:lvl w:ilvl="5" w:tplc="BC2C9772">
      <w:start w:val="1"/>
      <w:numFmt w:val="lowerRoman"/>
      <w:lvlText w:val="%6."/>
      <w:lvlJc w:val="right"/>
      <w:pPr>
        <w:ind w:left="4320" w:hanging="180"/>
      </w:pPr>
    </w:lvl>
    <w:lvl w:ilvl="6" w:tplc="8F7CFBF2">
      <w:start w:val="1"/>
      <w:numFmt w:val="decimal"/>
      <w:lvlText w:val="%7."/>
      <w:lvlJc w:val="left"/>
      <w:pPr>
        <w:ind w:left="5040" w:hanging="360"/>
      </w:pPr>
    </w:lvl>
    <w:lvl w:ilvl="7" w:tplc="2F3C7496">
      <w:start w:val="1"/>
      <w:numFmt w:val="lowerLetter"/>
      <w:lvlText w:val="%8."/>
      <w:lvlJc w:val="left"/>
      <w:pPr>
        <w:ind w:left="5760" w:hanging="360"/>
      </w:pPr>
    </w:lvl>
    <w:lvl w:ilvl="8" w:tplc="0D0AB954">
      <w:start w:val="1"/>
      <w:numFmt w:val="lowerRoman"/>
      <w:lvlText w:val="%9."/>
      <w:lvlJc w:val="right"/>
      <w:pPr>
        <w:ind w:left="6480" w:hanging="180"/>
      </w:pPr>
    </w:lvl>
  </w:abstractNum>
  <w:abstractNum w:abstractNumId="12" w15:restartNumberingAfterBreak="0">
    <w:nsid w:val="018CCAAC"/>
    <w:multiLevelType w:val="multilevel"/>
    <w:tmpl w:val="E2CC3C26"/>
    <w:lvl w:ilvl="0">
      <w:start w:val="10"/>
      <w:numFmt w:val="decimal"/>
      <w:lvlText w:val="Part %1"/>
      <w:lvlJc w:val="left"/>
      <w:pPr>
        <w:tabs>
          <w:tab w:val="num" w:pos="1152"/>
        </w:tabs>
        <w:ind w:left="1152" w:hanging="1152"/>
      </w:pPr>
      <w:rPr>
        <w:rFonts w:ascii="Arial Bold" w:hAnsi="Arial Bold" w:cs="Times New Roman" w:hint="default"/>
        <w:b/>
        <w:bCs w:val="0"/>
        <w:i w:val="0"/>
        <w:iCs w:val="0"/>
        <w:caps/>
        <w:smallCaps w:val="0"/>
        <w:strike w:val="0"/>
        <w:dstrike w:val="0"/>
        <w:noProof w:val="0"/>
        <w:vanish w:val="0"/>
        <w:color w:val="00000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5"/>
      <w:numFmt w:val="decimal"/>
      <w:isLgl/>
      <w:lvlText w:val="%1.%2"/>
      <w:lvlJc w:val="left"/>
      <w:pPr>
        <w:tabs>
          <w:tab w:val="num" w:pos="648"/>
        </w:tabs>
        <w:ind w:left="0" w:firstLine="0"/>
      </w:pPr>
      <w:rPr>
        <w:rFonts w:ascii="Arial" w:hAnsi="Arial" w:hint="default"/>
        <w:b/>
        <w:i w:val="0"/>
        <w:caps/>
        <w:strike w:val="0"/>
        <w:dstrike w:val="0"/>
        <w:vanish w:val="0"/>
        <w:color w:val="000000" w:themeColor="text1"/>
        <w:sz w:val="20"/>
        <w:u w:val="none"/>
        <w:vertAlign w:val="baseline"/>
      </w:rPr>
    </w:lvl>
    <w:lvl w:ilvl="2">
      <w:start w:val="5"/>
      <w:numFmt w:val="decimal"/>
      <w:isLgl/>
      <w:lvlText w:val="%1.%2.%3."/>
      <w:lvlJc w:val="left"/>
      <w:pPr>
        <w:tabs>
          <w:tab w:val="num" w:pos="1368"/>
        </w:tabs>
        <w:ind w:left="648"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35A5232"/>
    <w:multiLevelType w:val="hybridMultilevel"/>
    <w:tmpl w:val="2892EBAA"/>
    <w:name w:val="Heading2"/>
    <w:lvl w:ilvl="0" w:tplc="B120CE54">
      <w:start w:val="1"/>
      <w:numFmt w:val="bullet"/>
      <w:pStyle w:val="ListBullet4"/>
      <w:lvlText w:val=""/>
      <w:lvlJc w:val="left"/>
      <w:pPr>
        <w:ind w:left="2160" w:hanging="360"/>
      </w:pPr>
      <w:rPr>
        <w:rFonts w:ascii="Wingdings" w:hAnsi="Wingdings" w:hint="default"/>
      </w:rPr>
    </w:lvl>
    <w:lvl w:ilvl="1" w:tplc="150E3B86" w:tentative="1">
      <w:start w:val="1"/>
      <w:numFmt w:val="bullet"/>
      <w:lvlText w:val="o"/>
      <w:lvlJc w:val="left"/>
      <w:pPr>
        <w:ind w:left="2880" w:hanging="360"/>
      </w:pPr>
      <w:rPr>
        <w:rFonts w:ascii="Courier New" w:hAnsi="Courier New" w:cs="Courier New" w:hint="default"/>
      </w:rPr>
    </w:lvl>
    <w:lvl w:ilvl="2" w:tplc="CFEC4A8C" w:tentative="1">
      <w:start w:val="1"/>
      <w:numFmt w:val="bullet"/>
      <w:lvlText w:val=""/>
      <w:lvlJc w:val="left"/>
      <w:pPr>
        <w:ind w:left="3600" w:hanging="360"/>
      </w:pPr>
      <w:rPr>
        <w:rFonts w:ascii="Wingdings" w:hAnsi="Wingdings" w:hint="default"/>
      </w:rPr>
    </w:lvl>
    <w:lvl w:ilvl="3" w:tplc="4710B472" w:tentative="1">
      <w:start w:val="1"/>
      <w:numFmt w:val="bullet"/>
      <w:lvlText w:val=""/>
      <w:lvlJc w:val="left"/>
      <w:pPr>
        <w:ind w:left="4320" w:hanging="360"/>
      </w:pPr>
      <w:rPr>
        <w:rFonts w:ascii="Symbol" w:hAnsi="Symbol" w:hint="default"/>
      </w:rPr>
    </w:lvl>
    <w:lvl w:ilvl="4" w:tplc="1F369FE2" w:tentative="1">
      <w:start w:val="1"/>
      <w:numFmt w:val="bullet"/>
      <w:lvlText w:val="o"/>
      <w:lvlJc w:val="left"/>
      <w:pPr>
        <w:ind w:left="5040" w:hanging="360"/>
      </w:pPr>
      <w:rPr>
        <w:rFonts w:ascii="Courier New" w:hAnsi="Courier New" w:cs="Courier New" w:hint="default"/>
      </w:rPr>
    </w:lvl>
    <w:lvl w:ilvl="5" w:tplc="0E2E7192" w:tentative="1">
      <w:start w:val="1"/>
      <w:numFmt w:val="bullet"/>
      <w:lvlText w:val=""/>
      <w:lvlJc w:val="left"/>
      <w:pPr>
        <w:ind w:left="5760" w:hanging="360"/>
      </w:pPr>
      <w:rPr>
        <w:rFonts w:ascii="Wingdings" w:hAnsi="Wingdings" w:hint="default"/>
      </w:rPr>
    </w:lvl>
    <w:lvl w:ilvl="6" w:tplc="76C28E74" w:tentative="1">
      <w:start w:val="1"/>
      <w:numFmt w:val="bullet"/>
      <w:lvlText w:val=""/>
      <w:lvlJc w:val="left"/>
      <w:pPr>
        <w:ind w:left="6480" w:hanging="360"/>
      </w:pPr>
      <w:rPr>
        <w:rFonts w:ascii="Symbol" w:hAnsi="Symbol" w:hint="default"/>
      </w:rPr>
    </w:lvl>
    <w:lvl w:ilvl="7" w:tplc="97C4E5B2" w:tentative="1">
      <w:start w:val="1"/>
      <w:numFmt w:val="bullet"/>
      <w:lvlText w:val="o"/>
      <w:lvlJc w:val="left"/>
      <w:pPr>
        <w:ind w:left="7200" w:hanging="360"/>
      </w:pPr>
      <w:rPr>
        <w:rFonts w:ascii="Courier New" w:hAnsi="Courier New" w:cs="Courier New" w:hint="default"/>
      </w:rPr>
    </w:lvl>
    <w:lvl w:ilvl="8" w:tplc="701413D4" w:tentative="1">
      <w:start w:val="1"/>
      <w:numFmt w:val="bullet"/>
      <w:lvlText w:val=""/>
      <w:lvlJc w:val="left"/>
      <w:pPr>
        <w:ind w:left="7920" w:hanging="360"/>
      </w:pPr>
      <w:rPr>
        <w:rFonts w:ascii="Wingdings" w:hAnsi="Wingdings" w:hint="default"/>
      </w:rPr>
    </w:lvl>
  </w:abstractNum>
  <w:abstractNum w:abstractNumId="14" w15:restartNumberingAfterBreak="0">
    <w:nsid w:val="0A5A3F76"/>
    <w:multiLevelType w:val="hybridMultilevel"/>
    <w:tmpl w:val="D3F046BE"/>
    <w:lvl w:ilvl="0" w:tplc="DD4C424C">
      <w:start w:val="1"/>
      <w:numFmt w:val="decimal"/>
      <w:lvlText w:val="%1)"/>
      <w:lvlJc w:val="left"/>
      <w:pPr>
        <w:ind w:left="810" w:hanging="360"/>
      </w:pPr>
      <w:rPr>
        <w:rFonts w:hint="default"/>
      </w:rPr>
    </w:lvl>
    <w:lvl w:ilvl="1" w:tplc="EC02C132" w:tentative="1">
      <w:start w:val="1"/>
      <w:numFmt w:val="lowerLetter"/>
      <w:lvlText w:val="%2."/>
      <w:lvlJc w:val="left"/>
      <w:pPr>
        <w:ind w:left="1440" w:hanging="360"/>
      </w:pPr>
    </w:lvl>
    <w:lvl w:ilvl="2" w:tplc="1C88DF3A" w:tentative="1">
      <w:start w:val="1"/>
      <w:numFmt w:val="lowerRoman"/>
      <w:lvlText w:val="%3."/>
      <w:lvlJc w:val="right"/>
      <w:pPr>
        <w:ind w:left="2160" w:hanging="180"/>
      </w:pPr>
    </w:lvl>
    <w:lvl w:ilvl="3" w:tplc="707265D4" w:tentative="1">
      <w:start w:val="1"/>
      <w:numFmt w:val="decimal"/>
      <w:lvlText w:val="%4."/>
      <w:lvlJc w:val="left"/>
      <w:pPr>
        <w:ind w:left="2880" w:hanging="360"/>
      </w:pPr>
    </w:lvl>
    <w:lvl w:ilvl="4" w:tplc="0F160B84" w:tentative="1">
      <w:start w:val="1"/>
      <w:numFmt w:val="lowerLetter"/>
      <w:lvlText w:val="%5."/>
      <w:lvlJc w:val="left"/>
      <w:pPr>
        <w:ind w:left="3600" w:hanging="360"/>
      </w:pPr>
    </w:lvl>
    <w:lvl w:ilvl="5" w:tplc="02CA78C8" w:tentative="1">
      <w:start w:val="1"/>
      <w:numFmt w:val="lowerRoman"/>
      <w:lvlText w:val="%6."/>
      <w:lvlJc w:val="right"/>
      <w:pPr>
        <w:ind w:left="4320" w:hanging="180"/>
      </w:pPr>
    </w:lvl>
    <w:lvl w:ilvl="6" w:tplc="07767E0E" w:tentative="1">
      <w:start w:val="1"/>
      <w:numFmt w:val="decimal"/>
      <w:lvlText w:val="%7."/>
      <w:lvlJc w:val="left"/>
      <w:pPr>
        <w:ind w:left="5040" w:hanging="360"/>
      </w:pPr>
    </w:lvl>
    <w:lvl w:ilvl="7" w:tplc="63A08768" w:tentative="1">
      <w:start w:val="1"/>
      <w:numFmt w:val="lowerLetter"/>
      <w:lvlText w:val="%8."/>
      <w:lvlJc w:val="left"/>
      <w:pPr>
        <w:ind w:left="5760" w:hanging="360"/>
      </w:pPr>
    </w:lvl>
    <w:lvl w:ilvl="8" w:tplc="203E3C2E" w:tentative="1">
      <w:start w:val="1"/>
      <w:numFmt w:val="lowerRoman"/>
      <w:lvlText w:val="%9."/>
      <w:lvlJc w:val="right"/>
      <w:pPr>
        <w:ind w:left="6480" w:hanging="180"/>
      </w:pPr>
    </w:lvl>
  </w:abstractNum>
  <w:abstractNum w:abstractNumId="15" w15:restartNumberingAfterBreak="0">
    <w:nsid w:val="0B1C6EB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20330E"/>
    <w:multiLevelType w:val="multilevel"/>
    <w:tmpl w:val="9884AD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DE41549"/>
    <w:multiLevelType w:val="multilevel"/>
    <w:tmpl w:val="8C064C62"/>
    <w:name w:val="zGTC01"/>
    <w:lvl w:ilvl="0">
      <w:start w:val="1"/>
      <w:numFmt w:val="decimal"/>
      <w:pStyle w:val="zGTC01"/>
      <w:lvlText w:val="Part %1"/>
      <w:lvlJc w:val="left"/>
      <w:pPr>
        <w:tabs>
          <w:tab w:val="num" w:pos="3762"/>
        </w:tabs>
        <w:ind w:left="3762" w:hanging="1152"/>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isLgl/>
      <w:lvlText w:val="%1.%2"/>
      <w:lvlJc w:val="left"/>
      <w:pPr>
        <w:tabs>
          <w:tab w:val="num" w:pos="648"/>
        </w:tabs>
        <w:ind w:left="0" w:firstLine="0"/>
      </w:pPr>
      <w:rPr>
        <w:rFonts w:hint="default"/>
        <w:b/>
        <w:bCs w:val="0"/>
      </w:rPr>
    </w:lvl>
    <w:lvl w:ilvl="2">
      <w:start w:val="1"/>
      <w:numFmt w:val="decimal"/>
      <w:pStyle w:val="zGTC03"/>
      <w:isLgl/>
      <w:lvlText w:val="%1.%2.%3."/>
      <w:lvlJc w:val="left"/>
      <w:pPr>
        <w:tabs>
          <w:tab w:val="num" w:pos="1350"/>
        </w:tabs>
        <w:ind w:left="630"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b/>
        <w:bCs/>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63074B8"/>
    <w:multiLevelType w:val="multilevel"/>
    <w:tmpl w:val="A22E42A8"/>
    <w:name w:val="zGZ1"/>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AD5096B"/>
    <w:multiLevelType w:val="multilevel"/>
    <w:tmpl w:val="CC4AA878"/>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71765C8"/>
    <w:multiLevelType w:val="hybridMultilevel"/>
    <w:tmpl w:val="DC22BE0C"/>
    <w:lvl w:ilvl="0" w:tplc="587E5782">
      <w:start w:val="1"/>
      <w:numFmt w:val="bullet"/>
      <w:lvlText w:val=""/>
      <w:lvlJc w:val="left"/>
      <w:pPr>
        <w:ind w:left="504" w:hanging="360"/>
      </w:pPr>
      <w:rPr>
        <w:rFonts w:ascii="Symbol" w:hAnsi="Symbol" w:hint="default"/>
      </w:rPr>
    </w:lvl>
    <w:lvl w:ilvl="1" w:tplc="9DEE3FF4">
      <w:start w:val="1"/>
      <w:numFmt w:val="bullet"/>
      <w:lvlText w:val="o"/>
      <w:lvlJc w:val="left"/>
      <w:pPr>
        <w:ind w:left="1224" w:hanging="360"/>
      </w:pPr>
      <w:rPr>
        <w:rFonts w:ascii="Courier New" w:hAnsi="Courier New" w:cs="Courier New" w:hint="default"/>
      </w:rPr>
    </w:lvl>
    <w:lvl w:ilvl="2" w:tplc="BEB6C244" w:tentative="1">
      <w:start w:val="1"/>
      <w:numFmt w:val="bullet"/>
      <w:lvlText w:val=""/>
      <w:lvlJc w:val="left"/>
      <w:pPr>
        <w:ind w:left="1944" w:hanging="360"/>
      </w:pPr>
      <w:rPr>
        <w:rFonts w:ascii="Wingdings" w:hAnsi="Wingdings" w:hint="default"/>
      </w:rPr>
    </w:lvl>
    <w:lvl w:ilvl="3" w:tplc="2BA6EC9A" w:tentative="1">
      <w:start w:val="1"/>
      <w:numFmt w:val="bullet"/>
      <w:lvlText w:val=""/>
      <w:lvlJc w:val="left"/>
      <w:pPr>
        <w:ind w:left="2664" w:hanging="360"/>
      </w:pPr>
      <w:rPr>
        <w:rFonts w:ascii="Symbol" w:hAnsi="Symbol" w:hint="default"/>
      </w:rPr>
    </w:lvl>
    <w:lvl w:ilvl="4" w:tplc="76203A9C" w:tentative="1">
      <w:start w:val="1"/>
      <w:numFmt w:val="bullet"/>
      <w:lvlText w:val="o"/>
      <w:lvlJc w:val="left"/>
      <w:pPr>
        <w:ind w:left="3384" w:hanging="360"/>
      </w:pPr>
      <w:rPr>
        <w:rFonts w:ascii="Courier New" w:hAnsi="Courier New" w:cs="Courier New" w:hint="default"/>
      </w:rPr>
    </w:lvl>
    <w:lvl w:ilvl="5" w:tplc="C0E6E5D4" w:tentative="1">
      <w:start w:val="1"/>
      <w:numFmt w:val="bullet"/>
      <w:lvlText w:val=""/>
      <w:lvlJc w:val="left"/>
      <w:pPr>
        <w:ind w:left="4104" w:hanging="360"/>
      </w:pPr>
      <w:rPr>
        <w:rFonts w:ascii="Wingdings" w:hAnsi="Wingdings" w:hint="default"/>
      </w:rPr>
    </w:lvl>
    <w:lvl w:ilvl="6" w:tplc="AB881560" w:tentative="1">
      <w:start w:val="1"/>
      <w:numFmt w:val="bullet"/>
      <w:lvlText w:val=""/>
      <w:lvlJc w:val="left"/>
      <w:pPr>
        <w:ind w:left="4824" w:hanging="360"/>
      </w:pPr>
      <w:rPr>
        <w:rFonts w:ascii="Symbol" w:hAnsi="Symbol" w:hint="default"/>
      </w:rPr>
    </w:lvl>
    <w:lvl w:ilvl="7" w:tplc="67B4FFFC" w:tentative="1">
      <w:start w:val="1"/>
      <w:numFmt w:val="bullet"/>
      <w:lvlText w:val="o"/>
      <w:lvlJc w:val="left"/>
      <w:pPr>
        <w:ind w:left="5544" w:hanging="360"/>
      </w:pPr>
      <w:rPr>
        <w:rFonts w:ascii="Courier New" w:hAnsi="Courier New" w:cs="Courier New" w:hint="default"/>
      </w:rPr>
    </w:lvl>
    <w:lvl w:ilvl="8" w:tplc="F904AE66" w:tentative="1">
      <w:start w:val="1"/>
      <w:numFmt w:val="bullet"/>
      <w:lvlText w:val=""/>
      <w:lvlJc w:val="left"/>
      <w:pPr>
        <w:ind w:left="6264" w:hanging="360"/>
      </w:pPr>
      <w:rPr>
        <w:rFonts w:ascii="Wingdings" w:hAnsi="Wingdings" w:hint="default"/>
      </w:rPr>
    </w:lvl>
  </w:abstractNum>
  <w:abstractNum w:abstractNumId="22" w15:restartNumberingAfterBreak="0">
    <w:nsid w:val="282A0AC2"/>
    <w:multiLevelType w:val="hybridMultilevel"/>
    <w:tmpl w:val="1F7298C4"/>
    <w:lvl w:ilvl="0" w:tplc="E940E7D2">
      <w:start w:val="1"/>
      <w:numFmt w:val="bullet"/>
      <w:lvlText w:val=""/>
      <w:lvlJc w:val="left"/>
      <w:pPr>
        <w:ind w:left="720" w:hanging="360"/>
      </w:pPr>
      <w:rPr>
        <w:rFonts w:ascii="Wingdings" w:hAnsi="Wingdings" w:hint="default"/>
      </w:rPr>
    </w:lvl>
    <w:lvl w:ilvl="1" w:tplc="F8800EF8" w:tentative="1">
      <w:start w:val="1"/>
      <w:numFmt w:val="bullet"/>
      <w:lvlText w:val="o"/>
      <w:lvlJc w:val="left"/>
      <w:pPr>
        <w:ind w:left="1440" w:hanging="360"/>
      </w:pPr>
      <w:rPr>
        <w:rFonts w:ascii="Courier New" w:hAnsi="Courier New" w:cs="Courier New" w:hint="default"/>
      </w:rPr>
    </w:lvl>
    <w:lvl w:ilvl="2" w:tplc="C70255D6" w:tentative="1">
      <w:start w:val="1"/>
      <w:numFmt w:val="bullet"/>
      <w:lvlText w:val=""/>
      <w:lvlJc w:val="left"/>
      <w:pPr>
        <w:ind w:left="2160" w:hanging="360"/>
      </w:pPr>
      <w:rPr>
        <w:rFonts w:ascii="Wingdings" w:hAnsi="Wingdings" w:hint="default"/>
      </w:rPr>
    </w:lvl>
    <w:lvl w:ilvl="3" w:tplc="6AA4911E" w:tentative="1">
      <w:start w:val="1"/>
      <w:numFmt w:val="bullet"/>
      <w:lvlText w:val=""/>
      <w:lvlJc w:val="left"/>
      <w:pPr>
        <w:ind w:left="2880" w:hanging="360"/>
      </w:pPr>
      <w:rPr>
        <w:rFonts w:ascii="Symbol" w:hAnsi="Symbol" w:hint="default"/>
      </w:rPr>
    </w:lvl>
    <w:lvl w:ilvl="4" w:tplc="D2A004EC" w:tentative="1">
      <w:start w:val="1"/>
      <w:numFmt w:val="bullet"/>
      <w:lvlText w:val="o"/>
      <w:lvlJc w:val="left"/>
      <w:pPr>
        <w:ind w:left="3600" w:hanging="360"/>
      </w:pPr>
      <w:rPr>
        <w:rFonts w:ascii="Courier New" w:hAnsi="Courier New" w:cs="Courier New" w:hint="default"/>
      </w:rPr>
    </w:lvl>
    <w:lvl w:ilvl="5" w:tplc="0B3E84B6" w:tentative="1">
      <w:start w:val="1"/>
      <w:numFmt w:val="bullet"/>
      <w:lvlText w:val=""/>
      <w:lvlJc w:val="left"/>
      <w:pPr>
        <w:ind w:left="4320" w:hanging="360"/>
      </w:pPr>
      <w:rPr>
        <w:rFonts w:ascii="Wingdings" w:hAnsi="Wingdings" w:hint="default"/>
      </w:rPr>
    </w:lvl>
    <w:lvl w:ilvl="6" w:tplc="CD62A098" w:tentative="1">
      <w:start w:val="1"/>
      <w:numFmt w:val="bullet"/>
      <w:lvlText w:val=""/>
      <w:lvlJc w:val="left"/>
      <w:pPr>
        <w:ind w:left="5040" w:hanging="360"/>
      </w:pPr>
      <w:rPr>
        <w:rFonts w:ascii="Symbol" w:hAnsi="Symbol" w:hint="default"/>
      </w:rPr>
    </w:lvl>
    <w:lvl w:ilvl="7" w:tplc="6282AC22" w:tentative="1">
      <w:start w:val="1"/>
      <w:numFmt w:val="bullet"/>
      <w:lvlText w:val="o"/>
      <w:lvlJc w:val="left"/>
      <w:pPr>
        <w:ind w:left="5760" w:hanging="360"/>
      </w:pPr>
      <w:rPr>
        <w:rFonts w:ascii="Courier New" w:hAnsi="Courier New" w:cs="Courier New" w:hint="default"/>
      </w:rPr>
    </w:lvl>
    <w:lvl w:ilvl="8" w:tplc="0F2A083E" w:tentative="1">
      <w:start w:val="1"/>
      <w:numFmt w:val="bullet"/>
      <w:lvlText w:val=""/>
      <w:lvlJc w:val="left"/>
      <w:pPr>
        <w:ind w:left="6480" w:hanging="360"/>
      </w:pPr>
      <w:rPr>
        <w:rFonts w:ascii="Wingdings" w:hAnsi="Wingdings" w:hint="default"/>
      </w:rPr>
    </w:lvl>
  </w:abstractNum>
  <w:abstractNum w:abstractNumId="23" w15:restartNumberingAfterBreak="0">
    <w:nsid w:val="286C00A6"/>
    <w:multiLevelType w:val="multilevel"/>
    <w:tmpl w:val="272ADCC8"/>
    <w:lvl w:ilvl="0">
      <w:start w:val="1"/>
      <w:numFmt w:val="decimal"/>
      <w:lvlText w:val="Part %1."/>
      <w:lvlJc w:val="left"/>
      <w:pPr>
        <w:tabs>
          <w:tab w:val="num" w:pos="936"/>
        </w:tabs>
        <w:ind w:left="93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isLg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0A73F96"/>
    <w:multiLevelType w:val="multilevel"/>
    <w:tmpl w:val="BB8C9956"/>
    <w:styleLink w:val="zGzListStyle1"/>
    <w:lvl w:ilvl="0">
      <w:start w:val="1"/>
      <w:numFmt w:val="decimal"/>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462357"/>
    <w:multiLevelType w:val="hybridMultilevel"/>
    <w:tmpl w:val="EFD0B500"/>
    <w:lvl w:ilvl="0" w:tplc="A0E85234">
      <w:start w:val="1"/>
      <w:numFmt w:val="decimal"/>
      <w:lvlText w:val="%1."/>
      <w:lvlJc w:val="left"/>
      <w:pPr>
        <w:ind w:left="1512" w:hanging="360"/>
      </w:p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start w:val="1"/>
      <w:numFmt w:val="lowerLetter"/>
      <w:lvlText w:val="%5."/>
      <w:lvlJc w:val="left"/>
      <w:pPr>
        <w:ind w:left="4392" w:hanging="360"/>
      </w:pPr>
    </w:lvl>
    <w:lvl w:ilvl="5" w:tplc="0409001B">
      <w:start w:val="1"/>
      <w:numFmt w:val="lowerRoman"/>
      <w:lvlText w:val="%6."/>
      <w:lvlJc w:val="right"/>
      <w:pPr>
        <w:ind w:left="5112" w:hanging="180"/>
      </w:pPr>
    </w:lvl>
    <w:lvl w:ilvl="6" w:tplc="0409000F">
      <w:start w:val="1"/>
      <w:numFmt w:val="decimal"/>
      <w:lvlText w:val="%7."/>
      <w:lvlJc w:val="left"/>
      <w:pPr>
        <w:ind w:left="5832" w:hanging="360"/>
      </w:pPr>
    </w:lvl>
    <w:lvl w:ilvl="7" w:tplc="04090019">
      <w:start w:val="1"/>
      <w:numFmt w:val="lowerLetter"/>
      <w:lvlText w:val="%8."/>
      <w:lvlJc w:val="left"/>
      <w:pPr>
        <w:ind w:left="6552" w:hanging="360"/>
      </w:pPr>
    </w:lvl>
    <w:lvl w:ilvl="8" w:tplc="0409001B">
      <w:start w:val="1"/>
      <w:numFmt w:val="lowerRoman"/>
      <w:lvlText w:val="%9."/>
      <w:lvlJc w:val="right"/>
      <w:pPr>
        <w:ind w:left="7272" w:hanging="180"/>
      </w:pPr>
    </w:lvl>
  </w:abstractNum>
  <w:abstractNum w:abstractNumId="26" w15:restartNumberingAfterBreak="0">
    <w:nsid w:val="36935962"/>
    <w:multiLevelType w:val="multilevel"/>
    <w:tmpl w:val="0916FF9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6E706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7FA42C3"/>
    <w:multiLevelType w:val="multilevel"/>
    <w:tmpl w:val="D242C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9540F03"/>
    <w:multiLevelType w:val="multilevel"/>
    <w:tmpl w:val="7618D266"/>
    <w:styleLink w:val="zGzListStyle3"/>
    <w:lvl w:ilvl="0">
      <w:start w:val="1"/>
      <w:numFmt w:val="decimal"/>
      <w:lvlText w:val="Part %1."/>
      <w:lvlJc w:val="left"/>
      <w:pPr>
        <w:tabs>
          <w:tab w:val="num" w:pos="936"/>
        </w:tabs>
        <w:ind w:left="936" w:hanging="936"/>
      </w:pPr>
      <w:rPr>
        <w:rFonts w:ascii="Arial Bold" w:hAnsi="Arial Bold" w:cs="Times New Roman"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isLg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isLg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62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AB6FD6"/>
    <w:multiLevelType w:val="multilevel"/>
    <w:tmpl w:val="9AD2F6F8"/>
    <w:lvl w:ilvl="0">
      <w:start w:val="7"/>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C942E7"/>
    <w:multiLevelType w:val="multilevel"/>
    <w:tmpl w:val="CC4AA878"/>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8DB2F8E"/>
    <w:multiLevelType w:val="multilevel"/>
    <w:tmpl w:val="499401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A3D56B3"/>
    <w:multiLevelType w:val="multilevel"/>
    <w:tmpl w:val="CC4AA878"/>
    <w:styleLink w:val="zGList"/>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9444A06"/>
    <w:multiLevelType w:val="multilevel"/>
    <w:tmpl w:val="04A0BED2"/>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97A59DA"/>
    <w:multiLevelType w:val="multilevel"/>
    <w:tmpl w:val="EC9834B0"/>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7" w15:restartNumberingAfterBreak="0">
    <w:nsid w:val="5ABC165F"/>
    <w:multiLevelType w:val="multilevel"/>
    <w:tmpl w:val="87ECE920"/>
    <w:name w:val="zGBody2"/>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3"/>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8" w15:restartNumberingAfterBreak="0">
    <w:nsid w:val="5DF25CC3"/>
    <w:multiLevelType w:val="multilevel"/>
    <w:tmpl w:val="CC4AA878"/>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36C6DCC"/>
    <w:multiLevelType w:val="multilevel"/>
    <w:tmpl w:val="F6444EBA"/>
    <w:name w:val="zGBody4"/>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2"/>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40" w15:restartNumberingAfterBreak="0">
    <w:nsid w:val="69331D87"/>
    <w:multiLevelType w:val="hybridMultilevel"/>
    <w:tmpl w:val="D92C270A"/>
    <w:name w:val="Heading3"/>
    <w:lvl w:ilvl="0" w:tplc="4F0A936C">
      <w:start w:val="1"/>
      <w:numFmt w:val="bullet"/>
      <w:pStyle w:val="ListBullet5"/>
      <w:lvlText w:val=""/>
      <w:lvlJc w:val="left"/>
      <w:pPr>
        <w:ind w:left="1440" w:hanging="360"/>
      </w:pPr>
      <w:rPr>
        <w:rFonts w:ascii="Wingdings" w:hAnsi="Wingdings" w:hint="default"/>
      </w:rPr>
    </w:lvl>
    <w:lvl w:ilvl="1" w:tplc="2C0877EE" w:tentative="1">
      <w:start w:val="1"/>
      <w:numFmt w:val="bullet"/>
      <w:lvlText w:val="o"/>
      <w:lvlJc w:val="left"/>
      <w:pPr>
        <w:ind w:left="2160" w:hanging="360"/>
      </w:pPr>
      <w:rPr>
        <w:rFonts w:ascii="Courier New" w:hAnsi="Courier New" w:cs="Courier New" w:hint="default"/>
      </w:rPr>
    </w:lvl>
    <w:lvl w:ilvl="2" w:tplc="7932D138" w:tentative="1">
      <w:start w:val="1"/>
      <w:numFmt w:val="bullet"/>
      <w:lvlText w:val=""/>
      <w:lvlJc w:val="left"/>
      <w:pPr>
        <w:ind w:left="2880" w:hanging="360"/>
      </w:pPr>
      <w:rPr>
        <w:rFonts w:ascii="Wingdings" w:hAnsi="Wingdings" w:hint="default"/>
      </w:rPr>
    </w:lvl>
    <w:lvl w:ilvl="3" w:tplc="E072F7E4" w:tentative="1">
      <w:start w:val="1"/>
      <w:numFmt w:val="bullet"/>
      <w:lvlText w:val=""/>
      <w:lvlJc w:val="left"/>
      <w:pPr>
        <w:ind w:left="3600" w:hanging="360"/>
      </w:pPr>
      <w:rPr>
        <w:rFonts w:ascii="Symbol" w:hAnsi="Symbol" w:hint="default"/>
      </w:rPr>
    </w:lvl>
    <w:lvl w:ilvl="4" w:tplc="972293C8" w:tentative="1">
      <w:start w:val="1"/>
      <w:numFmt w:val="bullet"/>
      <w:lvlText w:val="o"/>
      <w:lvlJc w:val="left"/>
      <w:pPr>
        <w:ind w:left="4320" w:hanging="360"/>
      </w:pPr>
      <w:rPr>
        <w:rFonts w:ascii="Courier New" w:hAnsi="Courier New" w:cs="Courier New" w:hint="default"/>
      </w:rPr>
    </w:lvl>
    <w:lvl w:ilvl="5" w:tplc="F79227C6" w:tentative="1">
      <w:start w:val="1"/>
      <w:numFmt w:val="bullet"/>
      <w:lvlText w:val=""/>
      <w:lvlJc w:val="left"/>
      <w:pPr>
        <w:ind w:left="5040" w:hanging="360"/>
      </w:pPr>
      <w:rPr>
        <w:rFonts w:ascii="Wingdings" w:hAnsi="Wingdings" w:hint="default"/>
      </w:rPr>
    </w:lvl>
    <w:lvl w:ilvl="6" w:tplc="27E4BBD0" w:tentative="1">
      <w:start w:val="1"/>
      <w:numFmt w:val="bullet"/>
      <w:lvlText w:val=""/>
      <w:lvlJc w:val="left"/>
      <w:pPr>
        <w:ind w:left="5760" w:hanging="360"/>
      </w:pPr>
      <w:rPr>
        <w:rFonts w:ascii="Symbol" w:hAnsi="Symbol" w:hint="default"/>
      </w:rPr>
    </w:lvl>
    <w:lvl w:ilvl="7" w:tplc="B572608C" w:tentative="1">
      <w:start w:val="1"/>
      <w:numFmt w:val="bullet"/>
      <w:lvlText w:val="o"/>
      <w:lvlJc w:val="left"/>
      <w:pPr>
        <w:ind w:left="6480" w:hanging="360"/>
      </w:pPr>
      <w:rPr>
        <w:rFonts w:ascii="Courier New" w:hAnsi="Courier New" w:cs="Courier New" w:hint="default"/>
      </w:rPr>
    </w:lvl>
    <w:lvl w:ilvl="8" w:tplc="54B2861A" w:tentative="1">
      <w:start w:val="1"/>
      <w:numFmt w:val="bullet"/>
      <w:lvlText w:val=""/>
      <w:lvlJc w:val="left"/>
      <w:pPr>
        <w:ind w:left="7200" w:hanging="360"/>
      </w:pPr>
      <w:rPr>
        <w:rFonts w:ascii="Wingdings" w:hAnsi="Wingdings" w:hint="default"/>
      </w:rPr>
    </w:lvl>
  </w:abstractNum>
  <w:abstractNum w:abstractNumId="41" w15:restartNumberingAfterBreak="0">
    <w:nsid w:val="6A29672F"/>
    <w:multiLevelType w:val="multilevel"/>
    <w:tmpl w:val="A8D6B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F123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6F1D81"/>
    <w:multiLevelType w:val="multilevel"/>
    <w:tmpl w:val="04A0BED2"/>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CDC5CBB"/>
    <w:multiLevelType w:val="multilevel"/>
    <w:tmpl w:val="4CA0FEC6"/>
    <w:name w:val="zGBody3"/>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2"/>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45" w15:restartNumberingAfterBreak="0">
    <w:nsid w:val="7DF57309"/>
    <w:multiLevelType w:val="multilevel"/>
    <w:tmpl w:val="EC9834B0"/>
    <w:name w:val="zGBody"/>
    <w:styleLink w:val="zGzListStyle2"/>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46" w15:restartNumberingAfterBreak="0">
    <w:nsid w:val="7E054865"/>
    <w:multiLevelType w:val="multilevel"/>
    <w:tmpl w:val="12FA69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26917991">
    <w:abstractNumId w:val="3"/>
  </w:num>
  <w:num w:numId="2" w16cid:durableId="1412700414">
    <w:abstractNumId w:val="2"/>
  </w:num>
  <w:num w:numId="3" w16cid:durableId="1299845286">
    <w:abstractNumId w:val="1"/>
  </w:num>
  <w:num w:numId="4" w16cid:durableId="1415467336">
    <w:abstractNumId w:val="13"/>
  </w:num>
  <w:num w:numId="5" w16cid:durableId="1988590587">
    <w:abstractNumId w:val="40"/>
  </w:num>
  <w:num w:numId="6" w16cid:durableId="715548307">
    <w:abstractNumId w:val="14"/>
  </w:num>
  <w:num w:numId="7" w16cid:durableId="1457483623">
    <w:abstractNumId w:val="22"/>
  </w:num>
  <w:num w:numId="8" w16cid:durableId="1333412493">
    <w:abstractNumId w:val="28"/>
  </w:num>
  <w:num w:numId="9" w16cid:durableId="1846168232">
    <w:abstractNumId w:val="41"/>
  </w:num>
  <w:num w:numId="10" w16cid:durableId="398212628">
    <w:abstractNumId w:val="33"/>
  </w:num>
  <w:num w:numId="11" w16cid:durableId="1243180682">
    <w:abstractNumId w:val="46"/>
  </w:num>
  <w:num w:numId="12" w16cid:durableId="1751927576">
    <w:abstractNumId w:val="34"/>
  </w:num>
  <w:num w:numId="13" w16cid:durableId="1144277178">
    <w:abstractNumId w:val="16"/>
  </w:num>
  <w:num w:numId="14" w16cid:durableId="777797721">
    <w:abstractNumId w:val="31"/>
  </w:num>
  <w:num w:numId="15" w16cid:durableId="1001929271">
    <w:abstractNumId w:val="24"/>
    <w:lvlOverride w:ilvl="0">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lvl w:ilvl="2">
        <w:start w:val="1"/>
        <w:numFmt w:val="decimal"/>
        <w:lvlText w:val="%1.%2.%3."/>
        <w:lvlJc w:val="left"/>
        <w:pPr>
          <w:tabs>
            <w:tab w:val="num" w:pos="1998"/>
          </w:tabs>
          <w:ind w:left="1350" w:firstLine="0"/>
        </w:pPr>
        <w:rPr>
          <w:rFonts w:hint="default"/>
          <w:b/>
          <w:bCs/>
        </w:rPr>
      </w:lvl>
    </w:lvlOverride>
    <w:lvlOverride w:ilvl="3">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1126779026">
    <w:abstractNumId w:val="24"/>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7" w16cid:durableId="670566214">
    <w:abstractNumId w:val="24"/>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8" w16cid:durableId="383064720">
    <w:abstractNumId w:val="24"/>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9" w16cid:durableId="1050499272">
    <w:abstractNumId w:val="24"/>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0" w16cid:durableId="971667402">
    <w:abstractNumId w:val="20"/>
  </w:num>
  <w:num w:numId="21" w16cid:durableId="1074163833">
    <w:abstractNumId w:val="38"/>
  </w:num>
  <w:num w:numId="22" w16cid:durableId="2079160167">
    <w:abstractNumId w:val="23"/>
  </w:num>
  <w:num w:numId="23" w16cid:durableId="2030909587">
    <w:abstractNumId w:val="1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726045">
    <w:abstractNumId w:val="21"/>
  </w:num>
  <w:num w:numId="25" w16cid:durableId="1277054428">
    <w:abstractNumId w:val="45"/>
    <w:lvlOverride w:ilvl="0">
      <w:startOverride w:val="1"/>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startOverride w:val="1"/>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startOverride w:val="1"/>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startOverride w:val="1"/>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startOverride w:val="1"/>
      <w:lvl w:ilvl="4">
        <w:start w:val="1"/>
        <w:numFmt w:val="lowerRoman"/>
        <w:lvlText w:val="(%5)."/>
        <w:lvlJc w:val="left"/>
        <w:pPr>
          <w:tabs>
            <w:tab w:val="num" w:pos="2304"/>
          </w:tabs>
          <w:ind w:left="1872" w:firstLine="0"/>
        </w:pPr>
        <w:rPr>
          <w:rFonts w:ascii="Arial Bold" w:hAnsi="Arial Bold" w:hint="default"/>
          <w:b/>
          <w:bCs w:val="0"/>
          <w:i w:val="0"/>
          <w:sz w:val="20"/>
        </w:rPr>
      </w:lvl>
    </w:lvlOverride>
    <w:lvlOverride w:ilvl="5">
      <w:startOverride w:val="1"/>
      <w:lvl w:ilvl="5">
        <w:start w:val="1"/>
        <w:numFmt w:val="lowerLetter"/>
        <w:lvlText w:val="(%6)"/>
        <w:lvlJc w:val="left"/>
        <w:pPr>
          <w:tabs>
            <w:tab w:val="num" w:pos="2088"/>
          </w:tabs>
          <w:ind w:left="2088" w:firstLine="0"/>
        </w:pPr>
        <w:rPr>
          <w:rFonts w:ascii="Arial Bold" w:hAnsi="Arial Bold" w:hint="default"/>
          <w:b/>
          <w:i w:val="0"/>
          <w:sz w:val="20"/>
        </w:rPr>
      </w:lvl>
    </w:lvlOverride>
    <w:lvlOverride w:ilvl="6">
      <w:startOverride w:val="1"/>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startOverride w:val="1"/>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startOverride w:val="1"/>
      <w:lvl w:ilvl="8">
        <w:start w:val="1"/>
        <w:numFmt w:val="bullet"/>
        <w:lvlText w:val=""/>
        <w:lvlJc w:val="left"/>
        <w:pPr>
          <w:tabs>
            <w:tab w:val="num" w:pos="3744"/>
          </w:tabs>
          <w:ind w:left="3384" w:firstLine="0"/>
        </w:pPr>
        <w:rPr>
          <w:rFonts w:ascii="Symbol" w:hAnsi="Symbol" w:hint="default"/>
          <w:strike w:val="0"/>
          <w:dstrike w:val="0"/>
          <w:color w:val="auto"/>
        </w:rPr>
      </w:lvl>
    </w:lvlOverride>
  </w:num>
  <w:num w:numId="26" w16cid:durableId="1453013381">
    <w:abstractNumId w:val="45"/>
    <w:lvlOverride w:ilvl="0">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Override>
    <w:lvlOverride w:ilvl="1">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Override>
    <w:lvlOverride w:ilvl="2">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rPr>
      </w:lvl>
    </w:lvlOverride>
    <w:lvlOverride w:ilvl="3">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rPr>
      </w:lvl>
    </w:lvlOverride>
    <w:lvlOverride w:ilvl="4">
      <w:lvl w:ilvl="4">
        <w:start w:val="1"/>
        <w:numFmt w:val="lowerRoman"/>
        <w:lvlText w:val="(%5)."/>
        <w:lvlJc w:val="left"/>
        <w:pPr>
          <w:tabs>
            <w:tab w:val="num" w:pos="2304"/>
          </w:tabs>
          <w:ind w:left="1872" w:firstLine="0"/>
        </w:pPr>
        <w:rPr>
          <w:rFonts w:ascii="Arial Bold" w:hAnsi="Arial Bold" w:hint="default"/>
          <w:b/>
          <w:bCs w:val="0"/>
          <w:i w:val="0"/>
          <w:sz w:val="20"/>
        </w:rPr>
      </w:lvl>
    </w:lvlOverride>
    <w:lvlOverride w:ilvl="5">
      <w:lvl w:ilvl="5">
        <w:start w:val="1"/>
        <w:numFmt w:val="lowerLetter"/>
        <w:lvlText w:val="(%6)"/>
        <w:lvlJc w:val="left"/>
        <w:pPr>
          <w:tabs>
            <w:tab w:val="num" w:pos="2088"/>
          </w:tabs>
          <w:ind w:left="2088" w:firstLine="0"/>
        </w:pPr>
        <w:rPr>
          <w:rFonts w:ascii="Arial Bold" w:hAnsi="Arial Bold" w:hint="default"/>
          <w:b/>
          <w:i w:val="0"/>
          <w:sz w:val="20"/>
        </w:rPr>
      </w:lvl>
    </w:lvlOverride>
    <w:lvlOverride w:ilvl="6">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Override>
    <w:lvlOverride w:ilvl="7">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Override>
    <w:lvlOverride w:ilvl="8">
      <w:lvl w:ilvl="8">
        <w:start w:val="1"/>
        <w:numFmt w:val="bullet"/>
        <w:lvlText w:val=""/>
        <w:lvlJc w:val="left"/>
        <w:pPr>
          <w:tabs>
            <w:tab w:val="num" w:pos="3744"/>
          </w:tabs>
          <w:ind w:left="3384" w:firstLine="0"/>
        </w:pPr>
        <w:rPr>
          <w:rFonts w:ascii="Symbol" w:hAnsi="Symbol" w:hint="default"/>
          <w:strike w:val="0"/>
          <w:dstrike w:val="0"/>
          <w:color w:val="auto"/>
        </w:rPr>
      </w:lvl>
    </w:lvlOverride>
  </w:num>
  <w:num w:numId="27" w16cid:durableId="709954907">
    <w:abstractNumId w:val="45"/>
    <w:lvlOverride w:ilvl="0">
      <w:startOverride w:val="1"/>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startOverride w:val="1"/>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startOverride w:val="1"/>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startOverride w:val="1"/>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startOverride w:val="1"/>
      <w:lvl w:ilvl="4">
        <w:start w:val="1"/>
        <w:numFmt w:val="lowerRoman"/>
        <w:lvlText w:val="(%5)."/>
        <w:lvlJc w:val="left"/>
        <w:pPr>
          <w:tabs>
            <w:tab w:val="num" w:pos="2304"/>
          </w:tabs>
          <w:ind w:left="1872" w:firstLine="0"/>
        </w:pPr>
        <w:rPr>
          <w:rFonts w:ascii="Arial Bold" w:hAnsi="Arial Bold" w:hint="default"/>
          <w:b/>
          <w:bCs w:val="0"/>
          <w:i w:val="0"/>
          <w:sz w:val="20"/>
        </w:rPr>
      </w:lvl>
    </w:lvlOverride>
    <w:lvlOverride w:ilvl="5">
      <w:startOverride w:val="1"/>
      <w:lvl w:ilvl="5">
        <w:start w:val="1"/>
        <w:numFmt w:val="lowerLetter"/>
        <w:lvlText w:val="(%6)"/>
        <w:lvlJc w:val="left"/>
        <w:pPr>
          <w:tabs>
            <w:tab w:val="num" w:pos="2088"/>
          </w:tabs>
          <w:ind w:left="2088" w:firstLine="0"/>
        </w:pPr>
        <w:rPr>
          <w:rFonts w:ascii="Arial Bold" w:hAnsi="Arial Bold" w:hint="default"/>
          <w:b/>
          <w:i w:val="0"/>
          <w:sz w:val="20"/>
        </w:rPr>
      </w:lvl>
    </w:lvlOverride>
    <w:lvlOverride w:ilvl="6">
      <w:startOverride w:val="1"/>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startOverride w:val="1"/>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startOverride w:val="1"/>
      <w:lvl w:ilvl="8">
        <w:start w:val="1"/>
        <w:numFmt w:val="bullet"/>
        <w:lvlText w:val=""/>
        <w:lvlJc w:val="left"/>
        <w:pPr>
          <w:tabs>
            <w:tab w:val="num" w:pos="3744"/>
          </w:tabs>
          <w:ind w:left="3384" w:firstLine="0"/>
        </w:pPr>
        <w:rPr>
          <w:rFonts w:ascii="Symbol" w:hAnsi="Symbol" w:hint="default"/>
          <w:strike w:val="0"/>
          <w:dstrike w:val="0"/>
          <w:color w:val="auto"/>
        </w:rPr>
      </w:lvl>
    </w:lvlOverride>
  </w:num>
  <w:num w:numId="28" w16cid:durableId="15083996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1073284">
    <w:abstractNumId w:val="45"/>
    <w:lvlOverride w:ilvl="0">
      <w:startOverride w:val="1"/>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startOverride w:val="1"/>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startOverride w:val="1"/>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startOverride w:val="1"/>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startOverride w:val="1"/>
      <w:lvl w:ilvl="4">
        <w:start w:val="1"/>
        <w:numFmt w:val="lowerRoman"/>
        <w:lvlText w:val="(%5)."/>
        <w:lvlJc w:val="left"/>
        <w:pPr>
          <w:tabs>
            <w:tab w:val="num" w:pos="2304"/>
          </w:tabs>
          <w:ind w:left="1872" w:firstLine="0"/>
        </w:pPr>
        <w:rPr>
          <w:rFonts w:ascii="Arial Bold" w:hAnsi="Arial Bold" w:hint="default"/>
          <w:b/>
          <w:bCs w:val="0"/>
          <w:i w:val="0"/>
          <w:sz w:val="20"/>
        </w:rPr>
      </w:lvl>
    </w:lvlOverride>
    <w:lvlOverride w:ilvl="5">
      <w:startOverride w:val="1"/>
      <w:lvl w:ilvl="5">
        <w:start w:val="1"/>
        <w:numFmt w:val="lowerLetter"/>
        <w:lvlText w:val="(%6)"/>
        <w:lvlJc w:val="left"/>
        <w:pPr>
          <w:tabs>
            <w:tab w:val="num" w:pos="2088"/>
          </w:tabs>
          <w:ind w:left="2088" w:firstLine="0"/>
        </w:pPr>
        <w:rPr>
          <w:rFonts w:ascii="Arial Bold" w:hAnsi="Arial Bold" w:hint="default"/>
          <w:b/>
          <w:i w:val="0"/>
          <w:sz w:val="20"/>
        </w:rPr>
      </w:lvl>
    </w:lvlOverride>
    <w:lvlOverride w:ilvl="6">
      <w:startOverride w:val="1"/>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startOverride w:val="1"/>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startOverride w:val="1"/>
      <w:lvl w:ilvl="8">
        <w:start w:val="1"/>
        <w:numFmt w:val="bullet"/>
        <w:lvlText w:val=""/>
        <w:lvlJc w:val="left"/>
        <w:pPr>
          <w:tabs>
            <w:tab w:val="num" w:pos="3744"/>
          </w:tabs>
          <w:ind w:left="3384" w:firstLine="0"/>
        </w:pPr>
        <w:rPr>
          <w:rFonts w:ascii="Symbol" w:hAnsi="Symbol" w:hint="default"/>
          <w:strike w:val="0"/>
          <w:dstrike w:val="0"/>
          <w:color w:val="auto"/>
        </w:rPr>
      </w:lvl>
    </w:lvlOverride>
  </w:num>
  <w:num w:numId="30" w16cid:durableId="255141680">
    <w:abstractNumId w:val="8"/>
  </w:num>
  <w:num w:numId="31" w16cid:durableId="1407070580">
    <w:abstractNumId w:val="45"/>
  </w:num>
  <w:num w:numId="32" w16cid:durableId="1162043300">
    <w:abstractNumId w:val="11"/>
  </w:num>
  <w:num w:numId="33" w16cid:durableId="1837843811">
    <w:abstractNumId w:val="5"/>
  </w:num>
  <w:num w:numId="34" w16cid:durableId="1395473844">
    <w:abstractNumId w:val="7"/>
  </w:num>
  <w:num w:numId="35" w16cid:durableId="717096461">
    <w:abstractNumId w:val="9"/>
  </w:num>
  <w:num w:numId="36" w16cid:durableId="2119834609">
    <w:abstractNumId w:val="4"/>
  </w:num>
  <w:num w:numId="37" w16cid:durableId="2043943957">
    <w:abstractNumId w:val="18"/>
  </w:num>
  <w:num w:numId="38" w16cid:durableId="16455496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9605598">
    <w:abstractNumId w:val="29"/>
  </w:num>
  <w:num w:numId="40" w16cid:durableId="563562631">
    <w:abstractNumId w:val="24"/>
    <w:lvlOverride w:ilvl="0">
      <w:lvl w:ilvl="0">
        <w:start w:val="1"/>
        <w:numFmt w:val="decimal"/>
        <w:lvlText w:val="Part %1."/>
        <w:lvlJc w:val="left"/>
        <w:pPr>
          <w:tabs>
            <w:tab w:val="num" w:pos="1116"/>
          </w:tabs>
          <w:ind w:left="1116" w:hanging="936"/>
        </w:pPr>
        <w:rPr>
          <w:rFonts w:ascii="Arial" w:hAnsi="Arial" w:cs="Times New Roman" w:hint="default"/>
          <w:b/>
          <w:bCs w:val="0"/>
          <w:i w:val="0"/>
          <w:iCs w:val="0"/>
          <w:caps/>
          <w:smallCaps w:val="0"/>
          <w:strike w:val="0"/>
          <w:dstrike w:val="0"/>
          <w:outline w:val="0"/>
          <w:shadow w:val="0"/>
          <w:emboss w:val="0"/>
          <w:imprint w:val="0"/>
          <w:noProof w:val="0"/>
          <w:vanish w:val="0"/>
          <w:webHidden w:val="0"/>
          <w:color w:val="000000" w:themeColor="text1"/>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lvl w:ilvl="1">
        <w:start w:val="1"/>
        <w:numFmt w:val="decimal"/>
        <w:lvlText w:val="%1.%2"/>
        <w:lvlJc w:val="left"/>
        <w:pPr>
          <w:tabs>
            <w:tab w:val="num" w:pos="720"/>
          </w:tabs>
          <w:ind w:left="0" w:firstLine="0"/>
        </w:pPr>
        <w:rPr>
          <w:rFonts w:ascii="Arial" w:hAnsi="Arial" w:cs="Times New Roman" w:hint="default"/>
          <w:b/>
          <w:i w:val="0"/>
          <w:caps/>
          <w:strike w:val="0"/>
          <w:dstrike w:val="0"/>
          <w:vanish w:val="0"/>
          <w:webHidden w:val="0"/>
          <w:color w:val="000000" w:themeColor="text1"/>
          <w:sz w:val="20"/>
          <w:u w:val="none"/>
          <w:effect w:val="none"/>
          <w:vertAlign w:val="baseline"/>
          <w:specVanish w:val="0"/>
        </w:rPr>
      </w:lvl>
    </w:lvlOverride>
    <w:lvlOverride w:ilvl="2">
      <w:lvl w:ilvl="2">
        <w:start w:val="1"/>
        <w:numFmt w:val="decimal"/>
        <w:lvlText w:val="%1.%2.%3."/>
        <w:lvlJc w:val="left"/>
        <w:pPr>
          <w:tabs>
            <w:tab w:val="num" w:pos="1998"/>
          </w:tabs>
          <w:ind w:left="1350" w:firstLine="0"/>
        </w:pPr>
        <w:rPr>
          <w:rFonts w:ascii="Arial" w:hAnsi="Arial" w:cs="Times New Roman" w:hint="default"/>
          <w:b/>
          <w:bCs/>
          <w:i w:val="0"/>
          <w:caps w:val="0"/>
          <w:strike w:val="0"/>
          <w:dstrike w:val="0"/>
          <w:vanish w:val="0"/>
          <w:webHidden w:val="0"/>
          <w:color w:val="000000" w:themeColor="text1"/>
          <w:sz w:val="20"/>
          <w:u w:val="none"/>
          <w:effect w:val="none"/>
          <w:vertAlign w:val="baseline"/>
          <w:specVanish w:val="0"/>
        </w:rPr>
      </w:lvl>
    </w:lvlOverride>
    <w:lvlOverride w:ilvl="3">
      <w:lvl w:ilvl="3">
        <w:start w:val="1"/>
        <w:numFmt w:val="lowerRoman"/>
        <w:lvlText w:val="(%4)"/>
        <w:lvlJc w:val="left"/>
        <w:pPr>
          <w:tabs>
            <w:tab w:val="num" w:pos="1944"/>
          </w:tabs>
          <w:ind w:left="1440" w:firstLine="0"/>
        </w:pPr>
        <w:rPr>
          <w:b/>
          <w:i w:val="0"/>
          <w:caps w:val="0"/>
          <w:strike w:val="0"/>
          <w:dstrike w:val="0"/>
          <w:vanish w:val="0"/>
          <w:webHidden w:val="0"/>
          <w:color w:val="000000" w:themeColor="text1"/>
          <w:sz w:val="20"/>
          <w:u w:val="none"/>
          <w:effect w:val="none"/>
          <w:vertAlign w:val="baseline"/>
          <w:specVanish w:val="0"/>
        </w:rPr>
      </w:lvl>
    </w:lvlOverride>
    <w:lvlOverride w:ilvl="4">
      <w:lvl w:ilvl="4">
        <w:start w:val="1"/>
        <w:numFmt w:val="decimal"/>
        <w:lvlText w:val="(%5)"/>
        <w:lvlJc w:val="left"/>
        <w:pPr>
          <w:tabs>
            <w:tab w:val="num" w:pos="2448"/>
          </w:tabs>
          <w:ind w:left="1944" w:firstLine="0"/>
        </w:pPr>
        <w:rPr>
          <w:b/>
          <w:i w:val="0"/>
          <w:caps w:val="0"/>
          <w:strike w:val="0"/>
          <w:dstrike w:val="0"/>
          <w:vanish w:val="0"/>
          <w:webHidden w:val="0"/>
          <w:color w:val="000000" w:themeColor="text1"/>
          <w:sz w:val="20"/>
          <w:u w:val="none"/>
          <w:effect w:val="none"/>
          <w:vertAlign w:val="baseline"/>
          <w:specVanish w:val="0"/>
        </w:rPr>
      </w:lvl>
    </w:lvlOverride>
    <w:lvlOverride w:ilvl="5">
      <w:lvl w:ilvl="5">
        <w:start w:val="1"/>
        <w:numFmt w:val="decimal"/>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decimal"/>
        <w:lvlText w:val="%8."/>
        <w:lvlJc w:val="left"/>
        <w:pPr>
          <w:ind w:left="2880" w:hanging="360"/>
        </w:pPr>
      </w:lvl>
    </w:lvlOverride>
    <w:lvlOverride w:ilvl="8">
      <w:lvl w:ilvl="8">
        <w:start w:val="1"/>
        <w:numFmt w:val="decimal"/>
        <w:lvlText w:val="%9."/>
        <w:lvlJc w:val="left"/>
        <w:pPr>
          <w:ind w:left="3240" w:hanging="360"/>
        </w:pPr>
      </w:lvl>
    </w:lvlOverride>
  </w:num>
  <w:num w:numId="41" w16cid:durableId="78410564">
    <w:abstractNumId w:val="32"/>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14481455">
    <w:abstractNumId w:val="17"/>
    <w:lvlOverride w:ilvl="0">
      <w:startOverride w:val="16"/>
    </w:lvlOverride>
    <w:lvlOverride w:ilvl="1">
      <w:startOverride w:val="1"/>
    </w:lvlOverride>
    <w:lvlOverride w:ilvl="2">
      <w:startOverride w:val="9"/>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409785">
    <w:abstractNumId w:val="35"/>
  </w:num>
  <w:num w:numId="44" w16cid:durableId="790322907">
    <w:abstractNumId w:val="12"/>
  </w:num>
  <w:num w:numId="45" w16cid:durableId="602416444">
    <w:abstractNumId w:val="0"/>
  </w:num>
  <w:num w:numId="46" w16cid:durableId="1398434484">
    <w:abstractNumId w:val="17"/>
  </w:num>
  <w:num w:numId="47" w16cid:durableId="77144751">
    <w:abstractNumId w:val="25"/>
  </w:num>
  <w:num w:numId="48" w16cid:durableId="798111304">
    <w:abstractNumId w:val="27"/>
  </w:num>
  <w:num w:numId="49" w16cid:durableId="128132754">
    <w:abstractNumId w:val="15"/>
  </w:num>
  <w:num w:numId="50" w16cid:durableId="319694065">
    <w:abstractNumId w:val="30"/>
  </w:num>
  <w:num w:numId="51" w16cid:durableId="915627344">
    <w:abstractNumId w:val="36"/>
  </w:num>
  <w:num w:numId="52" w16cid:durableId="910390274">
    <w:abstractNumId w:val="6"/>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0795884">
    <w:abstractNumId w:val="19"/>
  </w:num>
  <w:num w:numId="54" w16cid:durableId="185680033">
    <w:abstractNumId w:val="26"/>
  </w:num>
  <w:num w:numId="55" w16cid:durableId="621765423">
    <w:abstractNumId w:val="10"/>
  </w:num>
  <w:num w:numId="56" w16cid:durableId="1073968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4898298">
    <w:abstractNumId w:val="24"/>
  </w:num>
  <w:num w:numId="58" w16cid:durableId="364598513">
    <w:abstractNumId w:val="17"/>
    <w:lvlOverride w:ilvl="0">
      <w:startOverride w:val="1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78115296">
    <w:abstractNumId w:val="43"/>
  </w:num>
  <w:num w:numId="60" w16cid:durableId="912935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69756278">
    <w:abstractNumId w:val="17"/>
  </w:num>
  <w:num w:numId="62" w16cid:durableId="1836140316">
    <w:abstractNumId w:val="17"/>
  </w:num>
  <w:num w:numId="63" w16cid:durableId="937907998">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4C4"/>
    <w:rsid w:val="00000022"/>
    <w:rsid w:val="0000007D"/>
    <w:rsid w:val="000000EA"/>
    <w:rsid w:val="0000011D"/>
    <w:rsid w:val="00000124"/>
    <w:rsid w:val="00000151"/>
    <w:rsid w:val="000001EB"/>
    <w:rsid w:val="000002FC"/>
    <w:rsid w:val="00000321"/>
    <w:rsid w:val="000003B7"/>
    <w:rsid w:val="000003C0"/>
    <w:rsid w:val="000003EB"/>
    <w:rsid w:val="00000454"/>
    <w:rsid w:val="000004B5"/>
    <w:rsid w:val="000004FC"/>
    <w:rsid w:val="0000069B"/>
    <w:rsid w:val="000006DB"/>
    <w:rsid w:val="0000071B"/>
    <w:rsid w:val="00000757"/>
    <w:rsid w:val="0000087A"/>
    <w:rsid w:val="00000ACD"/>
    <w:rsid w:val="00000AF0"/>
    <w:rsid w:val="00000B0A"/>
    <w:rsid w:val="00000BD2"/>
    <w:rsid w:val="00000F3A"/>
    <w:rsid w:val="00000F4B"/>
    <w:rsid w:val="0000101E"/>
    <w:rsid w:val="000010E2"/>
    <w:rsid w:val="0000130A"/>
    <w:rsid w:val="0000131B"/>
    <w:rsid w:val="00001344"/>
    <w:rsid w:val="000014B3"/>
    <w:rsid w:val="000015B0"/>
    <w:rsid w:val="000016F5"/>
    <w:rsid w:val="0000171C"/>
    <w:rsid w:val="0000174B"/>
    <w:rsid w:val="000017AB"/>
    <w:rsid w:val="000017C1"/>
    <w:rsid w:val="00001838"/>
    <w:rsid w:val="0000184F"/>
    <w:rsid w:val="00001B55"/>
    <w:rsid w:val="00001B81"/>
    <w:rsid w:val="00001BEA"/>
    <w:rsid w:val="00001C19"/>
    <w:rsid w:val="00001C85"/>
    <w:rsid w:val="00001C91"/>
    <w:rsid w:val="00001D13"/>
    <w:rsid w:val="00001E13"/>
    <w:rsid w:val="00001E1E"/>
    <w:rsid w:val="00001E25"/>
    <w:rsid w:val="00001E68"/>
    <w:rsid w:val="00001EE0"/>
    <w:rsid w:val="00001F67"/>
    <w:rsid w:val="00001F96"/>
    <w:rsid w:val="00002026"/>
    <w:rsid w:val="000023C6"/>
    <w:rsid w:val="000023D2"/>
    <w:rsid w:val="0000267A"/>
    <w:rsid w:val="00002745"/>
    <w:rsid w:val="0000292F"/>
    <w:rsid w:val="00002993"/>
    <w:rsid w:val="00002A3A"/>
    <w:rsid w:val="00002A40"/>
    <w:rsid w:val="00002A42"/>
    <w:rsid w:val="00002B85"/>
    <w:rsid w:val="00002BA1"/>
    <w:rsid w:val="00002C8B"/>
    <w:rsid w:val="00002CA7"/>
    <w:rsid w:val="00002CB5"/>
    <w:rsid w:val="00002D63"/>
    <w:rsid w:val="00002D81"/>
    <w:rsid w:val="00002DB9"/>
    <w:rsid w:val="00002E0E"/>
    <w:rsid w:val="00002E13"/>
    <w:rsid w:val="00003034"/>
    <w:rsid w:val="00003078"/>
    <w:rsid w:val="0000332C"/>
    <w:rsid w:val="0000345B"/>
    <w:rsid w:val="0000349D"/>
    <w:rsid w:val="000034F8"/>
    <w:rsid w:val="00003581"/>
    <w:rsid w:val="00003583"/>
    <w:rsid w:val="000035A3"/>
    <w:rsid w:val="000035A8"/>
    <w:rsid w:val="000035BE"/>
    <w:rsid w:val="000035EA"/>
    <w:rsid w:val="00003604"/>
    <w:rsid w:val="0000364E"/>
    <w:rsid w:val="00003668"/>
    <w:rsid w:val="000037B3"/>
    <w:rsid w:val="00003871"/>
    <w:rsid w:val="000038B8"/>
    <w:rsid w:val="000038CE"/>
    <w:rsid w:val="000038D4"/>
    <w:rsid w:val="00003990"/>
    <w:rsid w:val="00003AE9"/>
    <w:rsid w:val="00003BA1"/>
    <w:rsid w:val="00003C21"/>
    <w:rsid w:val="00003DC3"/>
    <w:rsid w:val="00003DD5"/>
    <w:rsid w:val="00003E86"/>
    <w:rsid w:val="00003F6D"/>
    <w:rsid w:val="00003F92"/>
    <w:rsid w:val="00003FF7"/>
    <w:rsid w:val="0000408E"/>
    <w:rsid w:val="0000411F"/>
    <w:rsid w:val="0000412E"/>
    <w:rsid w:val="0000426E"/>
    <w:rsid w:val="000042EB"/>
    <w:rsid w:val="0000431B"/>
    <w:rsid w:val="00004368"/>
    <w:rsid w:val="000044AF"/>
    <w:rsid w:val="00004524"/>
    <w:rsid w:val="00004568"/>
    <w:rsid w:val="00004601"/>
    <w:rsid w:val="0000463B"/>
    <w:rsid w:val="00004790"/>
    <w:rsid w:val="000047C4"/>
    <w:rsid w:val="000047D9"/>
    <w:rsid w:val="0000489C"/>
    <w:rsid w:val="000048F4"/>
    <w:rsid w:val="00004949"/>
    <w:rsid w:val="0000495B"/>
    <w:rsid w:val="00004A72"/>
    <w:rsid w:val="00004C0C"/>
    <w:rsid w:val="00004CCF"/>
    <w:rsid w:val="00004D52"/>
    <w:rsid w:val="00004EC7"/>
    <w:rsid w:val="00004FAC"/>
    <w:rsid w:val="000050A2"/>
    <w:rsid w:val="000050D3"/>
    <w:rsid w:val="00005185"/>
    <w:rsid w:val="000052AF"/>
    <w:rsid w:val="000052E7"/>
    <w:rsid w:val="000053EC"/>
    <w:rsid w:val="00005489"/>
    <w:rsid w:val="000054B0"/>
    <w:rsid w:val="0000560F"/>
    <w:rsid w:val="00005663"/>
    <w:rsid w:val="00005665"/>
    <w:rsid w:val="000056B0"/>
    <w:rsid w:val="000056E1"/>
    <w:rsid w:val="00005881"/>
    <w:rsid w:val="0000593A"/>
    <w:rsid w:val="00005B3D"/>
    <w:rsid w:val="00005B44"/>
    <w:rsid w:val="00005B4C"/>
    <w:rsid w:val="00005C43"/>
    <w:rsid w:val="00005D3C"/>
    <w:rsid w:val="00005E19"/>
    <w:rsid w:val="00005F5A"/>
    <w:rsid w:val="00005F6A"/>
    <w:rsid w:val="0000604D"/>
    <w:rsid w:val="00006078"/>
    <w:rsid w:val="000060C1"/>
    <w:rsid w:val="00006128"/>
    <w:rsid w:val="0000612B"/>
    <w:rsid w:val="00006154"/>
    <w:rsid w:val="00006263"/>
    <w:rsid w:val="0000627D"/>
    <w:rsid w:val="000062BC"/>
    <w:rsid w:val="0000630F"/>
    <w:rsid w:val="000063DF"/>
    <w:rsid w:val="00006417"/>
    <w:rsid w:val="00006426"/>
    <w:rsid w:val="00006447"/>
    <w:rsid w:val="00006497"/>
    <w:rsid w:val="00006658"/>
    <w:rsid w:val="0000669A"/>
    <w:rsid w:val="0000674B"/>
    <w:rsid w:val="00006942"/>
    <w:rsid w:val="00006A47"/>
    <w:rsid w:val="00006B34"/>
    <w:rsid w:val="00006B5A"/>
    <w:rsid w:val="00006CD3"/>
    <w:rsid w:val="00006D91"/>
    <w:rsid w:val="00006DED"/>
    <w:rsid w:val="00006E66"/>
    <w:rsid w:val="00006F5C"/>
    <w:rsid w:val="00006FB2"/>
    <w:rsid w:val="00007130"/>
    <w:rsid w:val="000072CF"/>
    <w:rsid w:val="00007328"/>
    <w:rsid w:val="000074FD"/>
    <w:rsid w:val="0000753A"/>
    <w:rsid w:val="0000753B"/>
    <w:rsid w:val="00007623"/>
    <w:rsid w:val="000076EE"/>
    <w:rsid w:val="0000770C"/>
    <w:rsid w:val="000077D8"/>
    <w:rsid w:val="00007805"/>
    <w:rsid w:val="00007838"/>
    <w:rsid w:val="00007906"/>
    <w:rsid w:val="00007AE1"/>
    <w:rsid w:val="00007B4A"/>
    <w:rsid w:val="00007C95"/>
    <w:rsid w:val="00007D7B"/>
    <w:rsid w:val="00007DDC"/>
    <w:rsid w:val="00007F0C"/>
    <w:rsid w:val="00010140"/>
    <w:rsid w:val="00010186"/>
    <w:rsid w:val="0001025A"/>
    <w:rsid w:val="00010305"/>
    <w:rsid w:val="00010315"/>
    <w:rsid w:val="00010607"/>
    <w:rsid w:val="00010678"/>
    <w:rsid w:val="00010745"/>
    <w:rsid w:val="0001078D"/>
    <w:rsid w:val="00010820"/>
    <w:rsid w:val="000108DB"/>
    <w:rsid w:val="000108E8"/>
    <w:rsid w:val="000109F9"/>
    <w:rsid w:val="00010A51"/>
    <w:rsid w:val="00010AF1"/>
    <w:rsid w:val="00010C16"/>
    <w:rsid w:val="00010CD8"/>
    <w:rsid w:val="00010DBF"/>
    <w:rsid w:val="00010EE0"/>
    <w:rsid w:val="00010EF3"/>
    <w:rsid w:val="00010F27"/>
    <w:rsid w:val="000110B1"/>
    <w:rsid w:val="000111F5"/>
    <w:rsid w:val="0001136D"/>
    <w:rsid w:val="00011388"/>
    <w:rsid w:val="0001138B"/>
    <w:rsid w:val="000113AE"/>
    <w:rsid w:val="000113B1"/>
    <w:rsid w:val="0001145E"/>
    <w:rsid w:val="00011465"/>
    <w:rsid w:val="00011497"/>
    <w:rsid w:val="0001149E"/>
    <w:rsid w:val="000114E0"/>
    <w:rsid w:val="00011519"/>
    <w:rsid w:val="00011544"/>
    <w:rsid w:val="0001160E"/>
    <w:rsid w:val="00011730"/>
    <w:rsid w:val="00011788"/>
    <w:rsid w:val="00011794"/>
    <w:rsid w:val="000117CA"/>
    <w:rsid w:val="0001180D"/>
    <w:rsid w:val="00011816"/>
    <w:rsid w:val="0001182B"/>
    <w:rsid w:val="00011875"/>
    <w:rsid w:val="000118EE"/>
    <w:rsid w:val="00011CAE"/>
    <w:rsid w:val="00011DA2"/>
    <w:rsid w:val="00011E86"/>
    <w:rsid w:val="00011EA5"/>
    <w:rsid w:val="000120D8"/>
    <w:rsid w:val="00012107"/>
    <w:rsid w:val="000121B4"/>
    <w:rsid w:val="00012209"/>
    <w:rsid w:val="00012258"/>
    <w:rsid w:val="000122BA"/>
    <w:rsid w:val="000123D6"/>
    <w:rsid w:val="0001243B"/>
    <w:rsid w:val="00012502"/>
    <w:rsid w:val="0001250D"/>
    <w:rsid w:val="000125CB"/>
    <w:rsid w:val="000125F8"/>
    <w:rsid w:val="00012600"/>
    <w:rsid w:val="00012625"/>
    <w:rsid w:val="0001279E"/>
    <w:rsid w:val="00012808"/>
    <w:rsid w:val="00012863"/>
    <w:rsid w:val="0001289B"/>
    <w:rsid w:val="00012ADB"/>
    <w:rsid w:val="00012BB5"/>
    <w:rsid w:val="00012CAB"/>
    <w:rsid w:val="00012CF9"/>
    <w:rsid w:val="00012D59"/>
    <w:rsid w:val="00012D98"/>
    <w:rsid w:val="00012DC9"/>
    <w:rsid w:val="000131FC"/>
    <w:rsid w:val="000132BC"/>
    <w:rsid w:val="000133B0"/>
    <w:rsid w:val="000133B5"/>
    <w:rsid w:val="000133BE"/>
    <w:rsid w:val="000133D3"/>
    <w:rsid w:val="0001340B"/>
    <w:rsid w:val="00013432"/>
    <w:rsid w:val="0001344C"/>
    <w:rsid w:val="00013492"/>
    <w:rsid w:val="00013553"/>
    <w:rsid w:val="00013598"/>
    <w:rsid w:val="000135FA"/>
    <w:rsid w:val="0001366F"/>
    <w:rsid w:val="0001368E"/>
    <w:rsid w:val="000136BB"/>
    <w:rsid w:val="00013738"/>
    <w:rsid w:val="0001375A"/>
    <w:rsid w:val="00013902"/>
    <w:rsid w:val="00013997"/>
    <w:rsid w:val="00013B33"/>
    <w:rsid w:val="00013B41"/>
    <w:rsid w:val="00013B4F"/>
    <w:rsid w:val="00013B64"/>
    <w:rsid w:val="00013BC3"/>
    <w:rsid w:val="00013C72"/>
    <w:rsid w:val="00013E61"/>
    <w:rsid w:val="00013E72"/>
    <w:rsid w:val="00013F61"/>
    <w:rsid w:val="00013FE4"/>
    <w:rsid w:val="00014071"/>
    <w:rsid w:val="000140A3"/>
    <w:rsid w:val="000140FE"/>
    <w:rsid w:val="0001415A"/>
    <w:rsid w:val="0001417D"/>
    <w:rsid w:val="00014184"/>
    <w:rsid w:val="000141CB"/>
    <w:rsid w:val="000141F3"/>
    <w:rsid w:val="0001425E"/>
    <w:rsid w:val="000142B2"/>
    <w:rsid w:val="000144B1"/>
    <w:rsid w:val="00014544"/>
    <w:rsid w:val="0001457F"/>
    <w:rsid w:val="0001458D"/>
    <w:rsid w:val="000145AA"/>
    <w:rsid w:val="000146E8"/>
    <w:rsid w:val="000146FB"/>
    <w:rsid w:val="00014725"/>
    <w:rsid w:val="0001472F"/>
    <w:rsid w:val="0001476A"/>
    <w:rsid w:val="00014825"/>
    <w:rsid w:val="00014956"/>
    <w:rsid w:val="0001497D"/>
    <w:rsid w:val="000149B2"/>
    <w:rsid w:val="00014A96"/>
    <w:rsid w:val="00014AEB"/>
    <w:rsid w:val="00014BA1"/>
    <w:rsid w:val="00014BCE"/>
    <w:rsid w:val="00014CB4"/>
    <w:rsid w:val="00014CBA"/>
    <w:rsid w:val="00014D80"/>
    <w:rsid w:val="00014DBC"/>
    <w:rsid w:val="00014E30"/>
    <w:rsid w:val="00014EF1"/>
    <w:rsid w:val="00014F78"/>
    <w:rsid w:val="00014FC2"/>
    <w:rsid w:val="0001516D"/>
    <w:rsid w:val="000151D4"/>
    <w:rsid w:val="00015285"/>
    <w:rsid w:val="00015354"/>
    <w:rsid w:val="000153AC"/>
    <w:rsid w:val="000154E1"/>
    <w:rsid w:val="00015530"/>
    <w:rsid w:val="00015542"/>
    <w:rsid w:val="00015667"/>
    <w:rsid w:val="0001567C"/>
    <w:rsid w:val="00015688"/>
    <w:rsid w:val="000156F1"/>
    <w:rsid w:val="0001574E"/>
    <w:rsid w:val="000157D2"/>
    <w:rsid w:val="00015895"/>
    <w:rsid w:val="00015C5C"/>
    <w:rsid w:val="00015EC8"/>
    <w:rsid w:val="00015EC9"/>
    <w:rsid w:val="00015F56"/>
    <w:rsid w:val="0001613F"/>
    <w:rsid w:val="000161E5"/>
    <w:rsid w:val="000162F4"/>
    <w:rsid w:val="00016324"/>
    <w:rsid w:val="000165D0"/>
    <w:rsid w:val="00016622"/>
    <w:rsid w:val="00016661"/>
    <w:rsid w:val="00016767"/>
    <w:rsid w:val="00016791"/>
    <w:rsid w:val="0001686A"/>
    <w:rsid w:val="000168A8"/>
    <w:rsid w:val="00016A96"/>
    <w:rsid w:val="00016AAE"/>
    <w:rsid w:val="00016B12"/>
    <w:rsid w:val="00016B62"/>
    <w:rsid w:val="00016BC7"/>
    <w:rsid w:val="00016C7E"/>
    <w:rsid w:val="00016D53"/>
    <w:rsid w:val="00016D77"/>
    <w:rsid w:val="00016F01"/>
    <w:rsid w:val="00016FED"/>
    <w:rsid w:val="0001700B"/>
    <w:rsid w:val="000170C2"/>
    <w:rsid w:val="000170E5"/>
    <w:rsid w:val="00017122"/>
    <w:rsid w:val="00017289"/>
    <w:rsid w:val="000174FB"/>
    <w:rsid w:val="0001758B"/>
    <w:rsid w:val="0001761B"/>
    <w:rsid w:val="00017643"/>
    <w:rsid w:val="00017701"/>
    <w:rsid w:val="00017AB8"/>
    <w:rsid w:val="00017CF5"/>
    <w:rsid w:val="00017D59"/>
    <w:rsid w:val="0002002E"/>
    <w:rsid w:val="00020054"/>
    <w:rsid w:val="000200E3"/>
    <w:rsid w:val="00020124"/>
    <w:rsid w:val="0002012C"/>
    <w:rsid w:val="0002014A"/>
    <w:rsid w:val="00020156"/>
    <w:rsid w:val="00020187"/>
    <w:rsid w:val="0002023E"/>
    <w:rsid w:val="0002034A"/>
    <w:rsid w:val="00020464"/>
    <w:rsid w:val="00020582"/>
    <w:rsid w:val="000205A0"/>
    <w:rsid w:val="0002066F"/>
    <w:rsid w:val="00020730"/>
    <w:rsid w:val="000207FB"/>
    <w:rsid w:val="00020859"/>
    <w:rsid w:val="00020864"/>
    <w:rsid w:val="00020908"/>
    <w:rsid w:val="00020A18"/>
    <w:rsid w:val="00020B37"/>
    <w:rsid w:val="00020BC4"/>
    <w:rsid w:val="00020BC6"/>
    <w:rsid w:val="00020C61"/>
    <w:rsid w:val="00020D9E"/>
    <w:rsid w:val="00020E57"/>
    <w:rsid w:val="0002106F"/>
    <w:rsid w:val="00021265"/>
    <w:rsid w:val="0002135A"/>
    <w:rsid w:val="000213E4"/>
    <w:rsid w:val="000214B9"/>
    <w:rsid w:val="00021526"/>
    <w:rsid w:val="00021543"/>
    <w:rsid w:val="0002159D"/>
    <w:rsid w:val="000215CE"/>
    <w:rsid w:val="000215FA"/>
    <w:rsid w:val="000216E5"/>
    <w:rsid w:val="000216F1"/>
    <w:rsid w:val="000217C1"/>
    <w:rsid w:val="00021B46"/>
    <w:rsid w:val="00021BBE"/>
    <w:rsid w:val="00021CAA"/>
    <w:rsid w:val="00021CC6"/>
    <w:rsid w:val="00021CDE"/>
    <w:rsid w:val="00021D1A"/>
    <w:rsid w:val="00021DDC"/>
    <w:rsid w:val="00021E81"/>
    <w:rsid w:val="00021FCA"/>
    <w:rsid w:val="00022033"/>
    <w:rsid w:val="0002205D"/>
    <w:rsid w:val="0002217E"/>
    <w:rsid w:val="000221ED"/>
    <w:rsid w:val="0002222C"/>
    <w:rsid w:val="00022232"/>
    <w:rsid w:val="00022303"/>
    <w:rsid w:val="00022333"/>
    <w:rsid w:val="00022393"/>
    <w:rsid w:val="00022431"/>
    <w:rsid w:val="00022458"/>
    <w:rsid w:val="00022510"/>
    <w:rsid w:val="000225B3"/>
    <w:rsid w:val="00022612"/>
    <w:rsid w:val="000226CE"/>
    <w:rsid w:val="0002278A"/>
    <w:rsid w:val="000229AE"/>
    <w:rsid w:val="000229CA"/>
    <w:rsid w:val="00022A45"/>
    <w:rsid w:val="00022B75"/>
    <w:rsid w:val="00022C5C"/>
    <w:rsid w:val="00022D2C"/>
    <w:rsid w:val="00022EC0"/>
    <w:rsid w:val="00022F0B"/>
    <w:rsid w:val="00022F3C"/>
    <w:rsid w:val="00022FDB"/>
    <w:rsid w:val="0002300E"/>
    <w:rsid w:val="00023014"/>
    <w:rsid w:val="000230C8"/>
    <w:rsid w:val="000230F2"/>
    <w:rsid w:val="0002314D"/>
    <w:rsid w:val="0002328A"/>
    <w:rsid w:val="00023375"/>
    <w:rsid w:val="00023449"/>
    <w:rsid w:val="000234F8"/>
    <w:rsid w:val="00023643"/>
    <w:rsid w:val="00023769"/>
    <w:rsid w:val="000238D5"/>
    <w:rsid w:val="000239C1"/>
    <w:rsid w:val="000239E6"/>
    <w:rsid w:val="00023A1C"/>
    <w:rsid w:val="00023C55"/>
    <w:rsid w:val="00023C7F"/>
    <w:rsid w:val="00023CE9"/>
    <w:rsid w:val="00023DF9"/>
    <w:rsid w:val="00023E24"/>
    <w:rsid w:val="00023E57"/>
    <w:rsid w:val="00023EF0"/>
    <w:rsid w:val="00023F07"/>
    <w:rsid w:val="00023F37"/>
    <w:rsid w:val="00023F6D"/>
    <w:rsid w:val="00023F73"/>
    <w:rsid w:val="00024111"/>
    <w:rsid w:val="00024197"/>
    <w:rsid w:val="000241B9"/>
    <w:rsid w:val="00024239"/>
    <w:rsid w:val="0002423E"/>
    <w:rsid w:val="00024251"/>
    <w:rsid w:val="00024332"/>
    <w:rsid w:val="0002434F"/>
    <w:rsid w:val="00024443"/>
    <w:rsid w:val="000244F0"/>
    <w:rsid w:val="0002467C"/>
    <w:rsid w:val="000246AD"/>
    <w:rsid w:val="0002470A"/>
    <w:rsid w:val="00024771"/>
    <w:rsid w:val="000247F7"/>
    <w:rsid w:val="00024847"/>
    <w:rsid w:val="00024900"/>
    <w:rsid w:val="00024A50"/>
    <w:rsid w:val="00024A64"/>
    <w:rsid w:val="00024ADC"/>
    <w:rsid w:val="00024AE7"/>
    <w:rsid w:val="00024B11"/>
    <w:rsid w:val="00024B32"/>
    <w:rsid w:val="00024B99"/>
    <w:rsid w:val="00024CE8"/>
    <w:rsid w:val="00024EF5"/>
    <w:rsid w:val="00024F27"/>
    <w:rsid w:val="00024FC3"/>
    <w:rsid w:val="00025007"/>
    <w:rsid w:val="000250E1"/>
    <w:rsid w:val="000251A9"/>
    <w:rsid w:val="00025205"/>
    <w:rsid w:val="000252D7"/>
    <w:rsid w:val="000253D6"/>
    <w:rsid w:val="0002560D"/>
    <w:rsid w:val="00025807"/>
    <w:rsid w:val="0002584A"/>
    <w:rsid w:val="0002585B"/>
    <w:rsid w:val="00025A87"/>
    <w:rsid w:val="00025B08"/>
    <w:rsid w:val="00025B4A"/>
    <w:rsid w:val="00025B7F"/>
    <w:rsid w:val="00025B88"/>
    <w:rsid w:val="00025CA7"/>
    <w:rsid w:val="00025E2D"/>
    <w:rsid w:val="00025E7A"/>
    <w:rsid w:val="00025F96"/>
    <w:rsid w:val="00025FF2"/>
    <w:rsid w:val="00026005"/>
    <w:rsid w:val="000260A5"/>
    <w:rsid w:val="00026107"/>
    <w:rsid w:val="0002613A"/>
    <w:rsid w:val="000261AE"/>
    <w:rsid w:val="00026232"/>
    <w:rsid w:val="00026449"/>
    <w:rsid w:val="00026498"/>
    <w:rsid w:val="000264E9"/>
    <w:rsid w:val="00026642"/>
    <w:rsid w:val="00026721"/>
    <w:rsid w:val="0002674B"/>
    <w:rsid w:val="000267B4"/>
    <w:rsid w:val="00026868"/>
    <w:rsid w:val="000268EA"/>
    <w:rsid w:val="00026A4C"/>
    <w:rsid w:val="00026A53"/>
    <w:rsid w:val="00026AD9"/>
    <w:rsid w:val="00026C12"/>
    <w:rsid w:val="00026C46"/>
    <w:rsid w:val="00026CD0"/>
    <w:rsid w:val="00026D1D"/>
    <w:rsid w:val="00026F88"/>
    <w:rsid w:val="00026FDF"/>
    <w:rsid w:val="0002701D"/>
    <w:rsid w:val="000270E1"/>
    <w:rsid w:val="000270FD"/>
    <w:rsid w:val="000270FF"/>
    <w:rsid w:val="000271C5"/>
    <w:rsid w:val="0002739A"/>
    <w:rsid w:val="00027485"/>
    <w:rsid w:val="0002751F"/>
    <w:rsid w:val="00027573"/>
    <w:rsid w:val="0002760A"/>
    <w:rsid w:val="00027625"/>
    <w:rsid w:val="00027711"/>
    <w:rsid w:val="0002776D"/>
    <w:rsid w:val="00027824"/>
    <w:rsid w:val="000278AC"/>
    <w:rsid w:val="0002798B"/>
    <w:rsid w:val="000279CE"/>
    <w:rsid w:val="000279D8"/>
    <w:rsid w:val="000279F7"/>
    <w:rsid w:val="00027A00"/>
    <w:rsid w:val="00027ADC"/>
    <w:rsid w:val="00027C53"/>
    <w:rsid w:val="00027ED0"/>
    <w:rsid w:val="00027F94"/>
    <w:rsid w:val="00030175"/>
    <w:rsid w:val="000301D6"/>
    <w:rsid w:val="000301F9"/>
    <w:rsid w:val="00030214"/>
    <w:rsid w:val="0003034E"/>
    <w:rsid w:val="0003048F"/>
    <w:rsid w:val="00030686"/>
    <w:rsid w:val="000306A9"/>
    <w:rsid w:val="00030787"/>
    <w:rsid w:val="000307CE"/>
    <w:rsid w:val="000307D2"/>
    <w:rsid w:val="000308BD"/>
    <w:rsid w:val="000308E3"/>
    <w:rsid w:val="00030920"/>
    <w:rsid w:val="00030A3E"/>
    <w:rsid w:val="00030ADF"/>
    <w:rsid w:val="00030BC6"/>
    <w:rsid w:val="00030BF1"/>
    <w:rsid w:val="00030C77"/>
    <w:rsid w:val="00030EB2"/>
    <w:rsid w:val="00030FCF"/>
    <w:rsid w:val="00031037"/>
    <w:rsid w:val="0003107F"/>
    <w:rsid w:val="000310DC"/>
    <w:rsid w:val="000310DD"/>
    <w:rsid w:val="00031141"/>
    <w:rsid w:val="00031162"/>
    <w:rsid w:val="000311A8"/>
    <w:rsid w:val="000311AC"/>
    <w:rsid w:val="00031200"/>
    <w:rsid w:val="00031228"/>
    <w:rsid w:val="00031459"/>
    <w:rsid w:val="00031504"/>
    <w:rsid w:val="00031586"/>
    <w:rsid w:val="00031730"/>
    <w:rsid w:val="000317BC"/>
    <w:rsid w:val="000318A4"/>
    <w:rsid w:val="0003194A"/>
    <w:rsid w:val="00031A6D"/>
    <w:rsid w:val="00031BF4"/>
    <w:rsid w:val="00031C05"/>
    <w:rsid w:val="00031C30"/>
    <w:rsid w:val="00031C37"/>
    <w:rsid w:val="00031C43"/>
    <w:rsid w:val="00031FFC"/>
    <w:rsid w:val="00032013"/>
    <w:rsid w:val="00032020"/>
    <w:rsid w:val="00032054"/>
    <w:rsid w:val="00032088"/>
    <w:rsid w:val="000320A6"/>
    <w:rsid w:val="00032185"/>
    <w:rsid w:val="000321A4"/>
    <w:rsid w:val="00032388"/>
    <w:rsid w:val="0003247A"/>
    <w:rsid w:val="00032487"/>
    <w:rsid w:val="000324C1"/>
    <w:rsid w:val="00032555"/>
    <w:rsid w:val="0003264D"/>
    <w:rsid w:val="00032D29"/>
    <w:rsid w:val="00032D64"/>
    <w:rsid w:val="00032EC7"/>
    <w:rsid w:val="00032F35"/>
    <w:rsid w:val="00032F36"/>
    <w:rsid w:val="000330D6"/>
    <w:rsid w:val="000331B6"/>
    <w:rsid w:val="000331D0"/>
    <w:rsid w:val="000331EB"/>
    <w:rsid w:val="000331F4"/>
    <w:rsid w:val="0003323B"/>
    <w:rsid w:val="0003330B"/>
    <w:rsid w:val="00033461"/>
    <w:rsid w:val="000334BF"/>
    <w:rsid w:val="00033529"/>
    <w:rsid w:val="0003358A"/>
    <w:rsid w:val="00033649"/>
    <w:rsid w:val="00033774"/>
    <w:rsid w:val="000337BF"/>
    <w:rsid w:val="00033A58"/>
    <w:rsid w:val="00033AD3"/>
    <w:rsid w:val="00033B71"/>
    <w:rsid w:val="00033B9E"/>
    <w:rsid w:val="00033C83"/>
    <w:rsid w:val="00033D0A"/>
    <w:rsid w:val="00033D80"/>
    <w:rsid w:val="00034141"/>
    <w:rsid w:val="0003430D"/>
    <w:rsid w:val="000343B8"/>
    <w:rsid w:val="000343EB"/>
    <w:rsid w:val="00034400"/>
    <w:rsid w:val="0003452A"/>
    <w:rsid w:val="0003452E"/>
    <w:rsid w:val="0003454F"/>
    <w:rsid w:val="00034557"/>
    <w:rsid w:val="0003461E"/>
    <w:rsid w:val="00034697"/>
    <w:rsid w:val="00034713"/>
    <w:rsid w:val="0003471E"/>
    <w:rsid w:val="00034838"/>
    <w:rsid w:val="00034845"/>
    <w:rsid w:val="000348D8"/>
    <w:rsid w:val="00034951"/>
    <w:rsid w:val="00034A22"/>
    <w:rsid w:val="00034B0C"/>
    <w:rsid w:val="00034C23"/>
    <w:rsid w:val="00034D22"/>
    <w:rsid w:val="00034E6C"/>
    <w:rsid w:val="00034E8D"/>
    <w:rsid w:val="00034F02"/>
    <w:rsid w:val="00035065"/>
    <w:rsid w:val="00035075"/>
    <w:rsid w:val="00035231"/>
    <w:rsid w:val="00035386"/>
    <w:rsid w:val="000353AB"/>
    <w:rsid w:val="000353BD"/>
    <w:rsid w:val="000353CA"/>
    <w:rsid w:val="000353EB"/>
    <w:rsid w:val="00035419"/>
    <w:rsid w:val="00035424"/>
    <w:rsid w:val="000354ED"/>
    <w:rsid w:val="00035534"/>
    <w:rsid w:val="000356B7"/>
    <w:rsid w:val="000356C6"/>
    <w:rsid w:val="000357DA"/>
    <w:rsid w:val="00035895"/>
    <w:rsid w:val="000358C3"/>
    <w:rsid w:val="00035971"/>
    <w:rsid w:val="00035A7A"/>
    <w:rsid w:val="00035ABA"/>
    <w:rsid w:val="00035B23"/>
    <w:rsid w:val="00035BD6"/>
    <w:rsid w:val="00035C00"/>
    <w:rsid w:val="00035CE2"/>
    <w:rsid w:val="00035E59"/>
    <w:rsid w:val="00035F2F"/>
    <w:rsid w:val="00035F76"/>
    <w:rsid w:val="00035F9B"/>
    <w:rsid w:val="00036057"/>
    <w:rsid w:val="00036073"/>
    <w:rsid w:val="000360BA"/>
    <w:rsid w:val="000360D8"/>
    <w:rsid w:val="00036115"/>
    <w:rsid w:val="000361C1"/>
    <w:rsid w:val="0003623E"/>
    <w:rsid w:val="000362F2"/>
    <w:rsid w:val="000363CB"/>
    <w:rsid w:val="0003640C"/>
    <w:rsid w:val="000364D8"/>
    <w:rsid w:val="00036603"/>
    <w:rsid w:val="00036789"/>
    <w:rsid w:val="00036827"/>
    <w:rsid w:val="0003697F"/>
    <w:rsid w:val="000369A7"/>
    <w:rsid w:val="000369E2"/>
    <w:rsid w:val="00036AA7"/>
    <w:rsid w:val="00036B10"/>
    <w:rsid w:val="00036B38"/>
    <w:rsid w:val="00036C26"/>
    <w:rsid w:val="00036C54"/>
    <w:rsid w:val="00036C5B"/>
    <w:rsid w:val="00036C78"/>
    <w:rsid w:val="00036D2E"/>
    <w:rsid w:val="00036D3D"/>
    <w:rsid w:val="00036E41"/>
    <w:rsid w:val="00036E55"/>
    <w:rsid w:val="00036EEE"/>
    <w:rsid w:val="0003702F"/>
    <w:rsid w:val="0003705D"/>
    <w:rsid w:val="00037141"/>
    <w:rsid w:val="000371B2"/>
    <w:rsid w:val="000371EE"/>
    <w:rsid w:val="000372BC"/>
    <w:rsid w:val="000373C7"/>
    <w:rsid w:val="00037632"/>
    <w:rsid w:val="0003769D"/>
    <w:rsid w:val="000376F2"/>
    <w:rsid w:val="00037753"/>
    <w:rsid w:val="000377B0"/>
    <w:rsid w:val="00037898"/>
    <w:rsid w:val="00037A7B"/>
    <w:rsid w:val="00037B42"/>
    <w:rsid w:val="00037B85"/>
    <w:rsid w:val="00037BAA"/>
    <w:rsid w:val="00037E10"/>
    <w:rsid w:val="00037E7B"/>
    <w:rsid w:val="00037EC0"/>
    <w:rsid w:val="00040027"/>
    <w:rsid w:val="0004010E"/>
    <w:rsid w:val="00040162"/>
    <w:rsid w:val="000403C8"/>
    <w:rsid w:val="0004074E"/>
    <w:rsid w:val="000407D8"/>
    <w:rsid w:val="00040897"/>
    <w:rsid w:val="000408B8"/>
    <w:rsid w:val="00040A8B"/>
    <w:rsid w:val="00040AA0"/>
    <w:rsid w:val="00040BAE"/>
    <w:rsid w:val="00040BBB"/>
    <w:rsid w:val="00040D21"/>
    <w:rsid w:val="00040D82"/>
    <w:rsid w:val="00040EC4"/>
    <w:rsid w:val="00040F02"/>
    <w:rsid w:val="00040F8E"/>
    <w:rsid w:val="00040FED"/>
    <w:rsid w:val="00041079"/>
    <w:rsid w:val="000410B6"/>
    <w:rsid w:val="000410C7"/>
    <w:rsid w:val="00041101"/>
    <w:rsid w:val="000411DD"/>
    <w:rsid w:val="000412EC"/>
    <w:rsid w:val="000412ED"/>
    <w:rsid w:val="00041415"/>
    <w:rsid w:val="0004153D"/>
    <w:rsid w:val="000416E2"/>
    <w:rsid w:val="0004170B"/>
    <w:rsid w:val="00041737"/>
    <w:rsid w:val="000417FE"/>
    <w:rsid w:val="0004191F"/>
    <w:rsid w:val="00041A26"/>
    <w:rsid w:val="00041B8D"/>
    <w:rsid w:val="00041D20"/>
    <w:rsid w:val="00041ED4"/>
    <w:rsid w:val="00041FCC"/>
    <w:rsid w:val="00042083"/>
    <w:rsid w:val="000421AC"/>
    <w:rsid w:val="00042206"/>
    <w:rsid w:val="0004223A"/>
    <w:rsid w:val="000422E6"/>
    <w:rsid w:val="00042326"/>
    <w:rsid w:val="000423AE"/>
    <w:rsid w:val="000423E4"/>
    <w:rsid w:val="00042427"/>
    <w:rsid w:val="000424AC"/>
    <w:rsid w:val="00042613"/>
    <w:rsid w:val="00042666"/>
    <w:rsid w:val="000427A1"/>
    <w:rsid w:val="00042884"/>
    <w:rsid w:val="00042937"/>
    <w:rsid w:val="000429E4"/>
    <w:rsid w:val="000429F1"/>
    <w:rsid w:val="00042A5F"/>
    <w:rsid w:val="00042BB4"/>
    <w:rsid w:val="00042D59"/>
    <w:rsid w:val="00042ED9"/>
    <w:rsid w:val="00042FC1"/>
    <w:rsid w:val="000430AD"/>
    <w:rsid w:val="0004314A"/>
    <w:rsid w:val="000431C3"/>
    <w:rsid w:val="000431D6"/>
    <w:rsid w:val="00043267"/>
    <w:rsid w:val="00043658"/>
    <w:rsid w:val="0004370E"/>
    <w:rsid w:val="00043732"/>
    <w:rsid w:val="0004377E"/>
    <w:rsid w:val="0004379B"/>
    <w:rsid w:val="000437EA"/>
    <w:rsid w:val="0004384C"/>
    <w:rsid w:val="00043995"/>
    <w:rsid w:val="00043B48"/>
    <w:rsid w:val="00043E40"/>
    <w:rsid w:val="00043E9A"/>
    <w:rsid w:val="00043EBB"/>
    <w:rsid w:val="00044042"/>
    <w:rsid w:val="000440F3"/>
    <w:rsid w:val="000442BC"/>
    <w:rsid w:val="000442E8"/>
    <w:rsid w:val="00044316"/>
    <w:rsid w:val="0004438D"/>
    <w:rsid w:val="000443DF"/>
    <w:rsid w:val="0004442D"/>
    <w:rsid w:val="0004446C"/>
    <w:rsid w:val="000445BD"/>
    <w:rsid w:val="0004466C"/>
    <w:rsid w:val="0004472F"/>
    <w:rsid w:val="00044772"/>
    <w:rsid w:val="0004477D"/>
    <w:rsid w:val="00044871"/>
    <w:rsid w:val="0004488B"/>
    <w:rsid w:val="000448B1"/>
    <w:rsid w:val="00044956"/>
    <w:rsid w:val="00044A32"/>
    <w:rsid w:val="00044C6D"/>
    <w:rsid w:val="00044CA9"/>
    <w:rsid w:val="00044D19"/>
    <w:rsid w:val="00044D90"/>
    <w:rsid w:val="00044E5F"/>
    <w:rsid w:val="00044EB0"/>
    <w:rsid w:val="00044EC9"/>
    <w:rsid w:val="00044F63"/>
    <w:rsid w:val="00045061"/>
    <w:rsid w:val="0004512C"/>
    <w:rsid w:val="00045235"/>
    <w:rsid w:val="00045236"/>
    <w:rsid w:val="0004523C"/>
    <w:rsid w:val="00045275"/>
    <w:rsid w:val="00045311"/>
    <w:rsid w:val="00045327"/>
    <w:rsid w:val="00045353"/>
    <w:rsid w:val="000453A9"/>
    <w:rsid w:val="000453BF"/>
    <w:rsid w:val="000453E1"/>
    <w:rsid w:val="00045541"/>
    <w:rsid w:val="00045633"/>
    <w:rsid w:val="00045693"/>
    <w:rsid w:val="000458FB"/>
    <w:rsid w:val="0004595F"/>
    <w:rsid w:val="000459E8"/>
    <w:rsid w:val="00045A64"/>
    <w:rsid w:val="00045B30"/>
    <w:rsid w:val="00045B70"/>
    <w:rsid w:val="00045BD1"/>
    <w:rsid w:val="00045CA9"/>
    <w:rsid w:val="00045E43"/>
    <w:rsid w:val="00045F3C"/>
    <w:rsid w:val="00046062"/>
    <w:rsid w:val="00046084"/>
    <w:rsid w:val="000460B3"/>
    <w:rsid w:val="000460C8"/>
    <w:rsid w:val="0004613A"/>
    <w:rsid w:val="00046305"/>
    <w:rsid w:val="00046355"/>
    <w:rsid w:val="000463B5"/>
    <w:rsid w:val="000463E5"/>
    <w:rsid w:val="0004646D"/>
    <w:rsid w:val="00046477"/>
    <w:rsid w:val="00046483"/>
    <w:rsid w:val="000465B8"/>
    <w:rsid w:val="000465EC"/>
    <w:rsid w:val="00046648"/>
    <w:rsid w:val="00046681"/>
    <w:rsid w:val="000466D1"/>
    <w:rsid w:val="000466DC"/>
    <w:rsid w:val="00046768"/>
    <w:rsid w:val="000467E4"/>
    <w:rsid w:val="000468DE"/>
    <w:rsid w:val="00046964"/>
    <w:rsid w:val="00046990"/>
    <w:rsid w:val="000469C0"/>
    <w:rsid w:val="00046A87"/>
    <w:rsid w:val="00046A8C"/>
    <w:rsid w:val="00046A9E"/>
    <w:rsid w:val="00046AA3"/>
    <w:rsid w:val="00046B47"/>
    <w:rsid w:val="00046B61"/>
    <w:rsid w:val="00046C10"/>
    <w:rsid w:val="00046E72"/>
    <w:rsid w:val="00046EA4"/>
    <w:rsid w:val="00047001"/>
    <w:rsid w:val="0004703F"/>
    <w:rsid w:val="00047091"/>
    <w:rsid w:val="0004727E"/>
    <w:rsid w:val="00047343"/>
    <w:rsid w:val="00047380"/>
    <w:rsid w:val="000475AC"/>
    <w:rsid w:val="00047734"/>
    <w:rsid w:val="00047805"/>
    <w:rsid w:val="00047830"/>
    <w:rsid w:val="00047873"/>
    <w:rsid w:val="0004794C"/>
    <w:rsid w:val="0004799C"/>
    <w:rsid w:val="000479AB"/>
    <w:rsid w:val="00047A3C"/>
    <w:rsid w:val="00047BCB"/>
    <w:rsid w:val="00047CF4"/>
    <w:rsid w:val="00047DA1"/>
    <w:rsid w:val="00047DE0"/>
    <w:rsid w:val="00047E26"/>
    <w:rsid w:val="00047F24"/>
    <w:rsid w:val="00047F44"/>
    <w:rsid w:val="000500F0"/>
    <w:rsid w:val="00050165"/>
    <w:rsid w:val="000501FB"/>
    <w:rsid w:val="00050205"/>
    <w:rsid w:val="0005026E"/>
    <w:rsid w:val="000502C4"/>
    <w:rsid w:val="00050300"/>
    <w:rsid w:val="00050338"/>
    <w:rsid w:val="00050344"/>
    <w:rsid w:val="00050607"/>
    <w:rsid w:val="0005060D"/>
    <w:rsid w:val="0005068C"/>
    <w:rsid w:val="000506BB"/>
    <w:rsid w:val="00050718"/>
    <w:rsid w:val="00050893"/>
    <w:rsid w:val="00050A04"/>
    <w:rsid w:val="00050A34"/>
    <w:rsid w:val="00050AA4"/>
    <w:rsid w:val="00050AE6"/>
    <w:rsid w:val="00050AEB"/>
    <w:rsid w:val="00050BD4"/>
    <w:rsid w:val="00050DCB"/>
    <w:rsid w:val="00050DD3"/>
    <w:rsid w:val="00050E4B"/>
    <w:rsid w:val="00050F56"/>
    <w:rsid w:val="00050F67"/>
    <w:rsid w:val="0005103B"/>
    <w:rsid w:val="000510CF"/>
    <w:rsid w:val="00051219"/>
    <w:rsid w:val="0005136F"/>
    <w:rsid w:val="0005157D"/>
    <w:rsid w:val="000515AE"/>
    <w:rsid w:val="000516B9"/>
    <w:rsid w:val="00051788"/>
    <w:rsid w:val="000517CA"/>
    <w:rsid w:val="00051818"/>
    <w:rsid w:val="0005189D"/>
    <w:rsid w:val="000518EA"/>
    <w:rsid w:val="000518F7"/>
    <w:rsid w:val="00051A2E"/>
    <w:rsid w:val="00051A3E"/>
    <w:rsid w:val="00051A75"/>
    <w:rsid w:val="00051B2A"/>
    <w:rsid w:val="00051B8C"/>
    <w:rsid w:val="00051C83"/>
    <w:rsid w:val="00051CBE"/>
    <w:rsid w:val="00051D5F"/>
    <w:rsid w:val="00051D75"/>
    <w:rsid w:val="00051DE2"/>
    <w:rsid w:val="00051FD1"/>
    <w:rsid w:val="00051FDD"/>
    <w:rsid w:val="00051FFA"/>
    <w:rsid w:val="0005224F"/>
    <w:rsid w:val="000523F4"/>
    <w:rsid w:val="000524A2"/>
    <w:rsid w:val="00052503"/>
    <w:rsid w:val="000526DA"/>
    <w:rsid w:val="00052760"/>
    <w:rsid w:val="000527E9"/>
    <w:rsid w:val="000527F6"/>
    <w:rsid w:val="00052823"/>
    <w:rsid w:val="0005282B"/>
    <w:rsid w:val="00052861"/>
    <w:rsid w:val="0005286A"/>
    <w:rsid w:val="00052987"/>
    <w:rsid w:val="00052A4E"/>
    <w:rsid w:val="00052B42"/>
    <w:rsid w:val="00052B46"/>
    <w:rsid w:val="00052BA7"/>
    <w:rsid w:val="00052C7C"/>
    <w:rsid w:val="00052DA4"/>
    <w:rsid w:val="00052EEF"/>
    <w:rsid w:val="00052F49"/>
    <w:rsid w:val="00052FA0"/>
    <w:rsid w:val="00052FEE"/>
    <w:rsid w:val="0005310A"/>
    <w:rsid w:val="00053351"/>
    <w:rsid w:val="00053449"/>
    <w:rsid w:val="000535DB"/>
    <w:rsid w:val="00053659"/>
    <w:rsid w:val="0005371D"/>
    <w:rsid w:val="000538C5"/>
    <w:rsid w:val="00053948"/>
    <w:rsid w:val="00053970"/>
    <w:rsid w:val="00053A4A"/>
    <w:rsid w:val="00053AB1"/>
    <w:rsid w:val="00053D11"/>
    <w:rsid w:val="00053D68"/>
    <w:rsid w:val="00053E01"/>
    <w:rsid w:val="00053E4C"/>
    <w:rsid w:val="00053F5E"/>
    <w:rsid w:val="00054005"/>
    <w:rsid w:val="0005403D"/>
    <w:rsid w:val="00054052"/>
    <w:rsid w:val="00054116"/>
    <w:rsid w:val="00054141"/>
    <w:rsid w:val="0005418D"/>
    <w:rsid w:val="000541AE"/>
    <w:rsid w:val="000541D9"/>
    <w:rsid w:val="000541E8"/>
    <w:rsid w:val="000541F2"/>
    <w:rsid w:val="0005421D"/>
    <w:rsid w:val="0005433C"/>
    <w:rsid w:val="00054466"/>
    <w:rsid w:val="0005448C"/>
    <w:rsid w:val="00054604"/>
    <w:rsid w:val="0005475B"/>
    <w:rsid w:val="00054891"/>
    <w:rsid w:val="000548F9"/>
    <w:rsid w:val="00054972"/>
    <w:rsid w:val="00054985"/>
    <w:rsid w:val="00054A0E"/>
    <w:rsid w:val="00054A87"/>
    <w:rsid w:val="00054AC0"/>
    <w:rsid w:val="00054AF9"/>
    <w:rsid w:val="00054D02"/>
    <w:rsid w:val="00054DA3"/>
    <w:rsid w:val="00054DF8"/>
    <w:rsid w:val="00054E8C"/>
    <w:rsid w:val="00054FC6"/>
    <w:rsid w:val="0005505A"/>
    <w:rsid w:val="00055158"/>
    <w:rsid w:val="000551C3"/>
    <w:rsid w:val="000551D3"/>
    <w:rsid w:val="000552ED"/>
    <w:rsid w:val="00055346"/>
    <w:rsid w:val="00055375"/>
    <w:rsid w:val="000553E9"/>
    <w:rsid w:val="0005540A"/>
    <w:rsid w:val="00055450"/>
    <w:rsid w:val="000554B6"/>
    <w:rsid w:val="0005550E"/>
    <w:rsid w:val="00055511"/>
    <w:rsid w:val="00055527"/>
    <w:rsid w:val="00055546"/>
    <w:rsid w:val="00055588"/>
    <w:rsid w:val="000555DD"/>
    <w:rsid w:val="00055614"/>
    <w:rsid w:val="00055866"/>
    <w:rsid w:val="0005595F"/>
    <w:rsid w:val="00055B20"/>
    <w:rsid w:val="00055BB7"/>
    <w:rsid w:val="00055BD6"/>
    <w:rsid w:val="00055C36"/>
    <w:rsid w:val="00055C38"/>
    <w:rsid w:val="00055D59"/>
    <w:rsid w:val="00055D67"/>
    <w:rsid w:val="00055DCF"/>
    <w:rsid w:val="00055E78"/>
    <w:rsid w:val="00055FB1"/>
    <w:rsid w:val="00056015"/>
    <w:rsid w:val="0005607A"/>
    <w:rsid w:val="000560EC"/>
    <w:rsid w:val="00056116"/>
    <w:rsid w:val="00056123"/>
    <w:rsid w:val="0005619D"/>
    <w:rsid w:val="0005623A"/>
    <w:rsid w:val="000562C8"/>
    <w:rsid w:val="00056310"/>
    <w:rsid w:val="0005638B"/>
    <w:rsid w:val="000563F3"/>
    <w:rsid w:val="000564AC"/>
    <w:rsid w:val="00056585"/>
    <w:rsid w:val="000565A1"/>
    <w:rsid w:val="000565D4"/>
    <w:rsid w:val="000565FE"/>
    <w:rsid w:val="000566B2"/>
    <w:rsid w:val="000567F7"/>
    <w:rsid w:val="0005683D"/>
    <w:rsid w:val="00056859"/>
    <w:rsid w:val="00056963"/>
    <w:rsid w:val="00056B08"/>
    <w:rsid w:val="00056B47"/>
    <w:rsid w:val="00056B6C"/>
    <w:rsid w:val="00056B6E"/>
    <w:rsid w:val="00056CFB"/>
    <w:rsid w:val="00056F01"/>
    <w:rsid w:val="00056F42"/>
    <w:rsid w:val="00056F9D"/>
    <w:rsid w:val="00056FF9"/>
    <w:rsid w:val="00057002"/>
    <w:rsid w:val="00057014"/>
    <w:rsid w:val="0005723D"/>
    <w:rsid w:val="000572A9"/>
    <w:rsid w:val="000572B5"/>
    <w:rsid w:val="00057370"/>
    <w:rsid w:val="000573D2"/>
    <w:rsid w:val="00057563"/>
    <w:rsid w:val="00057584"/>
    <w:rsid w:val="000575E4"/>
    <w:rsid w:val="000575E6"/>
    <w:rsid w:val="0005760C"/>
    <w:rsid w:val="0005769E"/>
    <w:rsid w:val="00057728"/>
    <w:rsid w:val="000577B8"/>
    <w:rsid w:val="000579D9"/>
    <w:rsid w:val="00057A2D"/>
    <w:rsid w:val="00057AD7"/>
    <w:rsid w:val="00057ADB"/>
    <w:rsid w:val="00057AE2"/>
    <w:rsid w:val="00057B56"/>
    <w:rsid w:val="00057C3D"/>
    <w:rsid w:val="00057C60"/>
    <w:rsid w:val="00057F4D"/>
    <w:rsid w:val="00057FCE"/>
    <w:rsid w:val="0006008F"/>
    <w:rsid w:val="000600CA"/>
    <w:rsid w:val="000600E6"/>
    <w:rsid w:val="00060142"/>
    <w:rsid w:val="0006018E"/>
    <w:rsid w:val="00060196"/>
    <w:rsid w:val="00060418"/>
    <w:rsid w:val="00060516"/>
    <w:rsid w:val="0006058F"/>
    <w:rsid w:val="000605E4"/>
    <w:rsid w:val="00060819"/>
    <w:rsid w:val="0006084B"/>
    <w:rsid w:val="00060AD2"/>
    <w:rsid w:val="00060B2F"/>
    <w:rsid w:val="00060BA6"/>
    <w:rsid w:val="00060D27"/>
    <w:rsid w:val="00060F25"/>
    <w:rsid w:val="00060F3E"/>
    <w:rsid w:val="00060F93"/>
    <w:rsid w:val="00061040"/>
    <w:rsid w:val="000611A8"/>
    <w:rsid w:val="000611D2"/>
    <w:rsid w:val="00061272"/>
    <w:rsid w:val="000612C6"/>
    <w:rsid w:val="00061307"/>
    <w:rsid w:val="0006132E"/>
    <w:rsid w:val="00061341"/>
    <w:rsid w:val="000613B2"/>
    <w:rsid w:val="000613BE"/>
    <w:rsid w:val="00061591"/>
    <w:rsid w:val="000615B0"/>
    <w:rsid w:val="000616EE"/>
    <w:rsid w:val="00061700"/>
    <w:rsid w:val="000617B6"/>
    <w:rsid w:val="000617B9"/>
    <w:rsid w:val="00061814"/>
    <w:rsid w:val="00061941"/>
    <w:rsid w:val="00061956"/>
    <w:rsid w:val="00061AD4"/>
    <w:rsid w:val="00061C8D"/>
    <w:rsid w:val="00061D37"/>
    <w:rsid w:val="00061F7E"/>
    <w:rsid w:val="00061F9E"/>
    <w:rsid w:val="00062027"/>
    <w:rsid w:val="00062063"/>
    <w:rsid w:val="00062173"/>
    <w:rsid w:val="0006222A"/>
    <w:rsid w:val="00062270"/>
    <w:rsid w:val="0006239E"/>
    <w:rsid w:val="00062473"/>
    <w:rsid w:val="00062496"/>
    <w:rsid w:val="00062563"/>
    <w:rsid w:val="00062816"/>
    <w:rsid w:val="0006285E"/>
    <w:rsid w:val="00062862"/>
    <w:rsid w:val="00062A45"/>
    <w:rsid w:val="00062B7C"/>
    <w:rsid w:val="00062C13"/>
    <w:rsid w:val="00062C2A"/>
    <w:rsid w:val="00062CDF"/>
    <w:rsid w:val="00062F3A"/>
    <w:rsid w:val="00062FC9"/>
    <w:rsid w:val="00063130"/>
    <w:rsid w:val="000631CE"/>
    <w:rsid w:val="00063297"/>
    <w:rsid w:val="000632B4"/>
    <w:rsid w:val="00063498"/>
    <w:rsid w:val="00063586"/>
    <w:rsid w:val="000635B8"/>
    <w:rsid w:val="000635E6"/>
    <w:rsid w:val="000636CA"/>
    <w:rsid w:val="000637A8"/>
    <w:rsid w:val="000637BE"/>
    <w:rsid w:val="00063832"/>
    <w:rsid w:val="0006383B"/>
    <w:rsid w:val="00063A19"/>
    <w:rsid w:val="00063A7F"/>
    <w:rsid w:val="00063AB4"/>
    <w:rsid w:val="00063B21"/>
    <w:rsid w:val="00063B3A"/>
    <w:rsid w:val="00063BC8"/>
    <w:rsid w:val="00063C4C"/>
    <w:rsid w:val="00063C5D"/>
    <w:rsid w:val="00063D06"/>
    <w:rsid w:val="00063E2D"/>
    <w:rsid w:val="00063E30"/>
    <w:rsid w:val="00063E6D"/>
    <w:rsid w:val="00063F34"/>
    <w:rsid w:val="00063FA1"/>
    <w:rsid w:val="0006408E"/>
    <w:rsid w:val="000640A1"/>
    <w:rsid w:val="000640D5"/>
    <w:rsid w:val="000640F7"/>
    <w:rsid w:val="00064258"/>
    <w:rsid w:val="00064317"/>
    <w:rsid w:val="0006435B"/>
    <w:rsid w:val="000643ED"/>
    <w:rsid w:val="00064548"/>
    <w:rsid w:val="00064620"/>
    <w:rsid w:val="000647C7"/>
    <w:rsid w:val="0006488F"/>
    <w:rsid w:val="00064A46"/>
    <w:rsid w:val="00064B4D"/>
    <w:rsid w:val="00064C5A"/>
    <w:rsid w:val="00064CFC"/>
    <w:rsid w:val="00064D67"/>
    <w:rsid w:val="00064E34"/>
    <w:rsid w:val="00064E55"/>
    <w:rsid w:val="00064F12"/>
    <w:rsid w:val="00064FF1"/>
    <w:rsid w:val="0006505F"/>
    <w:rsid w:val="00065065"/>
    <w:rsid w:val="000650BB"/>
    <w:rsid w:val="000651A7"/>
    <w:rsid w:val="000651F7"/>
    <w:rsid w:val="0006522B"/>
    <w:rsid w:val="00065237"/>
    <w:rsid w:val="0006528A"/>
    <w:rsid w:val="000652C5"/>
    <w:rsid w:val="00065348"/>
    <w:rsid w:val="00065364"/>
    <w:rsid w:val="000654A0"/>
    <w:rsid w:val="0006559E"/>
    <w:rsid w:val="00065849"/>
    <w:rsid w:val="00065943"/>
    <w:rsid w:val="00065C51"/>
    <w:rsid w:val="00065C61"/>
    <w:rsid w:val="00065C77"/>
    <w:rsid w:val="00065C8D"/>
    <w:rsid w:val="00065CF5"/>
    <w:rsid w:val="00065E88"/>
    <w:rsid w:val="00065EC7"/>
    <w:rsid w:val="0006605A"/>
    <w:rsid w:val="00066086"/>
    <w:rsid w:val="000660C5"/>
    <w:rsid w:val="000660FC"/>
    <w:rsid w:val="00066126"/>
    <w:rsid w:val="000661EF"/>
    <w:rsid w:val="0006625D"/>
    <w:rsid w:val="00066293"/>
    <w:rsid w:val="000662DE"/>
    <w:rsid w:val="000662F9"/>
    <w:rsid w:val="00066330"/>
    <w:rsid w:val="000663B0"/>
    <w:rsid w:val="000664A2"/>
    <w:rsid w:val="00066506"/>
    <w:rsid w:val="00066559"/>
    <w:rsid w:val="0006658A"/>
    <w:rsid w:val="0006667A"/>
    <w:rsid w:val="0006668C"/>
    <w:rsid w:val="000666AE"/>
    <w:rsid w:val="000666BB"/>
    <w:rsid w:val="000666F8"/>
    <w:rsid w:val="0006675E"/>
    <w:rsid w:val="00066775"/>
    <w:rsid w:val="000667A9"/>
    <w:rsid w:val="000667BC"/>
    <w:rsid w:val="00066864"/>
    <w:rsid w:val="00066885"/>
    <w:rsid w:val="00066929"/>
    <w:rsid w:val="0006696A"/>
    <w:rsid w:val="000669DC"/>
    <w:rsid w:val="00066A0C"/>
    <w:rsid w:val="00066A4F"/>
    <w:rsid w:val="00066B4A"/>
    <w:rsid w:val="00066CA2"/>
    <w:rsid w:val="00066D36"/>
    <w:rsid w:val="00066D74"/>
    <w:rsid w:val="00066DBD"/>
    <w:rsid w:val="00066DD3"/>
    <w:rsid w:val="00066E66"/>
    <w:rsid w:val="00066FF5"/>
    <w:rsid w:val="00067156"/>
    <w:rsid w:val="0006722A"/>
    <w:rsid w:val="0006743A"/>
    <w:rsid w:val="00067630"/>
    <w:rsid w:val="00067713"/>
    <w:rsid w:val="0006781C"/>
    <w:rsid w:val="000679CB"/>
    <w:rsid w:val="000679E3"/>
    <w:rsid w:val="000679FE"/>
    <w:rsid w:val="00067A46"/>
    <w:rsid w:val="00067A62"/>
    <w:rsid w:val="00067B6F"/>
    <w:rsid w:val="00067BE4"/>
    <w:rsid w:val="00067C74"/>
    <w:rsid w:val="00067DAA"/>
    <w:rsid w:val="00067DCE"/>
    <w:rsid w:val="00067EB1"/>
    <w:rsid w:val="00067F0A"/>
    <w:rsid w:val="00067FE0"/>
    <w:rsid w:val="0007003D"/>
    <w:rsid w:val="0007004F"/>
    <w:rsid w:val="000701B6"/>
    <w:rsid w:val="00070224"/>
    <w:rsid w:val="000703DD"/>
    <w:rsid w:val="000704A6"/>
    <w:rsid w:val="00070576"/>
    <w:rsid w:val="000705C3"/>
    <w:rsid w:val="000706A6"/>
    <w:rsid w:val="000706C5"/>
    <w:rsid w:val="00070740"/>
    <w:rsid w:val="000707CF"/>
    <w:rsid w:val="00070807"/>
    <w:rsid w:val="0007084C"/>
    <w:rsid w:val="00070A79"/>
    <w:rsid w:val="00070A7D"/>
    <w:rsid w:val="00070B48"/>
    <w:rsid w:val="00070BBC"/>
    <w:rsid w:val="00070BFF"/>
    <w:rsid w:val="00070D83"/>
    <w:rsid w:val="00070D90"/>
    <w:rsid w:val="00070EAE"/>
    <w:rsid w:val="00070F38"/>
    <w:rsid w:val="000711C8"/>
    <w:rsid w:val="000711E9"/>
    <w:rsid w:val="000711EC"/>
    <w:rsid w:val="0007127B"/>
    <w:rsid w:val="00071301"/>
    <w:rsid w:val="00071304"/>
    <w:rsid w:val="0007134B"/>
    <w:rsid w:val="0007138F"/>
    <w:rsid w:val="000713F6"/>
    <w:rsid w:val="00071516"/>
    <w:rsid w:val="000716CF"/>
    <w:rsid w:val="00071734"/>
    <w:rsid w:val="00071774"/>
    <w:rsid w:val="000717C9"/>
    <w:rsid w:val="0007186E"/>
    <w:rsid w:val="000719C2"/>
    <w:rsid w:val="00071A0F"/>
    <w:rsid w:val="00071A2D"/>
    <w:rsid w:val="00071A3C"/>
    <w:rsid w:val="00071AE3"/>
    <w:rsid w:val="00071CAE"/>
    <w:rsid w:val="00071CAF"/>
    <w:rsid w:val="00071CF6"/>
    <w:rsid w:val="00071D13"/>
    <w:rsid w:val="00071D6F"/>
    <w:rsid w:val="00071D93"/>
    <w:rsid w:val="00071E68"/>
    <w:rsid w:val="00071E78"/>
    <w:rsid w:val="00071E92"/>
    <w:rsid w:val="00071F45"/>
    <w:rsid w:val="00071F7C"/>
    <w:rsid w:val="00071F87"/>
    <w:rsid w:val="00071F98"/>
    <w:rsid w:val="00072014"/>
    <w:rsid w:val="000720EA"/>
    <w:rsid w:val="00072172"/>
    <w:rsid w:val="000721AE"/>
    <w:rsid w:val="000723C3"/>
    <w:rsid w:val="0007243E"/>
    <w:rsid w:val="000725BB"/>
    <w:rsid w:val="000726D9"/>
    <w:rsid w:val="00072829"/>
    <w:rsid w:val="00072A91"/>
    <w:rsid w:val="00072BD0"/>
    <w:rsid w:val="00072C06"/>
    <w:rsid w:val="00072CB3"/>
    <w:rsid w:val="00072DF2"/>
    <w:rsid w:val="00072E21"/>
    <w:rsid w:val="00072EB5"/>
    <w:rsid w:val="00072F0E"/>
    <w:rsid w:val="00073014"/>
    <w:rsid w:val="0007303E"/>
    <w:rsid w:val="0007309F"/>
    <w:rsid w:val="000730CA"/>
    <w:rsid w:val="0007324E"/>
    <w:rsid w:val="00073251"/>
    <w:rsid w:val="0007343A"/>
    <w:rsid w:val="0007356F"/>
    <w:rsid w:val="000735D8"/>
    <w:rsid w:val="000736E9"/>
    <w:rsid w:val="000736F8"/>
    <w:rsid w:val="0007376F"/>
    <w:rsid w:val="000737C4"/>
    <w:rsid w:val="0007380A"/>
    <w:rsid w:val="000738F7"/>
    <w:rsid w:val="00073A40"/>
    <w:rsid w:val="00073AB2"/>
    <w:rsid w:val="00073B2D"/>
    <w:rsid w:val="00073C0C"/>
    <w:rsid w:val="00073D24"/>
    <w:rsid w:val="00073E30"/>
    <w:rsid w:val="00073E3E"/>
    <w:rsid w:val="00073E86"/>
    <w:rsid w:val="00073EAE"/>
    <w:rsid w:val="00073F27"/>
    <w:rsid w:val="00073F63"/>
    <w:rsid w:val="000741D9"/>
    <w:rsid w:val="0007427D"/>
    <w:rsid w:val="000742A4"/>
    <w:rsid w:val="00074328"/>
    <w:rsid w:val="000743CA"/>
    <w:rsid w:val="000744AF"/>
    <w:rsid w:val="0007464E"/>
    <w:rsid w:val="00074691"/>
    <w:rsid w:val="000747F5"/>
    <w:rsid w:val="00074829"/>
    <w:rsid w:val="000748A4"/>
    <w:rsid w:val="000748A9"/>
    <w:rsid w:val="0007492D"/>
    <w:rsid w:val="00074968"/>
    <w:rsid w:val="00074B5B"/>
    <w:rsid w:val="00074BD7"/>
    <w:rsid w:val="00074C32"/>
    <w:rsid w:val="00074C41"/>
    <w:rsid w:val="00074D84"/>
    <w:rsid w:val="00074D97"/>
    <w:rsid w:val="00074E17"/>
    <w:rsid w:val="00074E8E"/>
    <w:rsid w:val="00074F3C"/>
    <w:rsid w:val="000750C0"/>
    <w:rsid w:val="000751DC"/>
    <w:rsid w:val="00075628"/>
    <w:rsid w:val="00075656"/>
    <w:rsid w:val="0007594B"/>
    <w:rsid w:val="0007595A"/>
    <w:rsid w:val="00075B35"/>
    <w:rsid w:val="00075B7D"/>
    <w:rsid w:val="00075BB4"/>
    <w:rsid w:val="00075BC5"/>
    <w:rsid w:val="00075C02"/>
    <w:rsid w:val="00075F6E"/>
    <w:rsid w:val="000760A2"/>
    <w:rsid w:val="000761AA"/>
    <w:rsid w:val="0007621A"/>
    <w:rsid w:val="00076276"/>
    <w:rsid w:val="000763DC"/>
    <w:rsid w:val="00076517"/>
    <w:rsid w:val="00076585"/>
    <w:rsid w:val="0007660C"/>
    <w:rsid w:val="0007678A"/>
    <w:rsid w:val="000767C6"/>
    <w:rsid w:val="000767C7"/>
    <w:rsid w:val="00076820"/>
    <w:rsid w:val="00076844"/>
    <w:rsid w:val="0007687C"/>
    <w:rsid w:val="000768A0"/>
    <w:rsid w:val="00076974"/>
    <w:rsid w:val="000769B7"/>
    <w:rsid w:val="00076A4C"/>
    <w:rsid w:val="00076A6F"/>
    <w:rsid w:val="00076A80"/>
    <w:rsid w:val="00076B1F"/>
    <w:rsid w:val="00076BE4"/>
    <w:rsid w:val="00076C4C"/>
    <w:rsid w:val="00076C58"/>
    <w:rsid w:val="00076D0B"/>
    <w:rsid w:val="00076D4E"/>
    <w:rsid w:val="00076E7E"/>
    <w:rsid w:val="00076F16"/>
    <w:rsid w:val="000770AB"/>
    <w:rsid w:val="00077104"/>
    <w:rsid w:val="0007715F"/>
    <w:rsid w:val="000772ED"/>
    <w:rsid w:val="0007737C"/>
    <w:rsid w:val="00077571"/>
    <w:rsid w:val="00077625"/>
    <w:rsid w:val="000776E4"/>
    <w:rsid w:val="000776FD"/>
    <w:rsid w:val="0007795C"/>
    <w:rsid w:val="00077A06"/>
    <w:rsid w:val="00077A2E"/>
    <w:rsid w:val="00077A3B"/>
    <w:rsid w:val="00077A9E"/>
    <w:rsid w:val="00077C57"/>
    <w:rsid w:val="00077C9F"/>
    <w:rsid w:val="00077CF7"/>
    <w:rsid w:val="00077D1F"/>
    <w:rsid w:val="00077E5A"/>
    <w:rsid w:val="00077F4F"/>
    <w:rsid w:val="00077FB1"/>
    <w:rsid w:val="00077FEE"/>
    <w:rsid w:val="00077FF2"/>
    <w:rsid w:val="000800D9"/>
    <w:rsid w:val="000800EF"/>
    <w:rsid w:val="00080195"/>
    <w:rsid w:val="000801FB"/>
    <w:rsid w:val="000803A5"/>
    <w:rsid w:val="000803E1"/>
    <w:rsid w:val="00080503"/>
    <w:rsid w:val="0008061F"/>
    <w:rsid w:val="0008079E"/>
    <w:rsid w:val="00080832"/>
    <w:rsid w:val="0008092B"/>
    <w:rsid w:val="0008099E"/>
    <w:rsid w:val="00080AF1"/>
    <w:rsid w:val="00080B2C"/>
    <w:rsid w:val="00080B59"/>
    <w:rsid w:val="00080C54"/>
    <w:rsid w:val="00080CA6"/>
    <w:rsid w:val="00080CF2"/>
    <w:rsid w:val="00080D0D"/>
    <w:rsid w:val="00080D9D"/>
    <w:rsid w:val="00080DA8"/>
    <w:rsid w:val="00080DAE"/>
    <w:rsid w:val="00080EC2"/>
    <w:rsid w:val="000810D5"/>
    <w:rsid w:val="000811F1"/>
    <w:rsid w:val="00081258"/>
    <w:rsid w:val="00081398"/>
    <w:rsid w:val="000813E2"/>
    <w:rsid w:val="0008142C"/>
    <w:rsid w:val="000814C1"/>
    <w:rsid w:val="0008150C"/>
    <w:rsid w:val="000816BF"/>
    <w:rsid w:val="00081715"/>
    <w:rsid w:val="000817C7"/>
    <w:rsid w:val="000818F8"/>
    <w:rsid w:val="0008192A"/>
    <w:rsid w:val="000819BC"/>
    <w:rsid w:val="00081C7B"/>
    <w:rsid w:val="00081CAE"/>
    <w:rsid w:val="00081CBE"/>
    <w:rsid w:val="00082008"/>
    <w:rsid w:val="00082069"/>
    <w:rsid w:val="000820B9"/>
    <w:rsid w:val="0008212A"/>
    <w:rsid w:val="0008217E"/>
    <w:rsid w:val="000821C5"/>
    <w:rsid w:val="000822C6"/>
    <w:rsid w:val="00082547"/>
    <w:rsid w:val="00082640"/>
    <w:rsid w:val="0008265E"/>
    <w:rsid w:val="00082771"/>
    <w:rsid w:val="00082802"/>
    <w:rsid w:val="000828A7"/>
    <w:rsid w:val="00082996"/>
    <w:rsid w:val="000829F3"/>
    <w:rsid w:val="00082A4B"/>
    <w:rsid w:val="00082B30"/>
    <w:rsid w:val="00082B7F"/>
    <w:rsid w:val="00082D78"/>
    <w:rsid w:val="00082D7B"/>
    <w:rsid w:val="00082DC9"/>
    <w:rsid w:val="00082EB0"/>
    <w:rsid w:val="00082EC1"/>
    <w:rsid w:val="000831AD"/>
    <w:rsid w:val="000832D8"/>
    <w:rsid w:val="000833E6"/>
    <w:rsid w:val="00083400"/>
    <w:rsid w:val="00083443"/>
    <w:rsid w:val="000834FF"/>
    <w:rsid w:val="0008351D"/>
    <w:rsid w:val="00083579"/>
    <w:rsid w:val="0008360E"/>
    <w:rsid w:val="000836DA"/>
    <w:rsid w:val="000836EB"/>
    <w:rsid w:val="0008370B"/>
    <w:rsid w:val="0008376D"/>
    <w:rsid w:val="00083880"/>
    <w:rsid w:val="00083886"/>
    <w:rsid w:val="000838A2"/>
    <w:rsid w:val="00083991"/>
    <w:rsid w:val="000839F7"/>
    <w:rsid w:val="00083A64"/>
    <w:rsid w:val="00083AE3"/>
    <w:rsid w:val="00083BFC"/>
    <w:rsid w:val="00083C0F"/>
    <w:rsid w:val="00083E43"/>
    <w:rsid w:val="00083E80"/>
    <w:rsid w:val="00083E99"/>
    <w:rsid w:val="00083F13"/>
    <w:rsid w:val="00083FAD"/>
    <w:rsid w:val="00083FB6"/>
    <w:rsid w:val="0008408A"/>
    <w:rsid w:val="00084115"/>
    <w:rsid w:val="0008416D"/>
    <w:rsid w:val="0008418F"/>
    <w:rsid w:val="0008420B"/>
    <w:rsid w:val="000844BA"/>
    <w:rsid w:val="0008462C"/>
    <w:rsid w:val="00084664"/>
    <w:rsid w:val="00084796"/>
    <w:rsid w:val="000848F4"/>
    <w:rsid w:val="00084914"/>
    <w:rsid w:val="00084985"/>
    <w:rsid w:val="00084B1F"/>
    <w:rsid w:val="00084B30"/>
    <w:rsid w:val="00084B98"/>
    <w:rsid w:val="00084C53"/>
    <w:rsid w:val="00084DA6"/>
    <w:rsid w:val="00084E3B"/>
    <w:rsid w:val="00084E88"/>
    <w:rsid w:val="00084EB3"/>
    <w:rsid w:val="00084F60"/>
    <w:rsid w:val="00085004"/>
    <w:rsid w:val="0008502B"/>
    <w:rsid w:val="00085162"/>
    <w:rsid w:val="00085278"/>
    <w:rsid w:val="000852D5"/>
    <w:rsid w:val="00085356"/>
    <w:rsid w:val="00085398"/>
    <w:rsid w:val="000855F0"/>
    <w:rsid w:val="00085676"/>
    <w:rsid w:val="00085707"/>
    <w:rsid w:val="00085762"/>
    <w:rsid w:val="000857DC"/>
    <w:rsid w:val="000857E1"/>
    <w:rsid w:val="000858D1"/>
    <w:rsid w:val="000858FD"/>
    <w:rsid w:val="000858FF"/>
    <w:rsid w:val="00085904"/>
    <w:rsid w:val="00085992"/>
    <w:rsid w:val="00085B03"/>
    <w:rsid w:val="00085B2F"/>
    <w:rsid w:val="00085BEC"/>
    <w:rsid w:val="00085C15"/>
    <w:rsid w:val="00085C74"/>
    <w:rsid w:val="00085C9D"/>
    <w:rsid w:val="00085D0A"/>
    <w:rsid w:val="00085D4F"/>
    <w:rsid w:val="00085DBE"/>
    <w:rsid w:val="00085DD9"/>
    <w:rsid w:val="00085EDA"/>
    <w:rsid w:val="00085F98"/>
    <w:rsid w:val="00085FE5"/>
    <w:rsid w:val="0008621D"/>
    <w:rsid w:val="0008638C"/>
    <w:rsid w:val="000864A0"/>
    <w:rsid w:val="00086607"/>
    <w:rsid w:val="0008669F"/>
    <w:rsid w:val="000866A3"/>
    <w:rsid w:val="000867F2"/>
    <w:rsid w:val="00086848"/>
    <w:rsid w:val="000868F1"/>
    <w:rsid w:val="0008698C"/>
    <w:rsid w:val="00086A93"/>
    <w:rsid w:val="00086C62"/>
    <w:rsid w:val="00086C96"/>
    <w:rsid w:val="00086CD7"/>
    <w:rsid w:val="00086D3F"/>
    <w:rsid w:val="00086DC6"/>
    <w:rsid w:val="00086E03"/>
    <w:rsid w:val="00086E86"/>
    <w:rsid w:val="00086ED9"/>
    <w:rsid w:val="00086FF7"/>
    <w:rsid w:val="0008702E"/>
    <w:rsid w:val="00087057"/>
    <w:rsid w:val="00087066"/>
    <w:rsid w:val="000870D2"/>
    <w:rsid w:val="0008711E"/>
    <w:rsid w:val="0008717C"/>
    <w:rsid w:val="00087264"/>
    <w:rsid w:val="00087547"/>
    <w:rsid w:val="00087576"/>
    <w:rsid w:val="000875AF"/>
    <w:rsid w:val="000875C0"/>
    <w:rsid w:val="000875F6"/>
    <w:rsid w:val="0008773D"/>
    <w:rsid w:val="0008774D"/>
    <w:rsid w:val="00087861"/>
    <w:rsid w:val="000878FF"/>
    <w:rsid w:val="00087934"/>
    <w:rsid w:val="0008793F"/>
    <w:rsid w:val="00087980"/>
    <w:rsid w:val="00087A54"/>
    <w:rsid w:val="00087AAF"/>
    <w:rsid w:val="00087B3A"/>
    <w:rsid w:val="00087B49"/>
    <w:rsid w:val="00087CF1"/>
    <w:rsid w:val="00087D45"/>
    <w:rsid w:val="00087DEB"/>
    <w:rsid w:val="00087EBB"/>
    <w:rsid w:val="00087F22"/>
    <w:rsid w:val="00087F62"/>
    <w:rsid w:val="00087F73"/>
    <w:rsid w:val="00087FF6"/>
    <w:rsid w:val="0009009F"/>
    <w:rsid w:val="00090118"/>
    <w:rsid w:val="00090302"/>
    <w:rsid w:val="00090478"/>
    <w:rsid w:val="00090636"/>
    <w:rsid w:val="000906F4"/>
    <w:rsid w:val="00090756"/>
    <w:rsid w:val="000907A8"/>
    <w:rsid w:val="000907B4"/>
    <w:rsid w:val="000907B6"/>
    <w:rsid w:val="000907BF"/>
    <w:rsid w:val="000909D9"/>
    <w:rsid w:val="00090C89"/>
    <w:rsid w:val="00090CB4"/>
    <w:rsid w:val="00090D7D"/>
    <w:rsid w:val="00090E73"/>
    <w:rsid w:val="00090E99"/>
    <w:rsid w:val="00090F49"/>
    <w:rsid w:val="00090F78"/>
    <w:rsid w:val="00090FBC"/>
    <w:rsid w:val="00091052"/>
    <w:rsid w:val="0009108A"/>
    <w:rsid w:val="00091096"/>
    <w:rsid w:val="000912F1"/>
    <w:rsid w:val="0009130F"/>
    <w:rsid w:val="00091354"/>
    <w:rsid w:val="00091356"/>
    <w:rsid w:val="0009137B"/>
    <w:rsid w:val="00091476"/>
    <w:rsid w:val="000914C3"/>
    <w:rsid w:val="0009164E"/>
    <w:rsid w:val="000916F5"/>
    <w:rsid w:val="000916FA"/>
    <w:rsid w:val="0009176E"/>
    <w:rsid w:val="000917F1"/>
    <w:rsid w:val="0009180A"/>
    <w:rsid w:val="000918B5"/>
    <w:rsid w:val="00091925"/>
    <w:rsid w:val="0009198F"/>
    <w:rsid w:val="00091AA3"/>
    <w:rsid w:val="00091AEA"/>
    <w:rsid w:val="00091AFD"/>
    <w:rsid w:val="00091BBB"/>
    <w:rsid w:val="00091C30"/>
    <w:rsid w:val="00091DD3"/>
    <w:rsid w:val="00091E25"/>
    <w:rsid w:val="00091EA8"/>
    <w:rsid w:val="00091EE4"/>
    <w:rsid w:val="00091F32"/>
    <w:rsid w:val="00091F4E"/>
    <w:rsid w:val="00091F69"/>
    <w:rsid w:val="00091FD1"/>
    <w:rsid w:val="00091FF7"/>
    <w:rsid w:val="0009212E"/>
    <w:rsid w:val="000921A4"/>
    <w:rsid w:val="0009234D"/>
    <w:rsid w:val="0009236E"/>
    <w:rsid w:val="000923A8"/>
    <w:rsid w:val="000923DC"/>
    <w:rsid w:val="00092437"/>
    <w:rsid w:val="00092517"/>
    <w:rsid w:val="0009257F"/>
    <w:rsid w:val="000925A4"/>
    <w:rsid w:val="0009271D"/>
    <w:rsid w:val="0009275B"/>
    <w:rsid w:val="0009276D"/>
    <w:rsid w:val="000929AB"/>
    <w:rsid w:val="00092B32"/>
    <w:rsid w:val="00092B9A"/>
    <w:rsid w:val="00092D26"/>
    <w:rsid w:val="00092D6F"/>
    <w:rsid w:val="00092D70"/>
    <w:rsid w:val="00092DDD"/>
    <w:rsid w:val="00092E19"/>
    <w:rsid w:val="00092EE3"/>
    <w:rsid w:val="0009300E"/>
    <w:rsid w:val="00093049"/>
    <w:rsid w:val="00093062"/>
    <w:rsid w:val="0009310C"/>
    <w:rsid w:val="0009311B"/>
    <w:rsid w:val="00093223"/>
    <w:rsid w:val="00093230"/>
    <w:rsid w:val="00093245"/>
    <w:rsid w:val="00093300"/>
    <w:rsid w:val="000936FA"/>
    <w:rsid w:val="000938FF"/>
    <w:rsid w:val="00093AA6"/>
    <w:rsid w:val="00093AD0"/>
    <w:rsid w:val="00093BD2"/>
    <w:rsid w:val="00093C16"/>
    <w:rsid w:val="00093DF2"/>
    <w:rsid w:val="00093DF5"/>
    <w:rsid w:val="00093ED8"/>
    <w:rsid w:val="00093EDA"/>
    <w:rsid w:val="00094014"/>
    <w:rsid w:val="000943A3"/>
    <w:rsid w:val="000943B2"/>
    <w:rsid w:val="00094539"/>
    <w:rsid w:val="0009459D"/>
    <w:rsid w:val="000945AA"/>
    <w:rsid w:val="000947DF"/>
    <w:rsid w:val="000948A5"/>
    <w:rsid w:val="00094941"/>
    <w:rsid w:val="00094969"/>
    <w:rsid w:val="00094A9C"/>
    <w:rsid w:val="00094ACF"/>
    <w:rsid w:val="00094B8C"/>
    <w:rsid w:val="00094B95"/>
    <w:rsid w:val="00094BA7"/>
    <w:rsid w:val="00094BFC"/>
    <w:rsid w:val="00094C09"/>
    <w:rsid w:val="00094D87"/>
    <w:rsid w:val="00094DB4"/>
    <w:rsid w:val="000950B6"/>
    <w:rsid w:val="0009511E"/>
    <w:rsid w:val="0009513F"/>
    <w:rsid w:val="000951E9"/>
    <w:rsid w:val="0009520D"/>
    <w:rsid w:val="000952A7"/>
    <w:rsid w:val="00095303"/>
    <w:rsid w:val="0009530F"/>
    <w:rsid w:val="00095374"/>
    <w:rsid w:val="00095430"/>
    <w:rsid w:val="0009551E"/>
    <w:rsid w:val="00095576"/>
    <w:rsid w:val="00095584"/>
    <w:rsid w:val="000955AE"/>
    <w:rsid w:val="000956F2"/>
    <w:rsid w:val="000956FB"/>
    <w:rsid w:val="0009576B"/>
    <w:rsid w:val="00095814"/>
    <w:rsid w:val="0009599B"/>
    <w:rsid w:val="00095A2F"/>
    <w:rsid w:val="00095AEF"/>
    <w:rsid w:val="00095B27"/>
    <w:rsid w:val="00095B67"/>
    <w:rsid w:val="00095CB2"/>
    <w:rsid w:val="00095E78"/>
    <w:rsid w:val="00095EDD"/>
    <w:rsid w:val="00095F15"/>
    <w:rsid w:val="00095FAA"/>
    <w:rsid w:val="00095FCA"/>
    <w:rsid w:val="00096093"/>
    <w:rsid w:val="000960BE"/>
    <w:rsid w:val="000960CB"/>
    <w:rsid w:val="000960E6"/>
    <w:rsid w:val="00096190"/>
    <w:rsid w:val="000961C3"/>
    <w:rsid w:val="0009621B"/>
    <w:rsid w:val="000963CF"/>
    <w:rsid w:val="00096447"/>
    <w:rsid w:val="0009646C"/>
    <w:rsid w:val="00096485"/>
    <w:rsid w:val="000964A2"/>
    <w:rsid w:val="0009651F"/>
    <w:rsid w:val="00096694"/>
    <w:rsid w:val="000966B1"/>
    <w:rsid w:val="0009687F"/>
    <w:rsid w:val="000968F0"/>
    <w:rsid w:val="00096984"/>
    <w:rsid w:val="000969D9"/>
    <w:rsid w:val="000969F2"/>
    <w:rsid w:val="000969F3"/>
    <w:rsid w:val="00096A88"/>
    <w:rsid w:val="00096B2C"/>
    <w:rsid w:val="00096C0E"/>
    <w:rsid w:val="00096CAD"/>
    <w:rsid w:val="00096D5A"/>
    <w:rsid w:val="00096E36"/>
    <w:rsid w:val="00096E9E"/>
    <w:rsid w:val="00096FA9"/>
    <w:rsid w:val="00096FFC"/>
    <w:rsid w:val="000971FF"/>
    <w:rsid w:val="00097230"/>
    <w:rsid w:val="00097264"/>
    <w:rsid w:val="0009752F"/>
    <w:rsid w:val="000975F1"/>
    <w:rsid w:val="00097739"/>
    <w:rsid w:val="000977FA"/>
    <w:rsid w:val="0009781D"/>
    <w:rsid w:val="00097822"/>
    <w:rsid w:val="0009789D"/>
    <w:rsid w:val="000979E0"/>
    <w:rsid w:val="00097B4C"/>
    <w:rsid w:val="00097BCF"/>
    <w:rsid w:val="00097C4F"/>
    <w:rsid w:val="00097FB3"/>
    <w:rsid w:val="0009A74D"/>
    <w:rsid w:val="000A013D"/>
    <w:rsid w:val="000A01D7"/>
    <w:rsid w:val="000A0211"/>
    <w:rsid w:val="000A027F"/>
    <w:rsid w:val="000A02A6"/>
    <w:rsid w:val="000A033E"/>
    <w:rsid w:val="000A0425"/>
    <w:rsid w:val="000A0484"/>
    <w:rsid w:val="000A05F7"/>
    <w:rsid w:val="000A062C"/>
    <w:rsid w:val="000A08C9"/>
    <w:rsid w:val="000A08ED"/>
    <w:rsid w:val="000A0918"/>
    <w:rsid w:val="000A0987"/>
    <w:rsid w:val="000A0B27"/>
    <w:rsid w:val="000A0C29"/>
    <w:rsid w:val="000A0CF5"/>
    <w:rsid w:val="000A0D31"/>
    <w:rsid w:val="000A0DF3"/>
    <w:rsid w:val="000A0E68"/>
    <w:rsid w:val="000A0E69"/>
    <w:rsid w:val="000A0EBD"/>
    <w:rsid w:val="000A0F71"/>
    <w:rsid w:val="000A1282"/>
    <w:rsid w:val="000A128B"/>
    <w:rsid w:val="000A12AC"/>
    <w:rsid w:val="000A12C5"/>
    <w:rsid w:val="000A15D9"/>
    <w:rsid w:val="000A163A"/>
    <w:rsid w:val="000A164E"/>
    <w:rsid w:val="000A1653"/>
    <w:rsid w:val="000A16BA"/>
    <w:rsid w:val="000A16E9"/>
    <w:rsid w:val="000A1706"/>
    <w:rsid w:val="000A1838"/>
    <w:rsid w:val="000A18AE"/>
    <w:rsid w:val="000A18D7"/>
    <w:rsid w:val="000A19DE"/>
    <w:rsid w:val="000A19F5"/>
    <w:rsid w:val="000A1A2E"/>
    <w:rsid w:val="000A1B24"/>
    <w:rsid w:val="000A1B6E"/>
    <w:rsid w:val="000A1BD1"/>
    <w:rsid w:val="000A1C6A"/>
    <w:rsid w:val="000A1D06"/>
    <w:rsid w:val="000A1DAE"/>
    <w:rsid w:val="000A1FB7"/>
    <w:rsid w:val="000A1FD5"/>
    <w:rsid w:val="000A20B1"/>
    <w:rsid w:val="000A20B7"/>
    <w:rsid w:val="000A2107"/>
    <w:rsid w:val="000A2142"/>
    <w:rsid w:val="000A2186"/>
    <w:rsid w:val="000A22A6"/>
    <w:rsid w:val="000A22D7"/>
    <w:rsid w:val="000A23D2"/>
    <w:rsid w:val="000A2410"/>
    <w:rsid w:val="000A2424"/>
    <w:rsid w:val="000A2433"/>
    <w:rsid w:val="000A2513"/>
    <w:rsid w:val="000A2526"/>
    <w:rsid w:val="000A2545"/>
    <w:rsid w:val="000A25FE"/>
    <w:rsid w:val="000A268A"/>
    <w:rsid w:val="000A26C4"/>
    <w:rsid w:val="000A2771"/>
    <w:rsid w:val="000A27A3"/>
    <w:rsid w:val="000A2825"/>
    <w:rsid w:val="000A2830"/>
    <w:rsid w:val="000A2BB3"/>
    <w:rsid w:val="000A2C74"/>
    <w:rsid w:val="000A2CB7"/>
    <w:rsid w:val="000A2E41"/>
    <w:rsid w:val="000A2EF9"/>
    <w:rsid w:val="000A2F7D"/>
    <w:rsid w:val="000A2FD9"/>
    <w:rsid w:val="000A2FF4"/>
    <w:rsid w:val="000A33B3"/>
    <w:rsid w:val="000A33F4"/>
    <w:rsid w:val="000A3408"/>
    <w:rsid w:val="000A3422"/>
    <w:rsid w:val="000A35E7"/>
    <w:rsid w:val="000A3696"/>
    <w:rsid w:val="000A37CE"/>
    <w:rsid w:val="000A381A"/>
    <w:rsid w:val="000A381E"/>
    <w:rsid w:val="000A3841"/>
    <w:rsid w:val="000A38D9"/>
    <w:rsid w:val="000A39BF"/>
    <w:rsid w:val="000A39F9"/>
    <w:rsid w:val="000A3A3F"/>
    <w:rsid w:val="000A3A41"/>
    <w:rsid w:val="000A3A4B"/>
    <w:rsid w:val="000A3A96"/>
    <w:rsid w:val="000A3AE2"/>
    <w:rsid w:val="000A3B9D"/>
    <w:rsid w:val="000A3BDF"/>
    <w:rsid w:val="000A3C35"/>
    <w:rsid w:val="000A3CA3"/>
    <w:rsid w:val="000A3D37"/>
    <w:rsid w:val="000A3D5C"/>
    <w:rsid w:val="000A3D5D"/>
    <w:rsid w:val="000A3DC3"/>
    <w:rsid w:val="000A3E5A"/>
    <w:rsid w:val="000A3F28"/>
    <w:rsid w:val="000A3F87"/>
    <w:rsid w:val="000A401E"/>
    <w:rsid w:val="000A414F"/>
    <w:rsid w:val="000A4241"/>
    <w:rsid w:val="000A424E"/>
    <w:rsid w:val="000A4352"/>
    <w:rsid w:val="000A4388"/>
    <w:rsid w:val="000A44CE"/>
    <w:rsid w:val="000A44DA"/>
    <w:rsid w:val="000A451F"/>
    <w:rsid w:val="000A45C1"/>
    <w:rsid w:val="000A4606"/>
    <w:rsid w:val="000A47C4"/>
    <w:rsid w:val="000A47FF"/>
    <w:rsid w:val="000A4A29"/>
    <w:rsid w:val="000A4A6A"/>
    <w:rsid w:val="000A4AD0"/>
    <w:rsid w:val="000A4BE2"/>
    <w:rsid w:val="000A4D13"/>
    <w:rsid w:val="000A4D50"/>
    <w:rsid w:val="000A4DCC"/>
    <w:rsid w:val="000A4EC1"/>
    <w:rsid w:val="000A50C2"/>
    <w:rsid w:val="000A516B"/>
    <w:rsid w:val="000A5202"/>
    <w:rsid w:val="000A52B0"/>
    <w:rsid w:val="000A550C"/>
    <w:rsid w:val="000A5513"/>
    <w:rsid w:val="000A5549"/>
    <w:rsid w:val="000A570C"/>
    <w:rsid w:val="000A573D"/>
    <w:rsid w:val="000A5790"/>
    <w:rsid w:val="000A584F"/>
    <w:rsid w:val="000A591F"/>
    <w:rsid w:val="000A5999"/>
    <w:rsid w:val="000A59F9"/>
    <w:rsid w:val="000A5A6C"/>
    <w:rsid w:val="000A5AFB"/>
    <w:rsid w:val="000A5C00"/>
    <w:rsid w:val="000A5C27"/>
    <w:rsid w:val="000A5C3C"/>
    <w:rsid w:val="000A5C8D"/>
    <w:rsid w:val="000A5CA3"/>
    <w:rsid w:val="000A5CB4"/>
    <w:rsid w:val="000A5CCC"/>
    <w:rsid w:val="000A5E4A"/>
    <w:rsid w:val="000A5EE2"/>
    <w:rsid w:val="000A5EE5"/>
    <w:rsid w:val="000A61D6"/>
    <w:rsid w:val="000A62A8"/>
    <w:rsid w:val="000A64FD"/>
    <w:rsid w:val="000A65F7"/>
    <w:rsid w:val="000A68EA"/>
    <w:rsid w:val="000A6AA8"/>
    <w:rsid w:val="000A6CFD"/>
    <w:rsid w:val="000A6D3E"/>
    <w:rsid w:val="000A6F00"/>
    <w:rsid w:val="000A6F19"/>
    <w:rsid w:val="000A6FE8"/>
    <w:rsid w:val="000A700A"/>
    <w:rsid w:val="000A7022"/>
    <w:rsid w:val="000A70A8"/>
    <w:rsid w:val="000A70BA"/>
    <w:rsid w:val="000A729B"/>
    <w:rsid w:val="000A7368"/>
    <w:rsid w:val="000A73A2"/>
    <w:rsid w:val="000A73E2"/>
    <w:rsid w:val="000A7476"/>
    <w:rsid w:val="000A76DC"/>
    <w:rsid w:val="000A7751"/>
    <w:rsid w:val="000A77CF"/>
    <w:rsid w:val="000A77D5"/>
    <w:rsid w:val="000A783D"/>
    <w:rsid w:val="000A7930"/>
    <w:rsid w:val="000A7A95"/>
    <w:rsid w:val="000A7AAF"/>
    <w:rsid w:val="000A7AFF"/>
    <w:rsid w:val="000A7B8D"/>
    <w:rsid w:val="000A7C73"/>
    <w:rsid w:val="000A7D6C"/>
    <w:rsid w:val="000A7DDF"/>
    <w:rsid w:val="000A7E46"/>
    <w:rsid w:val="000A7F5C"/>
    <w:rsid w:val="000B01D7"/>
    <w:rsid w:val="000B0352"/>
    <w:rsid w:val="000B03B3"/>
    <w:rsid w:val="000B03C5"/>
    <w:rsid w:val="000B0445"/>
    <w:rsid w:val="000B046B"/>
    <w:rsid w:val="000B0548"/>
    <w:rsid w:val="000B0576"/>
    <w:rsid w:val="000B0671"/>
    <w:rsid w:val="000B0695"/>
    <w:rsid w:val="000B06EE"/>
    <w:rsid w:val="000B06F3"/>
    <w:rsid w:val="000B0722"/>
    <w:rsid w:val="000B07F5"/>
    <w:rsid w:val="000B08B9"/>
    <w:rsid w:val="000B0A1D"/>
    <w:rsid w:val="000B0A1E"/>
    <w:rsid w:val="000B0A35"/>
    <w:rsid w:val="000B0B02"/>
    <w:rsid w:val="000B0B3E"/>
    <w:rsid w:val="000B0BB1"/>
    <w:rsid w:val="000B0BCC"/>
    <w:rsid w:val="000B0C78"/>
    <w:rsid w:val="000B0CA6"/>
    <w:rsid w:val="000B0D12"/>
    <w:rsid w:val="000B0DB6"/>
    <w:rsid w:val="000B0E94"/>
    <w:rsid w:val="000B0F20"/>
    <w:rsid w:val="000B0FD5"/>
    <w:rsid w:val="000B1005"/>
    <w:rsid w:val="000B1010"/>
    <w:rsid w:val="000B1035"/>
    <w:rsid w:val="000B11A4"/>
    <w:rsid w:val="000B11E5"/>
    <w:rsid w:val="000B1228"/>
    <w:rsid w:val="000B1288"/>
    <w:rsid w:val="000B12B7"/>
    <w:rsid w:val="000B1466"/>
    <w:rsid w:val="000B146B"/>
    <w:rsid w:val="000B15DE"/>
    <w:rsid w:val="000B1616"/>
    <w:rsid w:val="000B161F"/>
    <w:rsid w:val="000B16DF"/>
    <w:rsid w:val="000B17EA"/>
    <w:rsid w:val="000B1A18"/>
    <w:rsid w:val="000B1A25"/>
    <w:rsid w:val="000B1B6A"/>
    <w:rsid w:val="000B1B8D"/>
    <w:rsid w:val="000B1BC9"/>
    <w:rsid w:val="000B1CC1"/>
    <w:rsid w:val="000B1D77"/>
    <w:rsid w:val="000B1DCF"/>
    <w:rsid w:val="000B1DE4"/>
    <w:rsid w:val="000B1E5F"/>
    <w:rsid w:val="000B1F57"/>
    <w:rsid w:val="000B1F87"/>
    <w:rsid w:val="000B1FDB"/>
    <w:rsid w:val="000B1FEE"/>
    <w:rsid w:val="000B2187"/>
    <w:rsid w:val="000B22E9"/>
    <w:rsid w:val="000B22F1"/>
    <w:rsid w:val="000B230E"/>
    <w:rsid w:val="000B231F"/>
    <w:rsid w:val="000B23B4"/>
    <w:rsid w:val="000B2426"/>
    <w:rsid w:val="000B24C4"/>
    <w:rsid w:val="000B2551"/>
    <w:rsid w:val="000B2567"/>
    <w:rsid w:val="000B25F3"/>
    <w:rsid w:val="000B260D"/>
    <w:rsid w:val="000B273B"/>
    <w:rsid w:val="000B281F"/>
    <w:rsid w:val="000B2881"/>
    <w:rsid w:val="000B28CF"/>
    <w:rsid w:val="000B2984"/>
    <w:rsid w:val="000B298E"/>
    <w:rsid w:val="000B29D6"/>
    <w:rsid w:val="000B2A60"/>
    <w:rsid w:val="000B2B02"/>
    <w:rsid w:val="000B2B74"/>
    <w:rsid w:val="000B2CE1"/>
    <w:rsid w:val="000B2CE9"/>
    <w:rsid w:val="000B2DB1"/>
    <w:rsid w:val="000B2E2F"/>
    <w:rsid w:val="000B2F09"/>
    <w:rsid w:val="000B2F8E"/>
    <w:rsid w:val="000B3037"/>
    <w:rsid w:val="000B31BB"/>
    <w:rsid w:val="000B3267"/>
    <w:rsid w:val="000B32D5"/>
    <w:rsid w:val="000B335D"/>
    <w:rsid w:val="000B339D"/>
    <w:rsid w:val="000B33B3"/>
    <w:rsid w:val="000B33E2"/>
    <w:rsid w:val="000B340B"/>
    <w:rsid w:val="000B356C"/>
    <w:rsid w:val="000B358C"/>
    <w:rsid w:val="000B3619"/>
    <w:rsid w:val="000B37B8"/>
    <w:rsid w:val="000B37BE"/>
    <w:rsid w:val="000B380C"/>
    <w:rsid w:val="000B3856"/>
    <w:rsid w:val="000B3858"/>
    <w:rsid w:val="000B38F2"/>
    <w:rsid w:val="000B39D8"/>
    <w:rsid w:val="000B3BF4"/>
    <w:rsid w:val="000B3D33"/>
    <w:rsid w:val="000B411F"/>
    <w:rsid w:val="000B41C1"/>
    <w:rsid w:val="000B4223"/>
    <w:rsid w:val="000B4284"/>
    <w:rsid w:val="000B42B4"/>
    <w:rsid w:val="000B42F6"/>
    <w:rsid w:val="000B4303"/>
    <w:rsid w:val="000B4305"/>
    <w:rsid w:val="000B43BB"/>
    <w:rsid w:val="000B4426"/>
    <w:rsid w:val="000B44AF"/>
    <w:rsid w:val="000B4502"/>
    <w:rsid w:val="000B455B"/>
    <w:rsid w:val="000B45A1"/>
    <w:rsid w:val="000B4665"/>
    <w:rsid w:val="000B46E6"/>
    <w:rsid w:val="000B4908"/>
    <w:rsid w:val="000B49B4"/>
    <w:rsid w:val="000B4A35"/>
    <w:rsid w:val="000B4AD6"/>
    <w:rsid w:val="000B4AE5"/>
    <w:rsid w:val="000B4B23"/>
    <w:rsid w:val="000B4C24"/>
    <w:rsid w:val="000B4CD2"/>
    <w:rsid w:val="000B4D5E"/>
    <w:rsid w:val="000B4DB5"/>
    <w:rsid w:val="000B4E10"/>
    <w:rsid w:val="000B4E34"/>
    <w:rsid w:val="000B4E99"/>
    <w:rsid w:val="000B4F0C"/>
    <w:rsid w:val="000B5025"/>
    <w:rsid w:val="000B50E4"/>
    <w:rsid w:val="000B5156"/>
    <w:rsid w:val="000B5186"/>
    <w:rsid w:val="000B518C"/>
    <w:rsid w:val="000B5243"/>
    <w:rsid w:val="000B5281"/>
    <w:rsid w:val="000B535E"/>
    <w:rsid w:val="000B5655"/>
    <w:rsid w:val="000B565D"/>
    <w:rsid w:val="000B56AD"/>
    <w:rsid w:val="000B58A4"/>
    <w:rsid w:val="000B58B7"/>
    <w:rsid w:val="000B5A07"/>
    <w:rsid w:val="000B5ADE"/>
    <w:rsid w:val="000B5B1E"/>
    <w:rsid w:val="000B5B37"/>
    <w:rsid w:val="000B5BAD"/>
    <w:rsid w:val="000B5C0F"/>
    <w:rsid w:val="000B5CFD"/>
    <w:rsid w:val="000B5DFE"/>
    <w:rsid w:val="000B5FEB"/>
    <w:rsid w:val="000B603C"/>
    <w:rsid w:val="000B6068"/>
    <w:rsid w:val="000B613F"/>
    <w:rsid w:val="000B614E"/>
    <w:rsid w:val="000B621D"/>
    <w:rsid w:val="000B63E1"/>
    <w:rsid w:val="000B6503"/>
    <w:rsid w:val="000B6508"/>
    <w:rsid w:val="000B6514"/>
    <w:rsid w:val="000B657D"/>
    <w:rsid w:val="000B65FA"/>
    <w:rsid w:val="000B65FB"/>
    <w:rsid w:val="000B66F4"/>
    <w:rsid w:val="000B66F9"/>
    <w:rsid w:val="000B67AD"/>
    <w:rsid w:val="000B67C5"/>
    <w:rsid w:val="000B67C9"/>
    <w:rsid w:val="000B6924"/>
    <w:rsid w:val="000B69C7"/>
    <w:rsid w:val="000B69CA"/>
    <w:rsid w:val="000B6A17"/>
    <w:rsid w:val="000B6AE6"/>
    <w:rsid w:val="000B6BD7"/>
    <w:rsid w:val="000B6BE6"/>
    <w:rsid w:val="000B6C04"/>
    <w:rsid w:val="000B6D10"/>
    <w:rsid w:val="000B6D28"/>
    <w:rsid w:val="000B6E73"/>
    <w:rsid w:val="000B6EB3"/>
    <w:rsid w:val="000B6FB1"/>
    <w:rsid w:val="000B6FC8"/>
    <w:rsid w:val="000B6FD0"/>
    <w:rsid w:val="000B705B"/>
    <w:rsid w:val="000B7076"/>
    <w:rsid w:val="000B71CD"/>
    <w:rsid w:val="000B7228"/>
    <w:rsid w:val="000B72B2"/>
    <w:rsid w:val="000B72FC"/>
    <w:rsid w:val="000B730D"/>
    <w:rsid w:val="000B7310"/>
    <w:rsid w:val="000B7312"/>
    <w:rsid w:val="000B73D0"/>
    <w:rsid w:val="000B73ED"/>
    <w:rsid w:val="000B7445"/>
    <w:rsid w:val="000B7492"/>
    <w:rsid w:val="000B749D"/>
    <w:rsid w:val="000B7690"/>
    <w:rsid w:val="000B772B"/>
    <w:rsid w:val="000B7743"/>
    <w:rsid w:val="000B775C"/>
    <w:rsid w:val="000B7817"/>
    <w:rsid w:val="000B782F"/>
    <w:rsid w:val="000B7865"/>
    <w:rsid w:val="000B78AD"/>
    <w:rsid w:val="000B78D9"/>
    <w:rsid w:val="000B78DD"/>
    <w:rsid w:val="000B7973"/>
    <w:rsid w:val="000B7A52"/>
    <w:rsid w:val="000B7ACC"/>
    <w:rsid w:val="000B7B0F"/>
    <w:rsid w:val="000B7B82"/>
    <w:rsid w:val="000B7BA9"/>
    <w:rsid w:val="000B7BB5"/>
    <w:rsid w:val="000B7BBA"/>
    <w:rsid w:val="000B7C19"/>
    <w:rsid w:val="000B7C82"/>
    <w:rsid w:val="000B7E29"/>
    <w:rsid w:val="000B7F73"/>
    <w:rsid w:val="000B7F76"/>
    <w:rsid w:val="000C0086"/>
    <w:rsid w:val="000C009D"/>
    <w:rsid w:val="000C04A0"/>
    <w:rsid w:val="000C04FC"/>
    <w:rsid w:val="000C050F"/>
    <w:rsid w:val="000C05FF"/>
    <w:rsid w:val="000C06B6"/>
    <w:rsid w:val="000C0842"/>
    <w:rsid w:val="000C08DA"/>
    <w:rsid w:val="000C093D"/>
    <w:rsid w:val="000C098C"/>
    <w:rsid w:val="000C0A60"/>
    <w:rsid w:val="000C0A63"/>
    <w:rsid w:val="000C0BFC"/>
    <w:rsid w:val="000C0C32"/>
    <w:rsid w:val="000C0CE7"/>
    <w:rsid w:val="000C0D28"/>
    <w:rsid w:val="000C0E7C"/>
    <w:rsid w:val="000C0FB2"/>
    <w:rsid w:val="000C114D"/>
    <w:rsid w:val="000C146C"/>
    <w:rsid w:val="000C14F8"/>
    <w:rsid w:val="000C1613"/>
    <w:rsid w:val="000C1748"/>
    <w:rsid w:val="000C17A7"/>
    <w:rsid w:val="000C18D8"/>
    <w:rsid w:val="000C1A4C"/>
    <w:rsid w:val="000C1B4C"/>
    <w:rsid w:val="000C1BDA"/>
    <w:rsid w:val="000C1BF1"/>
    <w:rsid w:val="000C1C4C"/>
    <w:rsid w:val="000C1D1F"/>
    <w:rsid w:val="000C1D8B"/>
    <w:rsid w:val="000C1EC6"/>
    <w:rsid w:val="000C1F10"/>
    <w:rsid w:val="000C1F2C"/>
    <w:rsid w:val="000C1F73"/>
    <w:rsid w:val="000C1F98"/>
    <w:rsid w:val="000C2031"/>
    <w:rsid w:val="000C2070"/>
    <w:rsid w:val="000C2308"/>
    <w:rsid w:val="000C23D2"/>
    <w:rsid w:val="000C23E2"/>
    <w:rsid w:val="000C2558"/>
    <w:rsid w:val="000C2576"/>
    <w:rsid w:val="000C25BE"/>
    <w:rsid w:val="000C25F2"/>
    <w:rsid w:val="000C266A"/>
    <w:rsid w:val="000C285D"/>
    <w:rsid w:val="000C2920"/>
    <w:rsid w:val="000C2967"/>
    <w:rsid w:val="000C2993"/>
    <w:rsid w:val="000C2A16"/>
    <w:rsid w:val="000C2A1A"/>
    <w:rsid w:val="000C2A27"/>
    <w:rsid w:val="000C2A88"/>
    <w:rsid w:val="000C2ABF"/>
    <w:rsid w:val="000C2ADA"/>
    <w:rsid w:val="000C2ADF"/>
    <w:rsid w:val="000C2C76"/>
    <w:rsid w:val="000C2CEC"/>
    <w:rsid w:val="000C2CFC"/>
    <w:rsid w:val="000C2E1B"/>
    <w:rsid w:val="000C2E92"/>
    <w:rsid w:val="000C2ED6"/>
    <w:rsid w:val="000C2EFD"/>
    <w:rsid w:val="000C2FCF"/>
    <w:rsid w:val="000C303E"/>
    <w:rsid w:val="000C3072"/>
    <w:rsid w:val="000C307A"/>
    <w:rsid w:val="000C30CE"/>
    <w:rsid w:val="000C31A6"/>
    <w:rsid w:val="000C3221"/>
    <w:rsid w:val="000C32C7"/>
    <w:rsid w:val="000C3377"/>
    <w:rsid w:val="000C3433"/>
    <w:rsid w:val="000C34A2"/>
    <w:rsid w:val="000C3549"/>
    <w:rsid w:val="000C35CB"/>
    <w:rsid w:val="000C373B"/>
    <w:rsid w:val="000C387E"/>
    <w:rsid w:val="000C390B"/>
    <w:rsid w:val="000C394A"/>
    <w:rsid w:val="000C3AD5"/>
    <w:rsid w:val="000C3B5A"/>
    <w:rsid w:val="000C3B93"/>
    <w:rsid w:val="000C3DBD"/>
    <w:rsid w:val="000C3F6D"/>
    <w:rsid w:val="000C408A"/>
    <w:rsid w:val="000C419A"/>
    <w:rsid w:val="000C4210"/>
    <w:rsid w:val="000C424C"/>
    <w:rsid w:val="000C42C8"/>
    <w:rsid w:val="000C4365"/>
    <w:rsid w:val="000C4372"/>
    <w:rsid w:val="000C4441"/>
    <w:rsid w:val="000C4524"/>
    <w:rsid w:val="000C452D"/>
    <w:rsid w:val="000C458E"/>
    <w:rsid w:val="000C45C3"/>
    <w:rsid w:val="000C46E3"/>
    <w:rsid w:val="000C4816"/>
    <w:rsid w:val="000C48C6"/>
    <w:rsid w:val="000C4912"/>
    <w:rsid w:val="000C49E2"/>
    <w:rsid w:val="000C4A00"/>
    <w:rsid w:val="000C4B96"/>
    <w:rsid w:val="000C4BC9"/>
    <w:rsid w:val="000C4BD6"/>
    <w:rsid w:val="000C4D68"/>
    <w:rsid w:val="000C4E34"/>
    <w:rsid w:val="000C4EA5"/>
    <w:rsid w:val="000C4FBE"/>
    <w:rsid w:val="000C511F"/>
    <w:rsid w:val="000C5161"/>
    <w:rsid w:val="000C51E1"/>
    <w:rsid w:val="000C52B1"/>
    <w:rsid w:val="000C54C7"/>
    <w:rsid w:val="000C5513"/>
    <w:rsid w:val="000C55A4"/>
    <w:rsid w:val="000C55CC"/>
    <w:rsid w:val="000C5725"/>
    <w:rsid w:val="000C573A"/>
    <w:rsid w:val="000C5788"/>
    <w:rsid w:val="000C5790"/>
    <w:rsid w:val="000C5915"/>
    <w:rsid w:val="000C594A"/>
    <w:rsid w:val="000C594D"/>
    <w:rsid w:val="000C59BB"/>
    <w:rsid w:val="000C5BC2"/>
    <w:rsid w:val="000C5C1C"/>
    <w:rsid w:val="000C5C3D"/>
    <w:rsid w:val="000C5C80"/>
    <w:rsid w:val="000C5D18"/>
    <w:rsid w:val="000C5DE8"/>
    <w:rsid w:val="000C5E39"/>
    <w:rsid w:val="000C5F30"/>
    <w:rsid w:val="000C5F5F"/>
    <w:rsid w:val="000C5FC9"/>
    <w:rsid w:val="000C61B2"/>
    <w:rsid w:val="000C61F6"/>
    <w:rsid w:val="000C6215"/>
    <w:rsid w:val="000C648D"/>
    <w:rsid w:val="000C64E8"/>
    <w:rsid w:val="000C650E"/>
    <w:rsid w:val="000C655C"/>
    <w:rsid w:val="000C66DE"/>
    <w:rsid w:val="000C6704"/>
    <w:rsid w:val="000C6879"/>
    <w:rsid w:val="000C6912"/>
    <w:rsid w:val="000C69E2"/>
    <w:rsid w:val="000C6A70"/>
    <w:rsid w:val="000C6BC4"/>
    <w:rsid w:val="000C6CF7"/>
    <w:rsid w:val="000C6D51"/>
    <w:rsid w:val="000C7001"/>
    <w:rsid w:val="000C701A"/>
    <w:rsid w:val="000C7092"/>
    <w:rsid w:val="000C70DE"/>
    <w:rsid w:val="000C710E"/>
    <w:rsid w:val="000C71EE"/>
    <w:rsid w:val="000C7206"/>
    <w:rsid w:val="000C7207"/>
    <w:rsid w:val="000C7337"/>
    <w:rsid w:val="000C745C"/>
    <w:rsid w:val="000C75BB"/>
    <w:rsid w:val="000C7654"/>
    <w:rsid w:val="000C769E"/>
    <w:rsid w:val="000C796A"/>
    <w:rsid w:val="000C7A1C"/>
    <w:rsid w:val="000C7B3A"/>
    <w:rsid w:val="000C7BDE"/>
    <w:rsid w:val="000C7CE2"/>
    <w:rsid w:val="000C7D07"/>
    <w:rsid w:val="000C7E58"/>
    <w:rsid w:val="000C7E8D"/>
    <w:rsid w:val="000C7EBD"/>
    <w:rsid w:val="000C7F09"/>
    <w:rsid w:val="000C7F37"/>
    <w:rsid w:val="000D001A"/>
    <w:rsid w:val="000D0032"/>
    <w:rsid w:val="000D00BC"/>
    <w:rsid w:val="000D0241"/>
    <w:rsid w:val="000D03A6"/>
    <w:rsid w:val="000D03FE"/>
    <w:rsid w:val="000D043A"/>
    <w:rsid w:val="000D0441"/>
    <w:rsid w:val="000D0556"/>
    <w:rsid w:val="000D05F2"/>
    <w:rsid w:val="000D0663"/>
    <w:rsid w:val="000D06B8"/>
    <w:rsid w:val="000D0755"/>
    <w:rsid w:val="000D07E6"/>
    <w:rsid w:val="000D07F9"/>
    <w:rsid w:val="000D09CD"/>
    <w:rsid w:val="000D0A80"/>
    <w:rsid w:val="000D0BBC"/>
    <w:rsid w:val="000D0C06"/>
    <w:rsid w:val="000D0C7B"/>
    <w:rsid w:val="000D0D3A"/>
    <w:rsid w:val="000D0E62"/>
    <w:rsid w:val="000D101F"/>
    <w:rsid w:val="000D11BB"/>
    <w:rsid w:val="000D12D8"/>
    <w:rsid w:val="000D12E8"/>
    <w:rsid w:val="000D14A7"/>
    <w:rsid w:val="000D14AD"/>
    <w:rsid w:val="000D151D"/>
    <w:rsid w:val="000D1588"/>
    <w:rsid w:val="000D16BD"/>
    <w:rsid w:val="000D174A"/>
    <w:rsid w:val="000D17AE"/>
    <w:rsid w:val="000D17D1"/>
    <w:rsid w:val="000D1954"/>
    <w:rsid w:val="000D19CB"/>
    <w:rsid w:val="000D19D7"/>
    <w:rsid w:val="000D1A41"/>
    <w:rsid w:val="000D1A6F"/>
    <w:rsid w:val="000D1AC1"/>
    <w:rsid w:val="000D1B3E"/>
    <w:rsid w:val="000D1BA0"/>
    <w:rsid w:val="000D1BB0"/>
    <w:rsid w:val="000D1BB6"/>
    <w:rsid w:val="000D1C70"/>
    <w:rsid w:val="000D1C7A"/>
    <w:rsid w:val="000D1CFB"/>
    <w:rsid w:val="000D1E26"/>
    <w:rsid w:val="000D202D"/>
    <w:rsid w:val="000D20DF"/>
    <w:rsid w:val="000D218B"/>
    <w:rsid w:val="000D220C"/>
    <w:rsid w:val="000D2249"/>
    <w:rsid w:val="000D2271"/>
    <w:rsid w:val="000D2285"/>
    <w:rsid w:val="000D22BB"/>
    <w:rsid w:val="000D22C2"/>
    <w:rsid w:val="000D2325"/>
    <w:rsid w:val="000D23F3"/>
    <w:rsid w:val="000D2425"/>
    <w:rsid w:val="000D2588"/>
    <w:rsid w:val="000D25E4"/>
    <w:rsid w:val="000D264A"/>
    <w:rsid w:val="000D27E4"/>
    <w:rsid w:val="000D280F"/>
    <w:rsid w:val="000D2817"/>
    <w:rsid w:val="000D28AA"/>
    <w:rsid w:val="000D290D"/>
    <w:rsid w:val="000D292E"/>
    <w:rsid w:val="000D296D"/>
    <w:rsid w:val="000D2B1A"/>
    <w:rsid w:val="000D2B6B"/>
    <w:rsid w:val="000D2DB6"/>
    <w:rsid w:val="000D2DCF"/>
    <w:rsid w:val="000D2DF6"/>
    <w:rsid w:val="000D2E9F"/>
    <w:rsid w:val="000D304F"/>
    <w:rsid w:val="000D307D"/>
    <w:rsid w:val="000D30F7"/>
    <w:rsid w:val="000D31D7"/>
    <w:rsid w:val="000D3316"/>
    <w:rsid w:val="000D3419"/>
    <w:rsid w:val="000D34C8"/>
    <w:rsid w:val="000D356E"/>
    <w:rsid w:val="000D3657"/>
    <w:rsid w:val="000D375C"/>
    <w:rsid w:val="000D38BB"/>
    <w:rsid w:val="000D38BD"/>
    <w:rsid w:val="000D38FE"/>
    <w:rsid w:val="000D3A4B"/>
    <w:rsid w:val="000D3A77"/>
    <w:rsid w:val="000D3C56"/>
    <w:rsid w:val="000D3DFA"/>
    <w:rsid w:val="000D3E19"/>
    <w:rsid w:val="000D3E6D"/>
    <w:rsid w:val="000D3EC9"/>
    <w:rsid w:val="000D3EF4"/>
    <w:rsid w:val="000D3F34"/>
    <w:rsid w:val="000D3F49"/>
    <w:rsid w:val="000D3FC4"/>
    <w:rsid w:val="000D4047"/>
    <w:rsid w:val="000D4185"/>
    <w:rsid w:val="000D418E"/>
    <w:rsid w:val="000D41CB"/>
    <w:rsid w:val="000D422D"/>
    <w:rsid w:val="000D42B4"/>
    <w:rsid w:val="000D44D0"/>
    <w:rsid w:val="000D44DB"/>
    <w:rsid w:val="000D4547"/>
    <w:rsid w:val="000D462B"/>
    <w:rsid w:val="000D46E7"/>
    <w:rsid w:val="000D47CD"/>
    <w:rsid w:val="000D4925"/>
    <w:rsid w:val="000D49A1"/>
    <w:rsid w:val="000D49E0"/>
    <w:rsid w:val="000D49E4"/>
    <w:rsid w:val="000D49EA"/>
    <w:rsid w:val="000D4A00"/>
    <w:rsid w:val="000D4A54"/>
    <w:rsid w:val="000D4C4D"/>
    <w:rsid w:val="000D4C88"/>
    <w:rsid w:val="000D4C8F"/>
    <w:rsid w:val="000D4CC1"/>
    <w:rsid w:val="000D4CEB"/>
    <w:rsid w:val="000D4D80"/>
    <w:rsid w:val="000D4E1F"/>
    <w:rsid w:val="000D4E2D"/>
    <w:rsid w:val="000D4FE6"/>
    <w:rsid w:val="000D5001"/>
    <w:rsid w:val="000D5118"/>
    <w:rsid w:val="000D513E"/>
    <w:rsid w:val="000D519C"/>
    <w:rsid w:val="000D51B8"/>
    <w:rsid w:val="000D5385"/>
    <w:rsid w:val="000D53BA"/>
    <w:rsid w:val="000D5427"/>
    <w:rsid w:val="000D5531"/>
    <w:rsid w:val="000D554A"/>
    <w:rsid w:val="000D55AB"/>
    <w:rsid w:val="000D5669"/>
    <w:rsid w:val="000D567F"/>
    <w:rsid w:val="000D58B8"/>
    <w:rsid w:val="000D5A13"/>
    <w:rsid w:val="000D5A7B"/>
    <w:rsid w:val="000D5A8E"/>
    <w:rsid w:val="000D5AB4"/>
    <w:rsid w:val="000D5ACC"/>
    <w:rsid w:val="000D5D93"/>
    <w:rsid w:val="000D5DD4"/>
    <w:rsid w:val="000D5FAE"/>
    <w:rsid w:val="000D5FDF"/>
    <w:rsid w:val="000D6008"/>
    <w:rsid w:val="000D6009"/>
    <w:rsid w:val="000D613E"/>
    <w:rsid w:val="000D6195"/>
    <w:rsid w:val="000D61FF"/>
    <w:rsid w:val="000D6263"/>
    <w:rsid w:val="000D62E5"/>
    <w:rsid w:val="000D634E"/>
    <w:rsid w:val="000D6364"/>
    <w:rsid w:val="000D63A5"/>
    <w:rsid w:val="000D6455"/>
    <w:rsid w:val="000D64AD"/>
    <w:rsid w:val="000D6576"/>
    <w:rsid w:val="000D65B0"/>
    <w:rsid w:val="000D6628"/>
    <w:rsid w:val="000D6655"/>
    <w:rsid w:val="000D68C6"/>
    <w:rsid w:val="000D68F0"/>
    <w:rsid w:val="000D6B91"/>
    <w:rsid w:val="000D6B99"/>
    <w:rsid w:val="000D6C69"/>
    <w:rsid w:val="000D6C71"/>
    <w:rsid w:val="000D6CA2"/>
    <w:rsid w:val="000D6D1F"/>
    <w:rsid w:val="000D6D82"/>
    <w:rsid w:val="000D6E44"/>
    <w:rsid w:val="000D6E5D"/>
    <w:rsid w:val="000D6EAA"/>
    <w:rsid w:val="000D6F2C"/>
    <w:rsid w:val="000D6FAF"/>
    <w:rsid w:val="000D703B"/>
    <w:rsid w:val="000D73B6"/>
    <w:rsid w:val="000D7500"/>
    <w:rsid w:val="000D772D"/>
    <w:rsid w:val="000D790D"/>
    <w:rsid w:val="000D793E"/>
    <w:rsid w:val="000D7940"/>
    <w:rsid w:val="000D7A8F"/>
    <w:rsid w:val="000D7B7A"/>
    <w:rsid w:val="000D7BB7"/>
    <w:rsid w:val="000D7BF5"/>
    <w:rsid w:val="000D7C8D"/>
    <w:rsid w:val="000D7E4B"/>
    <w:rsid w:val="000E0110"/>
    <w:rsid w:val="000E01B3"/>
    <w:rsid w:val="000E01CE"/>
    <w:rsid w:val="000E01F5"/>
    <w:rsid w:val="000E02B4"/>
    <w:rsid w:val="000E039D"/>
    <w:rsid w:val="000E03CA"/>
    <w:rsid w:val="000E046B"/>
    <w:rsid w:val="000E0603"/>
    <w:rsid w:val="000E0619"/>
    <w:rsid w:val="000E069A"/>
    <w:rsid w:val="000E071D"/>
    <w:rsid w:val="000E085B"/>
    <w:rsid w:val="000E08F8"/>
    <w:rsid w:val="000E099E"/>
    <w:rsid w:val="000E09A0"/>
    <w:rsid w:val="000E09B7"/>
    <w:rsid w:val="000E09C7"/>
    <w:rsid w:val="000E0A0E"/>
    <w:rsid w:val="000E0F30"/>
    <w:rsid w:val="000E0F32"/>
    <w:rsid w:val="000E0F65"/>
    <w:rsid w:val="000E1106"/>
    <w:rsid w:val="000E111D"/>
    <w:rsid w:val="000E119C"/>
    <w:rsid w:val="000E12E4"/>
    <w:rsid w:val="000E13EF"/>
    <w:rsid w:val="000E1459"/>
    <w:rsid w:val="000E14DA"/>
    <w:rsid w:val="000E1522"/>
    <w:rsid w:val="000E15A3"/>
    <w:rsid w:val="000E15F4"/>
    <w:rsid w:val="000E163B"/>
    <w:rsid w:val="000E1758"/>
    <w:rsid w:val="000E178D"/>
    <w:rsid w:val="000E17F5"/>
    <w:rsid w:val="000E18C4"/>
    <w:rsid w:val="000E1904"/>
    <w:rsid w:val="000E1965"/>
    <w:rsid w:val="000E1975"/>
    <w:rsid w:val="000E19C5"/>
    <w:rsid w:val="000E1A86"/>
    <w:rsid w:val="000E1A9D"/>
    <w:rsid w:val="000E1AC7"/>
    <w:rsid w:val="000E1B90"/>
    <w:rsid w:val="000E1CAE"/>
    <w:rsid w:val="000E1CE0"/>
    <w:rsid w:val="000E1CEA"/>
    <w:rsid w:val="000E1D24"/>
    <w:rsid w:val="000E1DAB"/>
    <w:rsid w:val="000E1DF8"/>
    <w:rsid w:val="000E1EA1"/>
    <w:rsid w:val="000E1F61"/>
    <w:rsid w:val="000E203E"/>
    <w:rsid w:val="000E20CD"/>
    <w:rsid w:val="000E2108"/>
    <w:rsid w:val="000E2121"/>
    <w:rsid w:val="000E2165"/>
    <w:rsid w:val="000E21C7"/>
    <w:rsid w:val="000E2242"/>
    <w:rsid w:val="000E2387"/>
    <w:rsid w:val="000E2434"/>
    <w:rsid w:val="000E251E"/>
    <w:rsid w:val="000E2633"/>
    <w:rsid w:val="000E268E"/>
    <w:rsid w:val="000E2723"/>
    <w:rsid w:val="000E273F"/>
    <w:rsid w:val="000E27F5"/>
    <w:rsid w:val="000E2970"/>
    <w:rsid w:val="000E2984"/>
    <w:rsid w:val="000E2A18"/>
    <w:rsid w:val="000E2AD7"/>
    <w:rsid w:val="000E2C1D"/>
    <w:rsid w:val="000E2CFB"/>
    <w:rsid w:val="000E2EAD"/>
    <w:rsid w:val="000E2F0E"/>
    <w:rsid w:val="000E2F1B"/>
    <w:rsid w:val="000E2F5F"/>
    <w:rsid w:val="000E30AB"/>
    <w:rsid w:val="000E31B4"/>
    <w:rsid w:val="000E32A9"/>
    <w:rsid w:val="000E32C5"/>
    <w:rsid w:val="000E32EE"/>
    <w:rsid w:val="000E3330"/>
    <w:rsid w:val="000E3381"/>
    <w:rsid w:val="000E3385"/>
    <w:rsid w:val="000E339A"/>
    <w:rsid w:val="000E33C2"/>
    <w:rsid w:val="000E3426"/>
    <w:rsid w:val="000E346E"/>
    <w:rsid w:val="000E3478"/>
    <w:rsid w:val="000E360D"/>
    <w:rsid w:val="000E3660"/>
    <w:rsid w:val="000E3690"/>
    <w:rsid w:val="000E370C"/>
    <w:rsid w:val="000E372C"/>
    <w:rsid w:val="000E387D"/>
    <w:rsid w:val="000E3A77"/>
    <w:rsid w:val="000E3BF6"/>
    <w:rsid w:val="000E3D08"/>
    <w:rsid w:val="000E3D0E"/>
    <w:rsid w:val="000E3DB0"/>
    <w:rsid w:val="000E3DD0"/>
    <w:rsid w:val="000E3E0C"/>
    <w:rsid w:val="000E3F90"/>
    <w:rsid w:val="000E3FDD"/>
    <w:rsid w:val="000E41A1"/>
    <w:rsid w:val="000E4200"/>
    <w:rsid w:val="000E428F"/>
    <w:rsid w:val="000E42EA"/>
    <w:rsid w:val="000E4318"/>
    <w:rsid w:val="000E439E"/>
    <w:rsid w:val="000E43CE"/>
    <w:rsid w:val="000E43D9"/>
    <w:rsid w:val="000E442A"/>
    <w:rsid w:val="000E44AF"/>
    <w:rsid w:val="000E4511"/>
    <w:rsid w:val="000E4696"/>
    <w:rsid w:val="000E46C6"/>
    <w:rsid w:val="000E4773"/>
    <w:rsid w:val="000E48B4"/>
    <w:rsid w:val="000E48DA"/>
    <w:rsid w:val="000E4918"/>
    <w:rsid w:val="000E4A5A"/>
    <w:rsid w:val="000E4AA1"/>
    <w:rsid w:val="000E4AA7"/>
    <w:rsid w:val="000E4B52"/>
    <w:rsid w:val="000E4C3F"/>
    <w:rsid w:val="000E4C7A"/>
    <w:rsid w:val="000E4C9A"/>
    <w:rsid w:val="000E4C9E"/>
    <w:rsid w:val="000E4DAE"/>
    <w:rsid w:val="000E4DFD"/>
    <w:rsid w:val="000E4F87"/>
    <w:rsid w:val="000E50E2"/>
    <w:rsid w:val="000E522E"/>
    <w:rsid w:val="000E52DE"/>
    <w:rsid w:val="000E5393"/>
    <w:rsid w:val="000E53AC"/>
    <w:rsid w:val="000E53B7"/>
    <w:rsid w:val="000E5421"/>
    <w:rsid w:val="000E5424"/>
    <w:rsid w:val="000E5482"/>
    <w:rsid w:val="000E5529"/>
    <w:rsid w:val="000E5589"/>
    <w:rsid w:val="000E5594"/>
    <w:rsid w:val="000E5747"/>
    <w:rsid w:val="000E58CE"/>
    <w:rsid w:val="000E5923"/>
    <w:rsid w:val="000E5993"/>
    <w:rsid w:val="000E59CA"/>
    <w:rsid w:val="000E5A1B"/>
    <w:rsid w:val="000E5A5C"/>
    <w:rsid w:val="000E5AAC"/>
    <w:rsid w:val="000E5B96"/>
    <w:rsid w:val="000E5BF1"/>
    <w:rsid w:val="000E5C2D"/>
    <w:rsid w:val="000E5C48"/>
    <w:rsid w:val="000E5C4C"/>
    <w:rsid w:val="000E5EFA"/>
    <w:rsid w:val="000E5F06"/>
    <w:rsid w:val="000E5F27"/>
    <w:rsid w:val="000E6112"/>
    <w:rsid w:val="000E616F"/>
    <w:rsid w:val="000E6265"/>
    <w:rsid w:val="000E6311"/>
    <w:rsid w:val="000E6323"/>
    <w:rsid w:val="000E6363"/>
    <w:rsid w:val="000E63AB"/>
    <w:rsid w:val="000E6403"/>
    <w:rsid w:val="000E641C"/>
    <w:rsid w:val="000E6433"/>
    <w:rsid w:val="000E649D"/>
    <w:rsid w:val="000E64A4"/>
    <w:rsid w:val="000E65ED"/>
    <w:rsid w:val="000E665E"/>
    <w:rsid w:val="000E67AB"/>
    <w:rsid w:val="000E67F3"/>
    <w:rsid w:val="000E69B2"/>
    <w:rsid w:val="000E69D8"/>
    <w:rsid w:val="000E6B7E"/>
    <w:rsid w:val="000E6CD8"/>
    <w:rsid w:val="000E6ECA"/>
    <w:rsid w:val="000E7029"/>
    <w:rsid w:val="000E7077"/>
    <w:rsid w:val="000E70E6"/>
    <w:rsid w:val="000E715D"/>
    <w:rsid w:val="000E71DB"/>
    <w:rsid w:val="000E724E"/>
    <w:rsid w:val="000E7378"/>
    <w:rsid w:val="000E7381"/>
    <w:rsid w:val="000E73CE"/>
    <w:rsid w:val="000E760F"/>
    <w:rsid w:val="000E766A"/>
    <w:rsid w:val="000E76C2"/>
    <w:rsid w:val="000E7747"/>
    <w:rsid w:val="000E78C8"/>
    <w:rsid w:val="000E793A"/>
    <w:rsid w:val="000E7A4C"/>
    <w:rsid w:val="000E7A94"/>
    <w:rsid w:val="000E7ACB"/>
    <w:rsid w:val="000E7BCC"/>
    <w:rsid w:val="000E7E13"/>
    <w:rsid w:val="000E7E36"/>
    <w:rsid w:val="000E7E3D"/>
    <w:rsid w:val="000E7E41"/>
    <w:rsid w:val="000E7F29"/>
    <w:rsid w:val="000F005E"/>
    <w:rsid w:val="000F00E9"/>
    <w:rsid w:val="000F0125"/>
    <w:rsid w:val="000F0323"/>
    <w:rsid w:val="000F033A"/>
    <w:rsid w:val="000F037A"/>
    <w:rsid w:val="000F06B9"/>
    <w:rsid w:val="000F086E"/>
    <w:rsid w:val="000F08C2"/>
    <w:rsid w:val="000F090A"/>
    <w:rsid w:val="000F0A3D"/>
    <w:rsid w:val="000F0B18"/>
    <w:rsid w:val="000F0B2F"/>
    <w:rsid w:val="000F0B55"/>
    <w:rsid w:val="000F0C9E"/>
    <w:rsid w:val="000F0D65"/>
    <w:rsid w:val="000F0DBC"/>
    <w:rsid w:val="000F0E36"/>
    <w:rsid w:val="000F0E63"/>
    <w:rsid w:val="000F0F5A"/>
    <w:rsid w:val="000F0F6C"/>
    <w:rsid w:val="000F0FDC"/>
    <w:rsid w:val="000F0FDD"/>
    <w:rsid w:val="000F11C7"/>
    <w:rsid w:val="000F1243"/>
    <w:rsid w:val="000F125F"/>
    <w:rsid w:val="000F1415"/>
    <w:rsid w:val="000F1473"/>
    <w:rsid w:val="000F14D9"/>
    <w:rsid w:val="000F16F4"/>
    <w:rsid w:val="000F1762"/>
    <w:rsid w:val="000F179E"/>
    <w:rsid w:val="000F19A5"/>
    <w:rsid w:val="000F19D2"/>
    <w:rsid w:val="000F1A33"/>
    <w:rsid w:val="000F1A3D"/>
    <w:rsid w:val="000F1A46"/>
    <w:rsid w:val="000F1AA3"/>
    <w:rsid w:val="000F1ACE"/>
    <w:rsid w:val="000F1AE6"/>
    <w:rsid w:val="000F1C6E"/>
    <w:rsid w:val="000F1C8E"/>
    <w:rsid w:val="000F1EB2"/>
    <w:rsid w:val="000F1FB5"/>
    <w:rsid w:val="000F2013"/>
    <w:rsid w:val="000F2197"/>
    <w:rsid w:val="000F2229"/>
    <w:rsid w:val="000F2292"/>
    <w:rsid w:val="000F2317"/>
    <w:rsid w:val="000F2359"/>
    <w:rsid w:val="000F23A7"/>
    <w:rsid w:val="000F23AF"/>
    <w:rsid w:val="000F2576"/>
    <w:rsid w:val="000F259A"/>
    <w:rsid w:val="000F262C"/>
    <w:rsid w:val="000F28D0"/>
    <w:rsid w:val="000F29E4"/>
    <w:rsid w:val="000F2B0C"/>
    <w:rsid w:val="000F2B61"/>
    <w:rsid w:val="000F2CA1"/>
    <w:rsid w:val="000F2D8B"/>
    <w:rsid w:val="000F2DEE"/>
    <w:rsid w:val="000F2EE4"/>
    <w:rsid w:val="000F2F86"/>
    <w:rsid w:val="000F311A"/>
    <w:rsid w:val="000F3216"/>
    <w:rsid w:val="000F327A"/>
    <w:rsid w:val="000F3311"/>
    <w:rsid w:val="000F3547"/>
    <w:rsid w:val="000F3596"/>
    <w:rsid w:val="000F3684"/>
    <w:rsid w:val="000F374E"/>
    <w:rsid w:val="000F385B"/>
    <w:rsid w:val="000F38E9"/>
    <w:rsid w:val="000F3920"/>
    <w:rsid w:val="000F393D"/>
    <w:rsid w:val="000F396A"/>
    <w:rsid w:val="000F3B22"/>
    <w:rsid w:val="000F3B39"/>
    <w:rsid w:val="000F3B3E"/>
    <w:rsid w:val="000F3B4C"/>
    <w:rsid w:val="000F3C3E"/>
    <w:rsid w:val="000F3D30"/>
    <w:rsid w:val="000F3E43"/>
    <w:rsid w:val="000F3F60"/>
    <w:rsid w:val="000F3FF1"/>
    <w:rsid w:val="000F4063"/>
    <w:rsid w:val="000F40B5"/>
    <w:rsid w:val="000F410A"/>
    <w:rsid w:val="000F4135"/>
    <w:rsid w:val="000F43B6"/>
    <w:rsid w:val="000F43E6"/>
    <w:rsid w:val="000F4536"/>
    <w:rsid w:val="000F49F2"/>
    <w:rsid w:val="000F4A20"/>
    <w:rsid w:val="000F4A81"/>
    <w:rsid w:val="000F4B15"/>
    <w:rsid w:val="000F4B7E"/>
    <w:rsid w:val="000F4BA1"/>
    <w:rsid w:val="000F4DEF"/>
    <w:rsid w:val="000F4E06"/>
    <w:rsid w:val="000F4E48"/>
    <w:rsid w:val="000F4E74"/>
    <w:rsid w:val="000F4EE3"/>
    <w:rsid w:val="000F4F1E"/>
    <w:rsid w:val="000F5023"/>
    <w:rsid w:val="000F5025"/>
    <w:rsid w:val="000F506A"/>
    <w:rsid w:val="000F515A"/>
    <w:rsid w:val="000F5191"/>
    <w:rsid w:val="000F519F"/>
    <w:rsid w:val="000F51BE"/>
    <w:rsid w:val="000F522C"/>
    <w:rsid w:val="000F5252"/>
    <w:rsid w:val="000F525D"/>
    <w:rsid w:val="000F5291"/>
    <w:rsid w:val="000F530A"/>
    <w:rsid w:val="000F539A"/>
    <w:rsid w:val="000F5519"/>
    <w:rsid w:val="000F556A"/>
    <w:rsid w:val="000F5660"/>
    <w:rsid w:val="000F5685"/>
    <w:rsid w:val="000F573E"/>
    <w:rsid w:val="000F589D"/>
    <w:rsid w:val="000F5AC0"/>
    <w:rsid w:val="000F5B56"/>
    <w:rsid w:val="000F5B69"/>
    <w:rsid w:val="000F5BAE"/>
    <w:rsid w:val="000F5BE7"/>
    <w:rsid w:val="000F5C07"/>
    <w:rsid w:val="000F5C2D"/>
    <w:rsid w:val="000F5C32"/>
    <w:rsid w:val="000F5D03"/>
    <w:rsid w:val="000F5D52"/>
    <w:rsid w:val="000F5D91"/>
    <w:rsid w:val="000F5DC3"/>
    <w:rsid w:val="000F5E63"/>
    <w:rsid w:val="000F5F70"/>
    <w:rsid w:val="000F6060"/>
    <w:rsid w:val="000F60B2"/>
    <w:rsid w:val="000F60E3"/>
    <w:rsid w:val="000F60EB"/>
    <w:rsid w:val="000F613D"/>
    <w:rsid w:val="000F6165"/>
    <w:rsid w:val="000F6180"/>
    <w:rsid w:val="000F634A"/>
    <w:rsid w:val="000F63B0"/>
    <w:rsid w:val="000F6439"/>
    <w:rsid w:val="000F65BD"/>
    <w:rsid w:val="000F65FB"/>
    <w:rsid w:val="000F664E"/>
    <w:rsid w:val="000F66CB"/>
    <w:rsid w:val="000F67D7"/>
    <w:rsid w:val="000F6865"/>
    <w:rsid w:val="000F68A8"/>
    <w:rsid w:val="000F68C3"/>
    <w:rsid w:val="000F68DE"/>
    <w:rsid w:val="000F691E"/>
    <w:rsid w:val="000F6A1E"/>
    <w:rsid w:val="000F6A2D"/>
    <w:rsid w:val="000F6B08"/>
    <w:rsid w:val="000F6B22"/>
    <w:rsid w:val="000F6B31"/>
    <w:rsid w:val="000F6B48"/>
    <w:rsid w:val="000F6BB4"/>
    <w:rsid w:val="000F6CC5"/>
    <w:rsid w:val="000F6D54"/>
    <w:rsid w:val="000F6D69"/>
    <w:rsid w:val="000F6D89"/>
    <w:rsid w:val="000F6E67"/>
    <w:rsid w:val="000F6EA0"/>
    <w:rsid w:val="000F6FEB"/>
    <w:rsid w:val="000F7127"/>
    <w:rsid w:val="000F72CC"/>
    <w:rsid w:val="000F73C3"/>
    <w:rsid w:val="000F7573"/>
    <w:rsid w:val="000F7587"/>
    <w:rsid w:val="000F75D0"/>
    <w:rsid w:val="000F763D"/>
    <w:rsid w:val="000F7640"/>
    <w:rsid w:val="000F7671"/>
    <w:rsid w:val="000F76C6"/>
    <w:rsid w:val="000F771F"/>
    <w:rsid w:val="000F7854"/>
    <w:rsid w:val="000F7897"/>
    <w:rsid w:val="000F790F"/>
    <w:rsid w:val="000F7A9E"/>
    <w:rsid w:val="000F7AA3"/>
    <w:rsid w:val="000F7B1F"/>
    <w:rsid w:val="000F7B3C"/>
    <w:rsid w:val="000F7BA1"/>
    <w:rsid w:val="000F7C96"/>
    <w:rsid w:val="000F7D1B"/>
    <w:rsid w:val="000F7DF9"/>
    <w:rsid w:val="000F7E04"/>
    <w:rsid w:val="000F7E6B"/>
    <w:rsid w:val="000F7E86"/>
    <w:rsid w:val="000F7E90"/>
    <w:rsid w:val="000F7EAC"/>
    <w:rsid w:val="000F7FF5"/>
    <w:rsid w:val="001001B1"/>
    <w:rsid w:val="001001C4"/>
    <w:rsid w:val="001001E4"/>
    <w:rsid w:val="00100387"/>
    <w:rsid w:val="0010038E"/>
    <w:rsid w:val="001003E9"/>
    <w:rsid w:val="001003F4"/>
    <w:rsid w:val="00100448"/>
    <w:rsid w:val="00100542"/>
    <w:rsid w:val="0010060F"/>
    <w:rsid w:val="00100656"/>
    <w:rsid w:val="001006FA"/>
    <w:rsid w:val="0010070A"/>
    <w:rsid w:val="001007F2"/>
    <w:rsid w:val="001008EA"/>
    <w:rsid w:val="0010093D"/>
    <w:rsid w:val="00100989"/>
    <w:rsid w:val="00100A27"/>
    <w:rsid w:val="00100A32"/>
    <w:rsid w:val="00100A5E"/>
    <w:rsid w:val="00100BCE"/>
    <w:rsid w:val="00100C23"/>
    <w:rsid w:val="00100DE2"/>
    <w:rsid w:val="00100DF7"/>
    <w:rsid w:val="00100E2E"/>
    <w:rsid w:val="00100E7D"/>
    <w:rsid w:val="00100FCF"/>
    <w:rsid w:val="00101073"/>
    <w:rsid w:val="001011A9"/>
    <w:rsid w:val="00101290"/>
    <w:rsid w:val="001012D4"/>
    <w:rsid w:val="00101382"/>
    <w:rsid w:val="00101468"/>
    <w:rsid w:val="001014FB"/>
    <w:rsid w:val="0010153E"/>
    <w:rsid w:val="00101585"/>
    <w:rsid w:val="0010161B"/>
    <w:rsid w:val="00101707"/>
    <w:rsid w:val="001017F8"/>
    <w:rsid w:val="001018C7"/>
    <w:rsid w:val="00101946"/>
    <w:rsid w:val="00101A08"/>
    <w:rsid w:val="00101A09"/>
    <w:rsid w:val="00101A33"/>
    <w:rsid w:val="00101B85"/>
    <w:rsid w:val="00101C0C"/>
    <w:rsid w:val="00101CCE"/>
    <w:rsid w:val="00101D3E"/>
    <w:rsid w:val="00101DD3"/>
    <w:rsid w:val="00101E11"/>
    <w:rsid w:val="00101EB9"/>
    <w:rsid w:val="00101F03"/>
    <w:rsid w:val="00101F12"/>
    <w:rsid w:val="00101FC2"/>
    <w:rsid w:val="001020F0"/>
    <w:rsid w:val="00102129"/>
    <w:rsid w:val="00102163"/>
    <w:rsid w:val="00102207"/>
    <w:rsid w:val="00102243"/>
    <w:rsid w:val="00102274"/>
    <w:rsid w:val="00102375"/>
    <w:rsid w:val="001023EE"/>
    <w:rsid w:val="001023F6"/>
    <w:rsid w:val="00102470"/>
    <w:rsid w:val="001024C7"/>
    <w:rsid w:val="001024FA"/>
    <w:rsid w:val="0010254E"/>
    <w:rsid w:val="00102598"/>
    <w:rsid w:val="0010260F"/>
    <w:rsid w:val="00102626"/>
    <w:rsid w:val="001026C8"/>
    <w:rsid w:val="00102783"/>
    <w:rsid w:val="0010289E"/>
    <w:rsid w:val="001028EC"/>
    <w:rsid w:val="00102CB4"/>
    <w:rsid w:val="00102CD9"/>
    <w:rsid w:val="00102CFD"/>
    <w:rsid w:val="00102D06"/>
    <w:rsid w:val="00102D36"/>
    <w:rsid w:val="00102D40"/>
    <w:rsid w:val="00102E30"/>
    <w:rsid w:val="00102F05"/>
    <w:rsid w:val="00103001"/>
    <w:rsid w:val="00103006"/>
    <w:rsid w:val="001030E6"/>
    <w:rsid w:val="001030E9"/>
    <w:rsid w:val="001031D4"/>
    <w:rsid w:val="00103395"/>
    <w:rsid w:val="0010351D"/>
    <w:rsid w:val="00103667"/>
    <w:rsid w:val="0010369F"/>
    <w:rsid w:val="001036E7"/>
    <w:rsid w:val="001036E8"/>
    <w:rsid w:val="00103709"/>
    <w:rsid w:val="001037B0"/>
    <w:rsid w:val="001037E6"/>
    <w:rsid w:val="001037F7"/>
    <w:rsid w:val="0010380A"/>
    <w:rsid w:val="00103995"/>
    <w:rsid w:val="001039A6"/>
    <w:rsid w:val="001039DA"/>
    <w:rsid w:val="00103A00"/>
    <w:rsid w:val="00103A04"/>
    <w:rsid w:val="00103ADB"/>
    <w:rsid w:val="00103B15"/>
    <w:rsid w:val="00103B7F"/>
    <w:rsid w:val="00103CCF"/>
    <w:rsid w:val="00103CD5"/>
    <w:rsid w:val="00103CDB"/>
    <w:rsid w:val="00103D05"/>
    <w:rsid w:val="00103EEF"/>
    <w:rsid w:val="00103F20"/>
    <w:rsid w:val="00103F40"/>
    <w:rsid w:val="00103F4A"/>
    <w:rsid w:val="00103F93"/>
    <w:rsid w:val="00103FC0"/>
    <w:rsid w:val="0010401F"/>
    <w:rsid w:val="00104025"/>
    <w:rsid w:val="00104034"/>
    <w:rsid w:val="00104063"/>
    <w:rsid w:val="0010406A"/>
    <w:rsid w:val="001040FC"/>
    <w:rsid w:val="0010423E"/>
    <w:rsid w:val="00104421"/>
    <w:rsid w:val="0010445B"/>
    <w:rsid w:val="001044B7"/>
    <w:rsid w:val="00104638"/>
    <w:rsid w:val="001046D2"/>
    <w:rsid w:val="00104776"/>
    <w:rsid w:val="001049C0"/>
    <w:rsid w:val="00104A2B"/>
    <w:rsid w:val="00104A5C"/>
    <w:rsid w:val="00104A71"/>
    <w:rsid w:val="00104B50"/>
    <w:rsid w:val="00104C16"/>
    <w:rsid w:val="00104D57"/>
    <w:rsid w:val="00104DF1"/>
    <w:rsid w:val="00104F0E"/>
    <w:rsid w:val="00104FCD"/>
    <w:rsid w:val="00104FEA"/>
    <w:rsid w:val="0010500E"/>
    <w:rsid w:val="00105019"/>
    <w:rsid w:val="001050BA"/>
    <w:rsid w:val="00105148"/>
    <w:rsid w:val="001051DB"/>
    <w:rsid w:val="001053E5"/>
    <w:rsid w:val="00105432"/>
    <w:rsid w:val="001054BE"/>
    <w:rsid w:val="00105789"/>
    <w:rsid w:val="001057C9"/>
    <w:rsid w:val="001057DA"/>
    <w:rsid w:val="001057EA"/>
    <w:rsid w:val="0010584F"/>
    <w:rsid w:val="001058BF"/>
    <w:rsid w:val="001058E1"/>
    <w:rsid w:val="001058F9"/>
    <w:rsid w:val="0010593B"/>
    <w:rsid w:val="001059D9"/>
    <w:rsid w:val="00105A16"/>
    <w:rsid w:val="00105AD7"/>
    <w:rsid w:val="00105AF0"/>
    <w:rsid w:val="00105B1A"/>
    <w:rsid w:val="00105B21"/>
    <w:rsid w:val="00105D3E"/>
    <w:rsid w:val="00105D7B"/>
    <w:rsid w:val="00105DB8"/>
    <w:rsid w:val="00105E98"/>
    <w:rsid w:val="00105F9B"/>
    <w:rsid w:val="00106028"/>
    <w:rsid w:val="00106034"/>
    <w:rsid w:val="001061B4"/>
    <w:rsid w:val="0010620F"/>
    <w:rsid w:val="00106298"/>
    <w:rsid w:val="001062BE"/>
    <w:rsid w:val="0010632A"/>
    <w:rsid w:val="00106335"/>
    <w:rsid w:val="001063E0"/>
    <w:rsid w:val="0010640D"/>
    <w:rsid w:val="001064D9"/>
    <w:rsid w:val="00106543"/>
    <w:rsid w:val="001065EF"/>
    <w:rsid w:val="001066B1"/>
    <w:rsid w:val="00106713"/>
    <w:rsid w:val="00106840"/>
    <w:rsid w:val="0010686A"/>
    <w:rsid w:val="00106872"/>
    <w:rsid w:val="0010688C"/>
    <w:rsid w:val="00106893"/>
    <w:rsid w:val="0010690D"/>
    <w:rsid w:val="00106935"/>
    <w:rsid w:val="00106984"/>
    <w:rsid w:val="001069BC"/>
    <w:rsid w:val="00106A97"/>
    <w:rsid w:val="00106AAD"/>
    <w:rsid w:val="00106AD6"/>
    <w:rsid w:val="00106B4D"/>
    <w:rsid w:val="00106D28"/>
    <w:rsid w:val="00106DFB"/>
    <w:rsid w:val="00106E79"/>
    <w:rsid w:val="00106F16"/>
    <w:rsid w:val="00106FB6"/>
    <w:rsid w:val="00106FEC"/>
    <w:rsid w:val="00106FF4"/>
    <w:rsid w:val="00107006"/>
    <w:rsid w:val="00107015"/>
    <w:rsid w:val="0010707B"/>
    <w:rsid w:val="001071C3"/>
    <w:rsid w:val="00107206"/>
    <w:rsid w:val="0010730A"/>
    <w:rsid w:val="00107340"/>
    <w:rsid w:val="00107346"/>
    <w:rsid w:val="001073F8"/>
    <w:rsid w:val="001074DF"/>
    <w:rsid w:val="00107612"/>
    <w:rsid w:val="00107778"/>
    <w:rsid w:val="0010779B"/>
    <w:rsid w:val="001077CA"/>
    <w:rsid w:val="001078F6"/>
    <w:rsid w:val="0010792E"/>
    <w:rsid w:val="001079AD"/>
    <w:rsid w:val="00107B5F"/>
    <w:rsid w:val="00107BF8"/>
    <w:rsid w:val="00107C58"/>
    <w:rsid w:val="00107C59"/>
    <w:rsid w:val="00107D10"/>
    <w:rsid w:val="00107DDD"/>
    <w:rsid w:val="0011019B"/>
    <w:rsid w:val="001101B6"/>
    <w:rsid w:val="0011026D"/>
    <w:rsid w:val="001103ED"/>
    <w:rsid w:val="001103FB"/>
    <w:rsid w:val="00110422"/>
    <w:rsid w:val="00110432"/>
    <w:rsid w:val="001104B7"/>
    <w:rsid w:val="0011052B"/>
    <w:rsid w:val="001105DB"/>
    <w:rsid w:val="00110662"/>
    <w:rsid w:val="00110766"/>
    <w:rsid w:val="0011079D"/>
    <w:rsid w:val="0011085E"/>
    <w:rsid w:val="00110A58"/>
    <w:rsid w:val="00110A7E"/>
    <w:rsid w:val="00110ABD"/>
    <w:rsid w:val="00110BFC"/>
    <w:rsid w:val="00110C18"/>
    <w:rsid w:val="00110CA2"/>
    <w:rsid w:val="00110D1C"/>
    <w:rsid w:val="00110DD9"/>
    <w:rsid w:val="00110EA8"/>
    <w:rsid w:val="00110EEC"/>
    <w:rsid w:val="00110F30"/>
    <w:rsid w:val="00110FC1"/>
    <w:rsid w:val="00111274"/>
    <w:rsid w:val="001113B2"/>
    <w:rsid w:val="001113EB"/>
    <w:rsid w:val="001113F7"/>
    <w:rsid w:val="00111556"/>
    <w:rsid w:val="00111597"/>
    <w:rsid w:val="00111639"/>
    <w:rsid w:val="00111670"/>
    <w:rsid w:val="00111691"/>
    <w:rsid w:val="0011190D"/>
    <w:rsid w:val="0011191D"/>
    <w:rsid w:val="00111929"/>
    <w:rsid w:val="00111999"/>
    <w:rsid w:val="00111AD3"/>
    <w:rsid w:val="00111BA8"/>
    <w:rsid w:val="00111BD1"/>
    <w:rsid w:val="00111C4A"/>
    <w:rsid w:val="00111C50"/>
    <w:rsid w:val="00111D04"/>
    <w:rsid w:val="00111DFF"/>
    <w:rsid w:val="00111FE6"/>
    <w:rsid w:val="0011225E"/>
    <w:rsid w:val="00112444"/>
    <w:rsid w:val="0011246E"/>
    <w:rsid w:val="001124F9"/>
    <w:rsid w:val="00112500"/>
    <w:rsid w:val="00112592"/>
    <w:rsid w:val="00112594"/>
    <w:rsid w:val="0011285F"/>
    <w:rsid w:val="00112999"/>
    <w:rsid w:val="00112ABB"/>
    <w:rsid w:val="00112AC4"/>
    <w:rsid w:val="00112AD5"/>
    <w:rsid w:val="00112AFD"/>
    <w:rsid w:val="00112CFB"/>
    <w:rsid w:val="00112E32"/>
    <w:rsid w:val="00112E6A"/>
    <w:rsid w:val="00112E7E"/>
    <w:rsid w:val="00112F16"/>
    <w:rsid w:val="00112F45"/>
    <w:rsid w:val="00112F6C"/>
    <w:rsid w:val="00112FE7"/>
    <w:rsid w:val="00113267"/>
    <w:rsid w:val="0011330E"/>
    <w:rsid w:val="00113342"/>
    <w:rsid w:val="00113436"/>
    <w:rsid w:val="0011344B"/>
    <w:rsid w:val="00113460"/>
    <w:rsid w:val="001135AB"/>
    <w:rsid w:val="001136C8"/>
    <w:rsid w:val="00113864"/>
    <w:rsid w:val="00113B0F"/>
    <w:rsid w:val="00113B46"/>
    <w:rsid w:val="00113C0B"/>
    <w:rsid w:val="00113EDB"/>
    <w:rsid w:val="00113F8F"/>
    <w:rsid w:val="00113FAE"/>
    <w:rsid w:val="00113FF8"/>
    <w:rsid w:val="0011405E"/>
    <w:rsid w:val="001140B2"/>
    <w:rsid w:val="001141CB"/>
    <w:rsid w:val="0011424C"/>
    <w:rsid w:val="0011425E"/>
    <w:rsid w:val="001142F6"/>
    <w:rsid w:val="00114423"/>
    <w:rsid w:val="00114429"/>
    <w:rsid w:val="00114432"/>
    <w:rsid w:val="0011445E"/>
    <w:rsid w:val="001144A7"/>
    <w:rsid w:val="00114577"/>
    <w:rsid w:val="00114730"/>
    <w:rsid w:val="00114841"/>
    <w:rsid w:val="00114899"/>
    <w:rsid w:val="001148E1"/>
    <w:rsid w:val="00114929"/>
    <w:rsid w:val="001149AF"/>
    <w:rsid w:val="00114A97"/>
    <w:rsid w:val="00114B72"/>
    <w:rsid w:val="00114C23"/>
    <w:rsid w:val="00114C35"/>
    <w:rsid w:val="00114C3D"/>
    <w:rsid w:val="00114D55"/>
    <w:rsid w:val="00114EC4"/>
    <w:rsid w:val="00114ED8"/>
    <w:rsid w:val="00114F61"/>
    <w:rsid w:val="00114FA2"/>
    <w:rsid w:val="00114FD7"/>
    <w:rsid w:val="00115085"/>
    <w:rsid w:val="00115104"/>
    <w:rsid w:val="00115122"/>
    <w:rsid w:val="0011551E"/>
    <w:rsid w:val="0011557F"/>
    <w:rsid w:val="001155B7"/>
    <w:rsid w:val="0011562F"/>
    <w:rsid w:val="001156CE"/>
    <w:rsid w:val="00115718"/>
    <w:rsid w:val="00115759"/>
    <w:rsid w:val="0011578E"/>
    <w:rsid w:val="001157DB"/>
    <w:rsid w:val="001158F7"/>
    <w:rsid w:val="001159F0"/>
    <w:rsid w:val="00115AA4"/>
    <w:rsid w:val="00115AFB"/>
    <w:rsid w:val="00115D37"/>
    <w:rsid w:val="00115DD4"/>
    <w:rsid w:val="00115EA2"/>
    <w:rsid w:val="00115ED7"/>
    <w:rsid w:val="00115FAC"/>
    <w:rsid w:val="00116170"/>
    <w:rsid w:val="00116199"/>
    <w:rsid w:val="00116226"/>
    <w:rsid w:val="0011627D"/>
    <w:rsid w:val="001162ED"/>
    <w:rsid w:val="00116304"/>
    <w:rsid w:val="00116339"/>
    <w:rsid w:val="0011639C"/>
    <w:rsid w:val="001163FA"/>
    <w:rsid w:val="00116523"/>
    <w:rsid w:val="001165D6"/>
    <w:rsid w:val="0011664B"/>
    <w:rsid w:val="00116751"/>
    <w:rsid w:val="001167BF"/>
    <w:rsid w:val="0011680D"/>
    <w:rsid w:val="00116815"/>
    <w:rsid w:val="00116941"/>
    <w:rsid w:val="00116B60"/>
    <w:rsid w:val="00116C29"/>
    <w:rsid w:val="00116CF5"/>
    <w:rsid w:val="00116CF6"/>
    <w:rsid w:val="00116DA4"/>
    <w:rsid w:val="00116E41"/>
    <w:rsid w:val="00116E51"/>
    <w:rsid w:val="00116EE0"/>
    <w:rsid w:val="00116FD7"/>
    <w:rsid w:val="0011715D"/>
    <w:rsid w:val="00117165"/>
    <w:rsid w:val="00117210"/>
    <w:rsid w:val="001172F1"/>
    <w:rsid w:val="00117468"/>
    <w:rsid w:val="0011747A"/>
    <w:rsid w:val="00117931"/>
    <w:rsid w:val="001179D6"/>
    <w:rsid w:val="00117A19"/>
    <w:rsid w:val="00117A98"/>
    <w:rsid w:val="00117B32"/>
    <w:rsid w:val="00117B7F"/>
    <w:rsid w:val="00117C1B"/>
    <w:rsid w:val="00117C20"/>
    <w:rsid w:val="00117C2E"/>
    <w:rsid w:val="00117EE1"/>
    <w:rsid w:val="00117F3E"/>
    <w:rsid w:val="0012002A"/>
    <w:rsid w:val="001200D8"/>
    <w:rsid w:val="00120289"/>
    <w:rsid w:val="001202FA"/>
    <w:rsid w:val="0012030A"/>
    <w:rsid w:val="0012039D"/>
    <w:rsid w:val="001203C7"/>
    <w:rsid w:val="00120428"/>
    <w:rsid w:val="00120441"/>
    <w:rsid w:val="00120488"/>
    <w:rsid w:val="0012052E"/>
    <w:rsid w:val="00120582"/>
    <w:rsid w:val="0012061D"/>
    <w:rsid w:val="00120657"/>
    <w:rsid w:val="001208B5"/>
    <w:rsid w:val="00120969"/>
    <w:rsid w:val="0012096D"/>
    <w:rsid w:val="001209D8"/>
    <w:rsid w:val="00120A2E"/>
    <w:rsid w:val="00120A75"/>
    <w:rsid w:val="00120A86"/>
    <w:rsid w:val="00120A98"/>
    <w:rsid w:val="00120B26"/>
    <w:rsid w:val="00120B88"/>
    <w:rsid w:val="00120BCE"/>
    <w:rsid w:val="00120C18"/>
    <w:rsid w:val="00120D39"/>
    <w:rsid w:val="00120D89"/>
    <w:rsid w:val="00120E61"/>
    <w:rsid w:val="00120E6A"/>
    <w:rsid w:val="00120F29"/>
    <w:rsid w:val="00120F45"/>
    <w:rsid w:val="0012103A"/>
    <w:rsid w:val="001210D5"/>
    <w:rsid w:val="0012113E"/>
    <w:rsid w:val="0012121F"/>
    <w:rsid w:val="0012124C"/>
    <w:rsid w:val="0012129F"/>
    <w:rsid w:val="0012135A"/>
    <w:rsid w:val="001213CF"/>
    <w:rsid w:val="001213EA"/>
    <w:rsid w:val="0012142F"/>
    <w:rsid w:val="001214F2"/>
    <w:rsid w:val="0012151D"/>
    <w:rsid w:val="00121568"/>
    <w:rsid w:val="001215F1"/>
    <w:rsid w:val="0012165F"/>
    <w:rsid w:val="00121679"/>
    <w:rsid w:val="001216A5"/>
    <w:rsid w:val="001216D8"/>
    <w:rsid w:val="001217CD"/>
    <w:rsid w:val="0012181E"/>
    <w:rsid w:val="00121856"/>
    <w:rsid w:val="0012187B"/>
    <w:rsid w:val="001218A1"/>
    <w:rsid w:val="00121905"/>
    <w:rsid w:val="001219FA"/>
    <w:rsid w:val="00121B3A"/>
    <w:rsid w:val="00121CCE"/>
    <w:rsid w:val="00121D62"/>
    <w:rsid w:val="00121DA5"/>
    <w:rsid w:val="00121DEB"/>
    <w:rsid w:val="00121E1F"/>
    <w:rsid w:val="00121F2F"/>
    <w:rsid w:val="001220EF"/>
    <w:rsid w:val="001220F2"/>
    <w:rsid w:val="001221CE"/>
    <w:rsid w:val="001221EB"/>
    <w:rsid w:val="0012229B"/>
    <w:rsid w:val="001222FF"/>
    <w:rsid w:val="00122323"/>
    <w:rsid w:val="00122341"/>
    <w:rsid w:val="00122347"/>
    <w:rsid w:val="0012237A"/>
    <w:rsid w:val="0012238B"/>
    <w:rsid w:val="00122476"/>
    <w:rsid w:val="001224A8"/>
    <w:rsid w:val="001225D2"/>
    <w:rsid w:val="001226C7"/>
    <w:rsid w:val="001226CF"/>
    <w:rsid w:val="0012275A"/>
    <w:rsid w:val="001228CB"/>
    <w:rsid w:val="001228DB"/>
    <w:rsid w:val="00122959"/>
    <w:rsid w:val="001229CB"/>
    <w:rsid w:val="00122A09"/>
    <w:rsid w:val="00122A7D"/>
    <w:rsid w:val="00122AB1"/>
    <w:rsid w:val="00122ADE"/>
    <w:rsid w:val="00122B6B"/>
    <w:rsid w:val="00122C32"/>
    <w:rsid w:val="00122C60"/>
    <w:rsid w:val="00122C8F"/>
    <w:rsid w:val="00122C90"/>
    <w:rsid w:val="00122E28"/>
    <w:rsid w:val="00122E81"/>
    <w:rsid w:val="00122EC1"/>
    <w:rsid w:val="0012305B"/>
    <w:rsid w:val="00123166"/>
    <w:rsid w:val="00123183"/>
    <w:rsid w:val="001232AD"/>
    <w:rsid w:val="001232BF"/>
    <w:rsid w:val="001232E6"/>
    <w:rsid w:val="0012332B"/>
    <w:rsid w:val="00123341"/>
    <w:rsid w:val="001233FC"/>
    <w:rsid w:val="001234A6"/>
    <w:rsid w:val="0012355A"/>
    <w:rsid w:val="00123587"/>
    <w:rsid w:val="00123716"/>
    <w:rsid w:val="00123762"/>
    <w:rsid w:val="00123770"/>
    <w:rsid w:val="001238A9"/>
    <w:rsid w:val="00123935"/>
    <w:rsid w:val="00123951"/>
    <w:rsid w:val="00123A10"/>
    <w:rsid w:val="00123A42"/>
    <w:rsid w:val="00123A83"/>
    <w:rsid w:val="00123C12"/>
    <w:rsid w:val="00123C9C"/>
    <w:rsid w:val="00123D0B"/>
    <w:rsid w:val="00123F47"/>
    <w:rsid w:val="00123F80"/>
    <w:rsid w:val="001241AE"/>
    <w:rsid w:val="001241BA"/>
    <w:rsid w:val="001241F5"/>
    <w:rsid w:val="0012421E"/>
    <w:rsid w:val="00124293"/>
    <w:rsid w:val="001242BA"/>
    <w:rsid w:val="00124360"/>
    <w:rsid w:val="00124364"/>
    <w:rsid w:val="0012437F"/>
    <w:rsid w:val="001243DE"/>
    <w:rsid w:val="0012441A"/>
    <w:rsid w:val="0012442F"/>
    <w:rsid w:val="00124443"/>
    <w:rsid w:val="001244DA"/>
    <w:rsid w:val="001244F8"/>
    <w:rsid w:val="00124526"/>
    <w:rsid w:val="001245AE"/>
    <w:rsid w:val="001245D3"/>
    <w:rsid w:val="00124622"/>
    <w:rsid w:val="001246B2"/>
    <w:rsid w:val="001246E0"/>
    <w:rsid w:val="0012472E"/>
    <w:rsid w:val="00124804"/>
    <w:rsid w:val="00124821"/>
    <w:rsid w:val="00124844"/>
    <w:rsid w:val="001248C3"/>
    <w:rsid w:val="001249A8"/>
    <w:rsid w:val="00124A91"/>
    <w:rsid w:val="00124AC6"/>
    <w:rsid w:val="00124B10"/>
    <w:rsid w:val="00124C23"/>
    <w:rsid w:val="00124D42"/>
    <w:rsid w:val="00124D8B"/>
    <w:rsid w:val="00124FA8"/>
    <w:rsid w:val="0012514D"/>
    <w:rsid w:val="001251F7"/>
    <w:rsid w:val="00125386"/>
    <w:rsid w:val="0012556F"/>
    <w:rsid w:val="001255E8"/>
    <w:rsid w:val="001256A2"/>
    <w:rsid w:val="001258A5"/>
    <w:rsid w:val="0012591D"/>
    <w:rsid w:val="0012595D"/>
    <w:rsid w:val="00125973"/>
    <w:rsid w:val="001259F9"/>
    <w:rsid w:val="00125A9B"/>
    <w:rsid w:val="00125ABC"/>
    <w:rsid w:val="00125ACC"/>
    <w:rsid w:val="00125B7A"/>
    <w:rsid w:val="00125C05"/>
    <w:rsid w:val="00125C0C"/>
    <w:rsid w:val="00125C17"/>
    <w:rsid w:val="00125C50"/>
    <w:rsid w:val="00125CA3"/>
    <w:rsid w:val="00125CF3"/>
    <w:rsid w:val="00125D53"/>
    <w:rsid w:val="00125EAC"/>
    <w:rsid w:val="00125ED6"/>
    <w:rsid w:val="00125F9B"/>
    <w:rsid w:val="00125FFF"/>
    <w:rsid w:val="001260A6"/>
    <w:rsid w:val="00126184"/>
    <w:rsid w:val="00126198"/>
    <w:rsid w:val="001261EA"/>
    <w:rsid w:val="0012622C"/>
    <w:rsid w:val="00126335"/>
    <w:rsid w:val="001263C0"/>
    <w:rsid w:val="00126429"/>
    <w:rsid w:val="00126485"/>
    <w:rsid w:val="001264D5"/>
    <w:rsid w:val="00126528"/>
    <w:rsid w:val="00126595"/>
    <w:rsid w:val="001265B0"/>
    <w:rsid w:val="0012669C"/>
    <w:rsid w:val="001266C5"/>
    <w:rsid w:val="00126889"/>
    <w:rsid w:val="0012697A"/>
    <w:rsid w:val="00126980"/>
    <w:rsid w:val="001269CC"/>
    <w:rsid w:val="00126A2A"/>
    <w:rsid w:val="00126A8D"/>
    <w:rsid w:val="00126B16"/>
    <w:rsid w:val="00126BE2"/>
    <w:rsid w:val="00126BEC"/>
    <w:rsid w:val="00126CA3"/>
    <w:rsid w:val="00126EAB"/>
    <w:rsid w:val="00126F49"/>
    <w:rsid w:val="001270F2"/>
    <w:rsid w:val="00127127"/>
    <w:rsid w:val="00127169"/>
    <w:rsid w:val="001271E5"/>
    <w:rsid w:val="0012720B"/>
    <w:rsid w:val="0012732B"/>
    <w:rsid w:val="00127540"/>
    <w:rsid w:val="00127578"/>
    <w:rsid w:val="00127589"/>
    <w:rsid w:val="001275F2"/>
    <w:rsid w:val="00127671"/>
    <w:rsid w:val="001277D3"/>
    <w:rsid w:val="00127837"/>
    <w:rsid w:val="001278C2"/>
    <w:rsid w:val="00127A7C"/>
    <w:rsid w:val="00127B22"/>
    <w:rsid w:val="00127B2A"/>
    <w:rsid w:val="00127B5C"/>
    <w:rsid w:val="00127B66"/>
    <w:rsid w:val="00127DBD"/>
    <w:rsid w:val="00127DED"/>
    <w:rsid w:val="00130027"/>
    <w:rsid w:val="00130112"/>
    <w:rsid w:val="00130125"/>
    <w:rsid w:val="0013012C"/>
    <w:rsid w:val="00130370"/>
    <w:rsid w:val="0013044F"/>
    <w:rsid w:val="001304F3"/>
    <w:rsid w:val="00130559"/>
    <w:rsid w:val="001305E1"/>
    <w:rsid w:val="00130610"/>
    <w:rsid w:val="001308DA"/>
    <w:rsid w:val="00130A42"/>
    <w:rsid w:val="00130ADB"/>
    <w:rsid w:val="00130AF7"/>
    <w:rsid w:val="00130BDB"/>
    <w:rsid w:val="00130CAD"/>
    <w:rsid w:val="00130CF0"/>
    <w:rsid w:val="00130DD5"/>
    <w:rsid w:val="00130FA6"/>
    <w:rsid w:val="00130FE6"/>
    <w:rsid w:val="00131015"/>
    <w:rsid w:val="001311D0"/>
    <w:rsid w:val="001311DE"/>
    <w:rsid w:val="001311DF"/>
    <w:rsid w:val="0013138B"/>
    <w:rsid w:val="001313CA"/>
    <w:rsid w:val="00131407"/>
    <w:rsid w:val="00131448"/>
    <w:rsid w:val="0013148F"/>
    <w:rsid w:val="0013149C"/>
    <w:rsid w:val="001314A3"/>
    <w:rsid w:val="0013156D"/>
    <w:rsid w:val="00131572"/>
    <w:rsid w:val="00131628"/>
    <w:rsid w:val="00131668"/>
    <w:rsid w:val="0013178E"/>
    <w:rsid w:val="001317CB"/>
    <w:rsid w:val="001317F5"/>
    <w:rsid w:val="00131865"/>
    <w:rsid w:val="00131905"/>
    <w:rsid w:val="00131ABA"/>
    <w:rsid w:val="00131B71"/>
    <w:rsid w:val="00131BA6"/>
    <w:rsid w:val="00131BB5"/>
    <w:rsid w:val="00131BF0"/>
    <w:rsid w:val="00131CC0"/>
    <w:rsid w:val="00131D2D"/>
    <w:rsid w:val="00131DEA"/>
    <w:rsid w:val="00131DFA"/>
    <w:rsid w:val="00131E4D"/>
    <w:rsid w:val="00131EA7"/>
    <w:rsid w:val="001321A0"/>
    <w:rsid w:val="00132238"/>
    <w:rsid w:val="00132246"/>
    <w:rsid w:val="0013225B"/>
    <w:rsid w:val="00132267"/>
    <w:rsid w:val="00132480"/>
    <w:rsid w:val="001324CA"/>
    <w:rsid w:val="00132574"/>
    <w:rsid w:val="001326E4"/>
    <w:rsid w:val="0013272C"/>
    <w:rsid w:val="00132880"/>
    <w:rsid w:val="0013291C"/>
    <w:rsid w:val="00132953"/>
    <w:rsid w:val="001329B4"/>
    <w:rsid w:val="00132ABB"/>
    <w:rsid w:val="00132BC6"/>
    <w:rsid w:val="00132BDC"/>
    <w:rsid w:val="00132BF0"/>
    <w:rsid w:val="00132D38"/>
    <w:rsid w:val="00132E19"/>
    <w:rsid w:val="00132E3A"/>
    <w:rsid w:val="00132EBA"/>
    <w:rsid w:val="00132ED9"/>
    <w:rsid w:val="00132F9D"/>
    <w:rsid w:val="00132FFE"/>
    <w:rsid w:val="00133077"/>
    <w:rsid w:val="001330B2"/>
    <w:rsid w:val="001330FC"/>
    <w:rsid w:val="00133105"/>
    <w:rsid w:val="00133118"/>
    <w:rsid w:val="001331AB"/>
    <w:rsid w:val="0013321E"/>
    <w:rsid w:val="001333A6"/>
    <w:rsid w:val="001333C5"/>
    <w:rsid w:val="001333D6"/>
    <w:rsid w:val="001333F1"/>
    <w:rsid w:val="0013341B"/>
    <w:rsid w:val="0013346C"/>
    <w:rsid w:val="001334F3"/>
    <w:rsid w:val="0013352B"/>
    <w:rsid w:val="0013365D"/>
    <w:rsid w:val="001337D6"/>
    <w:rsid w:val="001338F8"/>
    <w:rsid w:val="00133975"/>
    <w:rsid w:val="00133A0C"/>
    <w:rsid w:val="00133B31"/>
    <w:rsid w:val="00133BF5"/>
    <w:rsid w:val="00133C4F"/>
    <w:rsid w:val="00133C56"/>
    <w:rsid w:val="00133D08"/>
    <w:rsid w:val="00133DB2"/>
    <w:rsid w:val="00133E6E"/>
    <w:rsid w:val="00133E85"/>
    <w:rsid w:val="00133E8F"/>
    <w:rsid w:val="00133E98"/>
    <w:rsid w:val="00133FBE"/>
    <w:rsid w:val="001340A2"/>
    <w:rsid w:val="00134292"/>
    <w:rsid w:val="0013432A"/>
    <w:rsid w:val="001343E2"/>
    <w:rsid w:val="001343FC"/>
    <w:rsid w:val="001344F7"/>
    <w:rsid w:val="00134511"/>
    <w:rsid w:val="00134603"/>
    <w:rsid w:val="00134616"/>
    <w:rsid w:val="0013464E"/>
    <w:rsid w:val="00134653"/>
    <w:rsid w:val="0013471A"/>
    <w:rsid w:val="00134893"/>
    <w:rsid w:val="00134975"/>
    <w:rsid w:val="0013497C"/>
    <w:rsid w:val="001349CA"/>
    <w:rsid w:val="00134A40"/>
    <w:rsid w:val="00134A76"/>
    <w:rsid w:val="00134AC5"/>
    <w:rsid w:val="00134B02"/>
    <w:rsid w:val="00134B35"/>
    <w:rsid w:val="00134BAA"/>
    <w:rsid w:val="00134C0A"/>
    <w:rsid w:val="00134C21"/>
    <w:rsid w:val="00134D27"/>
    <w:rsid w:val="00134D5E"/>
    <w:rsid w:val="00134DC6"/>
    <w:rsid w:val="00134DF2"/>
    <w:rsid w:val="00134F63"/>
    <w:rsid w:val="00134FB6"/>
    <w:rsid w:val="00134FF6"/>
    <w:rsid w:val="001353C0"/>
    <w:rsid w:val="001353E1"/>
    <w:rsid w:val="001353EB"/>
    <w:rsid w:val="001354ED"/>
    <w:rsid w:val="001355FB"/>
    <w:rsid w:val="0013561E"/>
    <w:rsid w:val="00135630"/>
    <w:rsid w:val="0013566D"/>
    <w:rsid w:val="0013590A"/>
    <w:rsid w:val="00135925"/>
    <w:rsid w:val="0013593C"/>
    <w:rsid w:val="00135973"/>
    <w:rsid w:val="00135983"/>
    <w:rsid w:val="0013598F"/>
    <w:rsid w:val="00135AB8"/>
    <w:rsid w:val="00135AC1"/>
    <w:rsid w:val="00135ADB"/>
    <w:rsid w:val="00135B55"/>
    <w:rsid w:val="00135B97"/>
    <w:rsid w:val="00135BEF"/>
    <w:rsid w:val="00135D04"/>
    <w:rsid w:val="00135D4E"/>
    <w:rsid w:val="00135DF2"/>
    <w:rsid w:val="00135E84"/>
    <w:rsid w:val="00135E86"/>
    <w:rsid w:val="00135EC5"/>
    <w:rsid w:val="00135F53"/>
    <w:rsid w:val="00135FA6"/>
    <w:rsid w:val="00135FCF"/>
    <w:rsid w:val="00136107"/>
    <w:rsid w:val="001361C1"/>
    <w:rsid w:val="0013623E"/>
    <w:rsid w:val="001362C6"/>
    <w:rsid w:val="001363E4"/>
    <w:rsid w:val="00136473"/>
    <w:rsid w:val="001365D0"/>
    <w:rsid w:val="00136608"/>
    <w:rsid w:val="00136618"/>
    <w:rsid w:val="0013664B"/>
    <w:rsid w:val="0013673C"/>
    <w:rsid w:val="001367A3"/>
    <w:rsid w:val="001368CC"/>
    <w:rsid w:val="001368DF"/>
    <w:rsid w:val="001368E1"/>
    <w:rsid w:val="001369CD"/>
    <w:rsid w:val="00136BD9"/>
    <w:rsid w:val="00136CE4"/>
    <w:rsid w:val="00136D6B"/>
    <w:rsid w:val="00136E20"/>
    <w:rsid w:val="00136EB4"/>
    <w:rsid w:val="00136ED3"/>
    <w:rsid w:val="00136F3B"/>
    <w:rsid w:val="00136FA8"/>
    <w:rsid w:val="001370FD"/>
    <w:rsid w:val="0013713D"/>
    <w:rsid w:val="001371A1"/>
    <w:rsid w:val="001371E7"/>
    <w:rsid w:val="001372BB"/>
    <w:rsid w:val="00137359"/>
    <w:rsid w:val="001373B8"/>
    <w:rsid w:val="001373F4"/>
    <w:rsid w:val="0013747E"/>
    <w:rsid w:val="00137485"/>
    <w:rsid w:val="001374AA"/>
    <w:rsid w:val="001375D4"/>
    <w:rsid w:val="001375FD"/>
    <w:rsid w:val="00137752"/>
    <w:rsid w:val="001377C8"/>
    <w:rsid w:val="00137825"/>
    <w:rsid w:val="001378A1"/>
    <w:rsid w:val="00137A5F"/>
    <w:rsid w:val="00137A61"/>
    <w:rsid w:val="00137AD8"/>
    <w:rsid w:val="00137B44"/>
    <w:rsid w:val="00137BDA"/>
    <w:rsid w:val="00137D3D"/>
    <w:rsid w:val="00137DF1"/>
    <w:rsid w:val="00137E28"/>
    <w:rsid w:val="00137E82"/>
    <w:rsid w:val="00140076"/>
    <w:rsid w:val="00140092"/>
    <w:rsid w:val="001400D0"/>
    <w:rsid w:val="00140113"/>
    <w:rsid w:val="00140119"/>
    <w:rsid w:val="001401F0"/>
    <w:rsid w:val="001402A8"/>
    <w:rsid w:val="00140403"/>
    <w:rsid w:val="001406A3"/>
    <w:rsid w:val="001406B9"/>
    <w:rsid w:val="001408E8"/>
    <w:rsid w:val="00140B2F"/>
    <w:rsid w:val="00140C54"/>
    <w:rsid w:val="00140D3F"/>
    <w:rsid w:val="00140F43"/>
    <w:rsid w:val="00140F6A"/>
    <w:rsid w:val="00140F8D"/>
    <w:rsid w:val="00141009"/>
    <w:rsid w:val="00141027"/>
    <w:rsid w:val="0014121B"/>
    <w:rsid w:val="0014130A"/>
    <w:rsid w:val="0014134F"/>
    <w:rsid w:val="00141355"/>
    <w:rsid w:val="001414C8"/>
    <w:rsid w:val="001414E7"/>
    <w:rsid w:val="001415B2"/>
    <w:rsid w:val="00141834"/>
    <w:rsid w:val="00141847"/>
    <w:rsid w:val="0014193A"/>
    <w:rsid w:val="001419BC"/>
    <w:rsid w:val="00141A36"/>
    <w:rsid w:val="00141BC7"/>
    <w:rsid w:val="00141DF0"/>
    <w:rsid w:val="00141E3A"/>
    <w:rsid w:val="00141E83"/>
    <w:rsid w:val="00141F41"/>
    <w:rsid w:val="00141F72"/>
    <w:rsid w:val="00142007"/>
    <w:rsid w:val="00142034"/>
    <w:rsid w:val="0014206B"/>
    <w:rsid w:val="001421B2"/>
    <w:rsid w:val="001421F7"/>
    <w:rsid w:val="0014242D"/>
    <w:rsid w:val="00142578"/>
    <w:rsid w:val="00142584"/>
    <w:rsid w:val="0014263E"/>
    <w:rsid w:val="00142715"/>
    <w:rsid w:val="001427A8"/>
    <w:rsid w:val="001427BA"/>
    <w:rsid w:val="001428D4"/>
    <w:rsid w:val="001428EA"/>
    <w:rsid w:val="00142AEC"/>
    <w:rsid w:val="00142B06"/>
    <w:rsid w:val="00142D13"/>
    <w:rsid w:val="00142D38"/>
    <w:rsid w:val="00142D58"/>
    <w:rsid w:val="00142DA3"/>
    <w:rsid w:val="00142E14"/>
    <w:rsid w:val="00142E3F"/>
    <w:rsid w:val="00142E60"/>
    <w:rsid w:val="00142EB9"/>
    <w:rsid w:val="00142F12"/>
    <w:rsid w:val="001430FD"/>
    <w:rsid w:val="00143131"/>
    <w:rsid w:val="0014334C"/>
    <w:rsid w:val="001433E3"/>
    <w:rsid w:val="00143458"/>
    <w:rsid w:val="001434CC"/>
    <w:rsid w:val="001434EE"/>
    <w:rsid w:val="0014352A"/>
    <w:rsid w:val="0014354C"/>
    <w:rsid w:val="00143601"/>
    <w:rsid w:val="0014364C"/>
    <w:rsid w:val="001436C3"/>
    <w:rsid w:val="001436F7"/>
    <w:rsid w:val="0014389A"/>
    <w:rsid w:val="001438C3"/>
    <w:rsid w:val="001438FE"/>
    <w:rsid w:val="00143915"/>
    <w:rsid w:val="00143E53"/>
    <w:rsid w:val="00143EA7"/>
    <w:rsid w:val="00143F1E"/>
    <w:rsid w:val="00144068"/>
    <w:rsid w:val="00144127"/>
    <w:rsid w:val="00144152"/>
    <w:rsid w:val="00144157"/>
    <w:rsid w:val="001441D7"/>
    <w:rsid w:val="00144213"/>
    <w:rsid w:val="0014422B"/>
    <w:rsid w:val="0014427C"/>
    <w:rsid w:val="00144287"/>
    <w:rsid w:val="001442F2"/>
    <w:rsid w:val="0014440F"/>
    <w:rsid w:val="00144562"/>
    <w:rsid w:val="00144589"/>
    <w:rsid w:val="001445CD"/>
    <w:rsid w:val="00144636"/>
    <w:rsid w:val="00144658"/>
    <w:rsid w:val="001448B2"/>
    <w:rsid w:val="00144987"/>
    <w:rsid w:val="00144A16"/>
    <w:rsid w:val="00144B47"/>
    <w:rsid w:val="00144C9B"/>
    <w:rsid w:val="00144D26"/>
    <w:rsid w:val="00144D82"/>
    <w:rsid w:val="00144DA6"/>
    <w:rsid w:val="00144EE1"/>
    <w:rsid w:val="00144F2B"/>
    <w:rsid w:val="00144F55"/>
    <w:rsid w:val="0014518F"/>
    <w:rsid w:val="001451A1"/>
    <w:rsid w:val="0014545B"/>
    <w:rsid w:val="00145486"/>
    <w:rsid w:val="001454A0"/>
    <w:rsid w:val="001454AE"/>
    <w:rsid w:val="001455E2"/>
    <w:rsid w:val="00145639"/>
    <w:rsid w:val="00145B07"/>
    <w:rsid w:val="00145BFF"/>
    <w:rsid w:val="00145CC9"/>
    <w:rsid w:val="00145CFB"/>
    <w:rsid w:val="00145DAD"/>
    <w:rsid w:val="00145DCD"/>
    <w:rsid w:val="00145E3A"/>
    <w:rsid w:val="00145E4A"/>
    <w:rsid w:val="00145FD3"/>
    <w:rsid w:val="00146081"/>
    <w:rsid w:val="001461DD"/>
    <w:rsid w:val="00146301"/>
    <w:rsid w:val="0014630D"/>
    <w:rsid w:val="00146329"/>
    <w:rsid w:val="00146352"/>
    <w:rsid w:val="0014645F"/>
    <w:rsid w:val="001465A2"/>
    <w:rsid w:val="001466BC"/>
    <w:rsid w:val="001466FC"/>
    <w:rsid w:val="00146886"/>
    <w:rsid w:val="00146BB8"/>
    <w:rsid w:val="00146CE2"/>
    <w:rsid w:val="00146CF1"/>
    <w:rsid w:val="00146DC5"/>
    <w:rsid w:val="00146E4B"/>
    <w:rsid w:val="00146EC4"/>
    <w:rsid w:val="00146EF2"/>
    <w:rsid w:val="00146F3B"/>
    <w:rsid w:val="00146F3E"/>
    <w:rsid w:val="00146F68"/>
    <w:rsid w:val="00146F9A"/>
    <w:rsid w:val="0014701B"/>
    <w:rsid w:val="001470B2"/>
    <w:rsid w:val="001470DA"/>
    <w:rsid w:val="00147152"/>
    <w:rsid w:val="00147177"/>
    <w:rsid w:val="00147181"/>
    <w:rsid w:val="0014718D"/>
    <w:rsid w:val="001471EE"/>
    <w:rsid w:val="00147553"/>
    <w:rsid w:val="00147647"/>
    <w:rsid w:val="00147648"/>
    <w:rsid w:val="0014768C"/>
    <w:rsid w:val="001477D7"/>
    <w:rsid w:val="00147845"/>
    <w:rsid w:val="0014794F"/>
    <w:rsid w:val="00147971"/>
    <w:rsid w:val="001479C4"/>
    <w:rsid w:val="00147A2B"/>
    <w:rsid w:val="00147A31"/>
    <w:rsid w:val="00147B57"/>
    <w:rsid w:val="00147BD3"/>
    <w:rsid w:val="00147C76"/>
    <w:rsid w:val="00147C94"/>
    <w:rsid w:val="00147D56"/>
    <w:rsid w:val="00147D63"/>
    <w:rsid w:val="00147DC3"/>
    <w:rsid w:val="00147ECC"/>
    <w:rsid w:val="00147F42"/>
    <w:rsid w:val="0015007D"/>
    <w:rsid w:val="00150150"/>
    <w:rsid w:val="00150212"/>
    <w:rsid w:val="0015022C"/>
    <w:rsid w:val="0015031A"/>
    <w:rsid w:val="0015052F"/>
    <w:rsid w:val="00150555"/>
    <w:rsid w:val="0015057D"/>
    <w:rsid w:val="00150690"/>
    <w:rsid w:val="001506C5"/>
    <w:rsid w:val="001506D2"/>
    <w:rsid w:val="00150791"/>
    <w:rsid w:val="00150798"/>
    <w:rsid w:val="001507E7"/>
    <w:rsid w:val="00150819"/>
    <w:rsid w:val="00150914"/>
    <w:rsid w:val="00150962"/>
    <w:rsid w:val="00150B8B"/>
    <w:rsid w:val="00150C0D"/>
    <w:rsid w:val="00150DD3"/>
    <w:rsid w:val="00150E32"/>
    <w:rsid w:val="001510ED"/>
    <w:rsid w:val="00151202"/>
    <w:rsid w:val="00151215"/>
    <w:rsid w:val="0015148E"/>
    <w:rsid w:val="0015152D"/>
    <w:rsid w:val="001517A7"/>
    <w:rsid w:val="001517C5"/>
    <w:rsid w:val="00151808"/>
    <w:rsid w:val="00151B76"/>
    <w:rsid w:val="00151BF3"/>
    <w:rsid w:val="00151BF8"/>
    <w:rsid w:val="00151D8B"/>
    <w:rsid w:val="00151D8E"/>
    <w:rsid w:val="00151DFF"/>
    <w:rsid w:val="00151F04"/>
    <w:rsid w:val="00151F3E"/>
    <w:rsid w:val="00151FC1"/>
    <w:rsid w:val="001521AA"/>
    <w:rsid w:val="001521C0"/>
    <w:rsid w:val="001523F3"/>
    <w:rsid w:val="0015252F"/>
    <w:rsid w:val="00152600"/>
    <w:rsid w:val="001526EF"/>
    <w:rsid w:val="001526FF"/>
    <w:rsid w:val="00152760"/>
    <w:rsid w:val="0015277D"/>
    <w:rsid w:val="00152869"/>
    <w:rsid w:val="001528FD"/>
    <w:rsid w:val="0015293D"/>
    <w:rsid w:val="001529BB"/>
    <w:rsid w:val="00152A46"/>
    <w:rsid w:val="00152A63"/>
    <w:rsid w:val="00152D56"/>
    <w:rsid w:val="00152D69"/>
    <w:rsid w:val="00152D89"/>
    <w:rsid w:val="00152DBD"/>
    <w:rsid w:val="00152DEA"/>
    <w:rsid w:val="00152E50"/>
    <w:rsid w:val="00152F2E"/>
    <w:rsid w:val="00153011"/>
    <w:rsid w:val="00153073"/>
    <w:rsid w:val="00153169"/>
    <w:rsid w:val="00153197"/>
    <w:rsid w:val="001531C4"/>
    <w:rsid w:val="001531DF"/>
    <w:rsid w:val="0015322C"/>
    <w:rsid w:val="001532DF"/>
    <w:rsid w:val="00153327"/>
    <w:rsid w:val="0015338B"/>
    <w:rsid w:val="00153455"/>
    <w:rsid w:val="001534A5"/>
    <w:rsid w:val="001534B7"/>
    <w:rsid w:val="00153507"/>
    <w:rsid w:val="00153560"/>
    <w:rsid w:val="00153711"/>
    <w:rsid w:val="0015373B"/>
    <w:rsid w:val="0015381A"/>
    <w:rsid w:val="0015392F"/>
    <w:rsid w:val="00153964"/>
    <w:rsid w:val="00153A8D"/>
    <w:rsid w:val="00153AFD"/>
    <w:rsid w:val="00153CA9"/>
    <w:rsid w:val="00153CDC"/>
    <w:rsid w:val="00153D63"/>
    <w:rsid w:val="00153D7E"/>
    <w:rsid w:val="00153D80"/>
    <w:rsid w:val="00153DC6"/>
    <w:rsid w:val="00153DCB"/>
    <w:rsid w:val="00153DE9"/>
    <w:rsid w:val="00153EB5"/>
    <w:rsid w:val="00153EF3"/>
    <w:rsid w:val="00153F22"/>
    <w:rsid w:val="00153F49"/>
    <w:rsid w:val="00153FF7"/>
    <w:rsid w:val="00154041"/>
    <w:rsid w:val="0015421B"/>
    <w:rsid w:val="00154317"/>
    <w:rsid w:val="001547A9"/>
    <w:rsid w:val="0015484E"/>
    <w:rsid w:val="00154A04"/>
    <w:rsid w:val="00154A27"/>
    <w:rsid w:val="00154AE5"/>
    <w:rsid w:val="00154B59"/>
    <w:rsid w:val="00154CA1"/>
    <w:rsid w:val="00154D0B"/>
    <w:rsid w:val="00154D3E"/>
    <w:rsid w:val="00154E96"/>
    <w:rsid w:val="00154F6B"/>
    <w:rsid w:val="00154FAD"/>
    <w:rsid w:val="00154FC7"/>
    <w:rsid w:val="00154FDC"/>
    <w:rsid w:val="001550CE"/>
    <w:rsid w:val="00155229"/>
    <w:rsid w:val="00155342"/>
    <w:rsid w:val="001554A1"/>
    <w:rsid w:val="001554C3"/>
    <w:rsid w:val="00155511"/>
    <w:rsid w:val="001555B8"/>
    <w:rsid w:val="00155678"/>
    <w:rsid w:val="0015567E"/>
    <w:rsid w:val="001556DB"/>
    <w:rsid w:val="00155700"/>
    <w:rsid w:val="00155737"/>
    <w:rsid w:val="0015581D"/>
    <w:rsid w:val="00155821"/>
    <w:rsid w:val="0015586B"/>
    <w:rsid w:val="00155A55"/>
    <w:rsid w:val="00155ADE"/>
    <w:rsid w:val="00155AFE"/>
    <w:rsid w:val="00155B07"/>
    <w:rsid w:val="00155B51"/>
    <w:rsid w:val="00155B62"/>
    <w:rsid w:val="00155BD0"/>
    <w:rsid w:val="00155C05"/>
    <w:rsid w:val="00155CD5"/>
    <w:rsid w:val="00155D1F"/>
    <w:rsid w:val="00155D5E"/>
    <w:rsid w:val="00155DB5"/>
    <w:rsid w:val="00155DBE"/>
    <w:rsid w:val="00155DF7"/>
    <w:rsid w:val="00155E49"/>
    <w:rsid w:val="00155EA3"/>
    <w:rsid w:val="00155F3C"/>
    <w:rsid w:val="00155F60"/>
    <w:rsid w:val="00155FFA"/>
    <w:rsid w:val="00156074"/>
    <w:rsid w:val="0015614B"/>
    <w:rsid w:val="00156187"/>
    <w:rsid w:val="0015624C"/>
    <w:rsid w:val="0015624F"/>
    <w:rsid w:val="001562C9"/>
    <w:rsid w:val="0015633C"/>
    <w:rsid w:val="00156349"/>
    <w:rsid w:val="0015636E"/>
    <w:rsid w:val="001563CE"/>
    <w:rsid w:val="001563E9"/>
    <w:rsid w:val="001564EF"/>
    <w:rsid w:val="00156624"/>
    <w:rsid w:val="0015665B"/>
    <w:rsid w:val="00156686"/>
    <w:rsid w:val="00156704"/>
    <w:rsid w:val="00156768"/>
    <w:rsid w:val="001567A3"/>
    <w:rsid w:val="0015699E"/>
    <w:rsid w:val="001569B8"/>
    <w:rsid w:val="00156A39"/>
    <w:rsid w:val="00156B4D"/>
    <w:rsid w:val="00156BA1"/>
    <w:rsid w:val="00156C7A"/>
    <w:rsid w:val="00156CC1"/>
    <w:rsid w:val="00156F31"/>
    <w:rsid w:val="00156FAA"/>
    <w:rsid w:val="00156FC5"/>
    <w:rsid w:val="00157077"/>
    <w:rsid w:val="001570E6"/>
    <w:rsid w:val="00157117"/>
    <w:rsid w:val="0015714B"/>
    <w:rsid w:val="00157174"/>
    <w:rsid w:val="0015718B"/>
    <w:rsid w:val="00157286"/>
    <w:rsid w:val="00157330"/>
    <w:rsid w:val="0015737E"/>
    <w:rsid w:val="001573C1"/>
    <w:rsid w:val="001573F9"/>
    <w:rsid w:val="00157427"/>
    <w:rsid w:val="001576BE"/>
    <w:rsid w:val="00157732"/>
    <w:rsid w:val="00157746"/>
    <w:rsid w:val="00157759"/>
    <w:rsid w:val="00157764"/>
    <w:rsid w:val="00157902"/>
    <w:rsid w:val="00157ACF"/>
    <w:rsid w:val="00157AF7"/>
    <w:rsid w:val="00157B0E"/>
    <w:rsid w:val="00157BF7"/>
    <w:rsid w:val="00157D48"/>
    <w:rsid w:val="00157D6A"/>
    <w:rsid w:val="00157D93"/>
    <w:rsid w:val="00157DE9"/>
    <w:rsid w:val="00157E18"/>
    <w:rsid w:val="00157F07"/>
    <w:rsid w:val="00157FCC"/>
    <w:rsid w:val="00157FE4"/>
    <w:rsid w:val="001600A4"/>
    <w:rsid w:val="001601AC"/>
    <w:rsid w:val="001601E7"/>
    <w:rsid w:val="001601F0"/>
    <w:rsid w:val="001602FE"/>
    <w:rsid w:val="00160374"/>
    <w:rsid w:val="00160476"/>
    <w:rsid w:val="00160559"/>
    <w:rsid w:val="0016057C"/>
    <w:rsid w:val="001606BD"/>
    <w:rsid w:val="001608E6"/>
    <w:rsid w:val="00160944"/>
    <w:rsid w:val="001609F3"/>
    <w:rsid w:val="00160A0D"/>
    <w:rsid w:val="00160A1F"/>
    <w:rsid w:val="00160BF2"/>
    <w:rsid w:val="00160D17"/>
    <w:rsid w:val="00160D9B"/>
    <w:rsid w:val="00160E2C"/>
    <w:rsid w:val="00160E3E"/>
    <w:rsid w:val="00161260"/>
    <w:rsid w:val="00161261"/>
    <w:rsid w:val="0016131A"/>
    <w:rsid w:val="00161355"/>
    <w:rsid w:val="00161588"/>
    <w:rsid w:val="0016161A"/>
    <w:rsid w:val="00161682"/>
    <w:rsid w:val="0016171F"/>
    <w:rsid w:val="00161723"/>
    <w:rsid w:val="00161920"/>
    <w:rsid w:val="00161982"/>
    <w:rsid w:val="00161A31"/>
    <w:rsid w:val="00161A64"/>
    <w:rsid w:val="00161AD1"/>
    <w:rsid w:val="00161AF9"/>
    <w:rsid w:val="00161B0B"/>
    <w:rsid w:val="00161B83"/>
    <w:rsid w:val="00161C6D"/>
    <w:rsid w:val="00161E57"/>
    <w:rsid w:val="00161ED8"/>
    <w:rsid w:val="00161FA1"/>
    <w:rsid w:val="00162246"/>
    <w:rsid w:val="001622B8"/>
    <w:rsid w:val="0016234E"/>
    <w:rsid w:val="00162431"/>
    <w:rsid w:val="001624B1"/>
    <w:rsid w:val="001624D6"/>
    <w:rsid w:val="001624E4"/>
    <w:rsid w:val="00162505"/>
    <w:rsid w:val="00162563"/>
    <w:rsid w:val="0016281A"/>
    <w:rsid w:val="001628C1"/>
    <w:rsid w:val="001628C3"/>
    <w:rsid w:val="00162961"/>
    <w:rsid w:val="00162AE1"/>
    <w:rsid w:val="00162B3F"/>
    <w:rsid w:val="00162BDF"/>
    <w:rsid w:val="00162BE2"/>
    <w:rsid w:val="00162CB2"/>
    <w:rsid w:val="00162D6B"/>
    <w:rsid w:val="00162E93"/>
    <w:rsid w:val="00162EBE"/>
    <w:rsid w:val="00162EF2"/>
    <w:rsid w:val="00162FDC"/>
    <w:rsid w:val="0016314C"/>
    <w:rsid w:val="00163155"/>
    <w:rsid w:val="00163176"/>
    <w:rsid w:val="001631AD"/>
    <w:rsid w:val="00163200"/>
    <w:rsid w:val="00163321"/>
    <w:rsid w:val="001634B1"/>
    <w:rsid w:val="0016364E"/>
    <w:rsid w:val="001636D8"/>
    <w:rsid w:val="001636F0"/>
    <w:rsid w:val="0016372F"/>
    <w:rsid w:val="00163749"/>
    <w:rsid w:val="001637D3"/>
    <w:rsid w:val="001638C7"/>
    <w:rsid w:val="001639A2"/>
    <w:rsid w:val="001639C6"/>
    <w:rsid w:val="001639DB"/>
    <w:rsid w:val="00163D1A"/>
    <w:rsid w:val="00163DD8"/>
    <w:rsid w:val="00163F57"/>
    <w:rsid w:val="00164021"/>
    <w:rsid w:val="00164035"/>
    <w:rsid w:val="00164043"/>
    <w:rsid w:val="001640CC"/>
    <w:rsid w:val="0016411C"/>
    <w:rsid w:val="00164126"/>
    <w:rsid w:val="00164264"/>
    <w:rsid w:val="0016426B"/>
    <w:rsid w:val="001642CB"/>
    <w:rsid w:val="0016430A"/>
    <w:rsid w:val="00164536"/>
    <w:rsid w:val="001646BB"/>
    <w:rsid w:val="001646F1"/>
    <w:rsid w:val="001647AF"/>
    <w:rsid w:val="001647D8"/>
    <w:rsid w:val="00164844"/>
    <w:rsid w:val="00164859"/>
    <w:rsid w:val="00164A59"/>
    <w:rsid w:val="00164B0D"/>
    <w:rsid w:val="00164D4A"/>
    <w:rsid w:val="00164DAC"/>
    <w:rsid w:val="001650AD"/>
    <w:rsid w:val="001651F5"/>
    <w:rsid w:val="00165239"/>
    <w:rsid w:val="0016529D"/>
    <w:rsid w:val="001653D5"/>
    <w:rsid w:val="001653D8"/>
    <w:rsid w:val="001654A0"/>
    <w:rsid w:val="0016550E"/>
    <w:rsid w:val="001656F3"/>
    <w:rsid w:val="001657A4"/>
    <w:rsid w:val="001658CB"/>
    <w:rsid w:val="001658D7"/>
    <w:rsid w:val="00165988"/>
    <w:rsid w:val="001659CF"/>
    <w:rsid w:val="00165AB0"/>
    <w:rsid w:val="00165AE0"/>
    <w:rsid w:val="00165C16"/>
    <w:rsid w:val="00165C75"/>
    <w:rsid w:val="00165F94"/>
    <w:rsid w:val="00165F9F"/>
    <w:rsid w:val="0016619B"/>
    <w:rsid w:val="001661D0"/>
    <w:rsid w:val="00166212"/>
    <w:rsid w:val="001662C8"/>
    <w:rsid w:val="00166315"/>
    <w:rsid w:val="001663A8"/>
    <w:rsid w:val="00166479"/>
    <w:rsid w:val="00166589"/>
    <w:rsid w:val="0016659C"/>
    <w:rsid w:val="001665B4"/>
    <w:rsid w:val="00166662"/>
    <w:rsid w:val="00166731"/>
    <w:rsid w:val="00166908"/>
    <w:rsid w:val="001669FB"/>
    <w:rsid w:val="00166A0A"/>
    <w:rsid w:val="00166C16"/>
    <w:rsid w:val="00167056"/>
    <w:rsid w:val="00167068"/>
    <w:rsid w:val="00167078"/>
    <w:rsid w:val="00167137"/>
    <w:rsid w:val="0016728D"/>
    <w:rsid w:val="00167341"/>
    <w:rsid w:val="0016735A"/>
    <w:rsid w:val="0016742B"/>
    <w:rsid w:val="00167470"/>
    <w:rsid w:val="001674F1"/>
    <w:rsid w:val="001675DF"/>
    <w:rsid w:val="00167627"/>
    <w:rsid w:val="001676DE"/>
    <w:rsid w:val="0016783B"/>
    <w:rsid w:val="00167842"/>
    <w:rsid w:val="001678BE"/>
    <w:rsid w:val="00167962"/>
    <w:rsid w:val="0016798C"/>
    <w:rsid w:val="001679A9"/>
    <w:rsid w:val="00167B1A"/>
    <w:rsid w:val="00167B33"/>
    <w:rsid w:val="00167BB2"/>
    <w:rsid w:val="00167D07"/>
    <w:rsid w:val="00167D38"/>
    <w:rsid w:val="00167DDD"/>
    <w:rsid w:val="00167E21"/>
    <w:rsid w:val="00167ECF"/>
    <w:rsid w:val="00167EDE"/>
    <w:rsid w:val="00167FC8"/>
    <w:rsid w:val="00170053"/>
    <w:rsid w:val="00170139"/>
    <w:rsid w:val="0017018E"/>
    <w:rsid w:val="001701CF"/>
    <w:rsid w:val="001701E7"/>
    <w:rsid w:val="001701ED"/>
    <w:rsid w:val="00170389"/>
    <w:rsid w:val="0017042E"/>
    <w:rsid w:val="00170431"/>
    <w:rsid w:val="00170493"/>
    <w:rsid w:val="001704E1"/>
    <w:rsid w:val="001705D4"/>
    <w:rsid w:val="001706F9"/>
    <w:rsid w:val="00170750"/>
    <w:rsid w:val="00170779"/>
    <w:rsid w:val="001709EE"/>
    <w:rsid w:val="00170A28"/>
    <w:rsid w:val="00170A2C"/>
    <w:rsid w:val="00170ACA"/>
    <w:rsid w:val="00170B35"/>
    <w:rsid w:val="00170C58"/>
    <w:rsid w:val="00170C83"/>
    <w:rsid w:val="00170D11"/>
    <w:rsid w:val="00170FC7"/>
    <w:rsid w:val="00170FF2"/>
    <w:rsid w:val="00171029"/>
    <w:rsid w:val="00171050"/>
    <w:rsid w:val="001710E7"/>
    <w:rsid w:val="001710F6"/>
    <w:rsid w:val="00171118"/>
    <w:rsid w:val="00171170"/>
    <w:rsid w:val="001711C1"/>
    <w:rsid w:val="00171247"/>
    <w:rsid w:val="0017128B"/>
    <w:rsid w:val="00171315"/>
    <w:rsid w:val="00171343"/>
    <w:rsid w:val="001713C0"/>
    <w:rsid w:val="00171425"/>
    <w:rsid w:val="00171447"/>
    <w:rsid w:val="00171458"/>
    <w:rsid w:val="00171561"/>
    <w:rsid w:val="0017164A"/>
    <w:rsid w:val="0017166F"/>
    <w:rsid w:val="001717A4"/>
    <w:rsid w:val="0017188C"/>
    <w:rsid w:val="001718E9"/>
    <w:rsid w:val="00171AEB"/>
    <w:rsid w:val="00171C99"/>
    <w:rsid w:val="00171D5B"/>
    <w:rsid w:val="00171DE4"/>
    <w:rsid w:val="00171FB2"/>
    <w:rsid w:val="0017209F"/>
    <w:rsid w:val="00172151"/>
    <w:rsid w:val="00172181"/>
    <w:rsid w:val="00172286"/>
    <w:rsid w:val="0017229C"/>
    <w:rsid w:val="00172328"/>
    <w:rsid w:val="0017238B"/>
    <w:rsid w:val="001723D3"/>
    <w:rsid w:val="00172559"/>
    <w:rsid w:val="00172613"/>
    <w:rsid w:val="00172658"/>
    <w:rsid w:val="0017267B"/>
    <w:rsid w:val="001726BE"/>
    <w:rsid w:val="001726E4"/>
    <w:rsid w:val="0017286F"/>
    <w:rsid w:val="00172995"/>
    <w:rsid w:val="001729A1"/>
    <w:rsid w:val="001729F9"/>
    <w:rsid w:val="00172ABD"/>
    <w:rsid w:val="00172BDA"/>
    <w:rsid w:val="00172C2C"/>
    <w:rsid w:val="00172C54"/>
    <w:rsid w:val="00172C98"/>
    <w:rsid w:val="00172DB4"/>
    <w:rsid w:val="00172E0F"/>
    <w:rsid w:val="00172ECF"/>
    <w:rsid w:val="00172ED7"/>
    <w:rsid w:val="00172EF9"/>
    <w:rsid w:val="00173028"/>
    <w:rsid w:val="00173067"/>
    <w:rsid w:val="0017307D"/>
    <w:rsid w:val="00173096"/>
    <w:rsid w:val="001730AF"/>
    <w:rsid w:val="001730C2"/>
    <w:rsid w:val="00173108"/>
    <w:rsid w:val="00173231"/>
    <w:rsid w:val="00173346"/>
    <w:rsid w:val="00173458"/>
    <w:rsid w:val="001734E4"/>
    <w:rsid w:val="001734E6"/>
    <w:rsid w:val="00173543"/>
    <w:rsid w:val="0017357D"/>
    <w:rsid w:val="0017362F"/>
    <w:rsid w:val="001736FB"/>
    <w:rsid w:val="001737B9"/>
    <w:rsid w:val="00173897"/>
    <w:rsid w:val="001739C4"/>
    <w:rsid w:val="00173A00"/>
    <w:rsid w:val="00173AA6"/>
    <w:rsid w:val="00173C89"/>
    <w:rsid w:val="00173CB6"/>
    <w:rsid w:val="00173D04"/>
    <w:rsid w:val="00173EC6"/>
    <w:rsid w:val="00173FA9"/>
    <w:rsid w:val="00174045"/>
    <w:rsid w:val="001740E6"/>
    <w:rsid w:val="0017411A"/>
    <w:rsid w:val="0017425B"/>
    <w:rsid w:val="001742D8"/>
    <w:rsid w:val="00174308"/>
    <w:rsid w:val="00174370"/>
    <w:rsid w:val="0017438B"/>
    <w:rsid w:val="0017439D"/>
    <w:rsid w:val="001744C1"/>
    <w:rsid w:val="00174542"/>
    <w:rsid w:val="001745CF"/>
    <w:rsid w:val="00174702"/>
    <w:rsid w:val="00174743"/>
    <w:rsid w:val="0017475F"/>
    <w:rsid w:val="00174812"/>
    <w:rsid w:val="00174877"/>
    <w:rsid w:val="001748C1"/>
    <w:rsid w:val="001748DB"/>
    <w:rsid w:val="001748F1"/>
    <w:rsid w:val="00174910"/>
    <w:rsid w:val="00174A99"/>
    <w:rsid w:val="00174AC7"/>
    <w:rsid w:val="00174B73"/>
    <w:rsid w:val="00174B7E"/>
    <w:rsid w:val="00174CFD"/>
    <w:rsid w:val="00174D13"/>
    <w:rsid w:val="00174E34"/>
    <w:rsid w:val="00174E51"/>
    <w:rsid w:val="00174F80"/>
    <w:rsid w:val="001750AF"/>
    <w:rsid w:val="001750DE"/>
    <w:rsid w:val="001751BC"/>
    <w:rsid w:val="001751E3"/>
    <w:rsid w:val="00175341"/>
    <w:rsid w:val="00175506"/>
    <w:rsid w:val="00175517"/>
    <w:rsid w:val="0017552D"/>
    <w:rsid w:val="001755CD"/>
    <w:rsid w:val="00175626"/>
    <w:rsid w:val="00175694"/>
    <w:rsid w:val="001757AA"/>
    <w:rsid w:val="001757B3"/>
    <w:rsid w:val="0017580E"/>
    <w:rsid w:val="001758E8"/>
    <w:rsid w:val="00175938"/>
    <w:rsid w:val="00175949"/>
    <w:rsid w:val="0017597E"/>
    <w:rsid w:val="001759BC"/>
    <w:rsid w:val="00175A8A"/>
    <w:rsid w:val="00175AF9"/>
    <w:rsid w:val="00175D95"/>
    <w:rsid w:val="00175EB3"/>
    <w:rsid w:val="00176034"/>
    <w:rsid w:val="001760C3"/>
    <w:rsid w:val="00176134"/>
    <w:rsid w:val="0017625D"/>
    <w:rsid w:val="00176284"/>
    <w:rsid w:val="00176287"/>
    <w:rsid w:val="001763C5"/>
    <w:rsid w:val="001763EF"/>
    <w:rsid w:val="0017644D"/>
    <w:rsid w:val="00176613"/>
    <w:rsid w:val="00176636"/>
    <w:rsid w:val="0017667F"/>
    <w:rsid w:val="00176731"/>
    <w:rsid w:val="001767AD"/>
    <w:rsid w:val="0017688B"/>
    <w:rsid w:val="001768CA"/>
    <w:rsid w:val="00176A86"/>
    <w:rsid w:val="00176B0E"/>
    <w:rsid w:val="00176BAA"/>
    <w:rsid w:val="00176C49"/>
    <w:rsid w:val="00176CBE"/>
    <w:rsid w:val="00176D9E"/>
    <w:rsid w:val="00176EB9"/>
    <w:rsid w:val="00176F16"/>
    <w:rsid w:val="0017702F"/>
    <w:rsid w:val="001770F0"/>
    <w:rsid w:val="0017713E"/>
    <w:rsid w:val="00177189"/>
    <w:rsid w:val="00177290"/>
    <w:rsid w:val="0017730C"/>
    <w:rsid w:val="00177355"/>
    <w:rsid w:val="001773BD"/>
    <w:rsid w:val="00177413"/>
    <w:rsid w:val="001774BE"/>
    <w:rsid w:val="001774D3"/>
    <w:rsid w:val="00177531"/>
    <w:rsid w:val="00177546"/>
    <w:rsid w:val="0017762A"/>
    <w:rsid w:val="00177689"/>
    <w:rsid w:val="00177694"/>
    <w:rsid w:val="001777A7"/>
    <w:rsid w:val="001777E2"/>
    <w:rsid w:val="00177980"/>
    <w:rsid w:val="00177A61"/>
    <w:rsid w:val="00177B39"/>
    <w:rsid w:val="00177C66"/>
    <w:rsid w:val="00177CB3"/>
    <w:rsid w:val="00177DCC"/>
    <w:rsid w:val="00177EF8"/>
    <w:rsid w:val="0018005C"/>
    <w:rsid w:val="001800E4"/>
    <w:rsid w:val="001800E6"/>
    <w:rsid w:val="00180212"/>
    <w:rsid w:val="00180249"/>
    <w:rsid w:val="001802C1"/>
    <w:rsid w:val="001803A6"/>
    <w:rsid w:val="0018045B"/>
    <w:rsid w:val="0018050C"/>
    <w:rsid w:val="00180573"/>
    <w:rsid w:val="0018059F"/>
    <w:rsid w:val="00180820"/>
    <w:rsid w:val="00180905"/>
    <w:rsid w:val="001809A6"/>
    <w:rsid w:val="001809EC"/>
    <w:rsid w:val="00180A02"/>
    <w:rsid w:val="00180A70"/>
    <w:rsid w:val="00180B0D"/>
    <w:rsid w:val="00180C02"/>
    <w:rsid w:val="00180C79"/>
    <w:rsid w:val="00180C97"/>
    <w:rsid w:val="00180CA7"/>
    <w:rsid w:val="00180CCD"/>
    <w:rsid w:val="00180D21"/>
    <w:rsid w:val="00180D59"/>
    <w:rsid w:val="00180D84"/>
    <w:rsid w:val="00180E37"/>
    <w:rsid w:val="00180EBE"/>
    <w:rsid w:val="00180F7A"/>
    <w:rsid w:val="00180FEE"/>
    <w:rsid w:val="00181006"/>
    <w:rsid w:val="00181105"/>
    <w:rsid w:val="00181244"/>
    <w:rsid w:val="001813C3"/>
    <w:rsid w:val="001814D2"/>
    <w:rsid w:val="001815B5"/>
    <w:rsid w:val="001815F3"/>
    <w:rsid w:val="001815FE"/>
    <w:rsid w:val="00181656"/>
    <w:rsid w:val="001816C2"/>
    <w:rsid w:val="00181717"/>
    <w:rsid w:val="00181736"/>
    <w:rsid w:val="001817FA"/>
    <w:rsid w:val="00181805"/>
    <w:rsid w:val="00181A7E"/>
    <w:rsid w:val="00181B0A"/>
    <w:rsid w:val="00181B0B"/>
    <w:rsid w:val="00181BEB"/>
    <w:rsid w:val="00181C85"/>
    <w:rsid w:val="00181CB5"/>
    <w:rsid w:val="00181CDD"/>
    <w:rsid w:val="00181CE0"/>
    <w:rsid w:val="00181CE3"/>
    <w:rsid w:val="00181D02"/>
    <w:rsid w:val="00181D03"/>
    <w:rsid w:val="00181D72"/>
    <w:rsid w:val="00181DCC"/>
    <w:rsid w:val="00181E69"/>
    <w:rsid w:val="00181E98"/>
    <w:rsid w:val="00181FAC"/>
    <w:rsid w:val="0018202C"/>
    <w:rsid w:val="0018207C"/>
    <w:rsid w:val="00182130"/>
    <w:rsid w:val="00182244"/>
    <w:rsid w:val="001822AE"/>
    <w:rsid w:val="001822B2"/>
    <w:rsid w:val="0018235D"/>
    <w:rsid w:val="00182440"/>
    <w:rsid w:val="00182636"/>
    <w:rsid w:val="0018269C"/>
    <w:rsid w:val="001826B4"/>
    <w:rsid w:val="001826CB"/>
    <w:rsid w:val="0018284D"/>
    <w:rsid w:val="001829E9"/>
    <w:rsid w:val="00182B38"/>
    <w:rsid w:val="00182BF7"/>
    <w:rsid w:val="00182C0C"/>
    <w:rsid w:val="00182CD3"/>
    <w:rsid w:val="00182D0F"/>
    <w:rsid w:val="00182DD5"/>
    <w:rsid w:val="00182DF5"/>
    <w:rsid w:val="00182EDF"/>
    <w:rsid w:val="00182FF5"/>
    <w:rsid w:val="0018304D"/>
    <w:rsid w:val="00183160"/>
    <w:rsid w:val="0018320F"/>
    <w:rsid w:val="00183260"/>
    <w:rsid w:val="00183300"/>
    <w:rsid w:val="00183367"/>
    <w:rsid w:val="001833D6"/>
    <w:rsid w:val="001836F2"/>
    <w:rsid w:val="00183944"/>
    <w:rsid w:val="00183965"/>
    <w:rsid w:val="00183A60"/>
    <w:rsid w:val="00183B42"/>
    <w:rsid w:val="00183B83"/>
    <w:rsid w:val="00183C05"/>
    <w:rsid w:val="00183C1C"/>
    <w:rsid w:val="00183C3B"/>
    <w:rsid w:val="00183C3D"/>
    <w:rsid w:val="00183CEB"/>
    <w:rsid w:val="00183CF7"/>
    <w:rsid w:val="00183E78"/>
    <w:rsid w:val="00183F8B"/>
    <w:rsid w:val="00183F9A"/>
    <w:rsid w:val="0018400F"/>
    <w:rsid w:val="0018403A"/>
    <w:rsid w:val="00184056"/>
    <w:rsid w:val="00184123"/>
    <w:rsid w:val="0018418B"/>
    <w:rsid w:val="00184260"/>
    <w:rsid w:val="001842A2"/>
    <w:rsid w:val="0018439D"/>
    <w:rsid w:val="001843F1"/>
    <w:rsid w:val="0018445E"/>
    <w:rsid w:val="00184534"/>
    <w:rsid w:val="00184557"/>
    <w:rsid w:val="001845BB"/>
    <w:rsid w:val="001845C5"/>
    <w:rsid w:val="00184626"/>
    <w:rsid w:val="00184669"/>
    <w:rsid w:val="001846AF"/>
    <w:rsid w:val="001847DF"/>
    <w:rsid w:val="00184A3A"/>
    <w:rsid w:val="00184A91"/>
    <w:rsid w:val="00184AE3"/>
    <w:rsid w:val="00184B02"/>
    <w:rsid w:val="00184B04"/>
    <w:rsid w:val="00184B7A"/>
    <w:rsid w:val="00184C44"/>
    <w:rsid w:val="00184C50"/>
    <w:rsid w:val="00184DA3"/>
    <w:rsid w:val="00184E60"/>
    <w:rsid w:val="00184F54"/>
    <w:rsid w:val="00185016"/>
    <w:rsid w:val="00185109"/>
    <w:rsid w:val="00185229"/>
    <w:rsid w:val="0018537C"/>
    <w:rsid w:val="00185396"/>
    <w:rsid w:val="001853CB"/>
    <w:rsid w:val="00185719"/>
    <w:rsid w:val="00185729"/>
    <w:rsid w:val="001857A9"/>
    <w:rsid w:val="00185895"/>
    <w:rsid w:val="00185947"/>
    <w:rsid w:val="001859EC"/>
    <w:rsid w:val="00185B75"/>
    <w:rsid w:val="00185BB4"/>
    <w:rsid w:val="00185BE8"/>
    <w:rsid w:val="00185CAF"/>
    <w:rsid w:val="00185CBF"/>
    <w:rsid w:val="00185E2C"/>
    <w:rsid w:val="00185E50"/>
    <w:rsid w:val="00185EFA"/>
    <w:rsid w:val="00185F18"/>
    <w:rsid w:val="00185F8C"/>
    <w:rsid w:val="001860AA"/>
    <w:rsid w:val="00186102"/>
    <w:rsid w:val="0018616F"/>
    <w:rsid w:val="0018620F"/>
    <w:rsid w:val="00186211"/>
    <w:rsid w:val="00186239"/>
    <w:rsid w:val="00186252"/>
    <w:rsid w:val="001862F4"/>
    <w:rsid w:val="001863DD"/>
    <w:rsid w:val="00186575"/>
    <w:rsid w:val="0018657E"/>
    <w:rsid w:val="001867C8"/>
    <w:rsid w:val="00186A07"/>
    <w:rsid w:val="00186A39"/>
    <w:rsid w:val="00186A7A"/>
    <w:rsid w:val="00186AE8"/>
    <w:rsid w:val="00186B0F"/>
    <w:rsid w:val="00186B52"/>
    <w:rsid w:val="00186BB6"/>
    <w:rsid w:val="00186EAF"/>
    <w:rsid w:val="00186EB4"/>
    <w:rsid w:val="001870E9"/>
    <w:rsid w:val="001870F0"/>
    <w:rsid w:val="001871D8"/>
    <w:rsid w:val="001872BC"/>
    <w:rsid w:val="00187344"/>
    <w:rsid w:val="00187345"/>
    <w:rsid w:val="00187473"/>
    <w:rsid w:val="0018747C"/>
    <w:rsid w:val="001874AA"/>
    <w:rsid w:val="001874D9"/>
    <w:rsid w:val="0018751B"/>
    <w:rsid w:val="00187791"/>
    <w:rsid w:val="001877B6"/>
    <w:rsid w:val="0018792F"/>
    <w:rsid w:val="001879BC"/>
    <w:rsid w:val="00187A9C"/>
    <w:rsid w:val="00187B20"/>
    <w:rsid w:val="00187B64"/>
    <w:rsid w:val="00187BF5"/>
    <w:rsid w:val="00187D61"/>
    <w:rsid w:val="00187DF3"/>
    <w:rsid w:val="00187FB7"/>
    <w:rsid w:val="0019018A"/>
    <w:rsid w:val="001901EE"/>
    <w:rsid w:val="00190356"/>
    <w:rsid w:val="001903E1"/>
    <w:rsid w:val="001903F2"/>
    <w:rsid w:val="00190626"/>
    <w:rsid w:val="0019063F"/>
    <w:rsid w:val="001906A3"/>
    <w:rsid w:val="001906FD"/>
    <w:rsid w:val="00190750"/>
    <w:rsid w:val="00190790"/>
    <w:rsid w:val="001907BC"/>
    <w:rsid w:val="001907F3"/>
    <w:rsid w:val="001907FA"/>
    <w:rsid w:val="0019088D"/>
    <w:rsid w:val="00190903"/>
    <w:rsid w:val="00190967"/>
    <w:rsid w:val="0019098B"/>
    <w:rsid w:val="00190B05"/>
    <w:rsid w:val="00190BA2"/>
    <w:rsid w:val="00190CDE"/>
    <w:rsid w:val="00190CFA"/>
    <w:rsid w:val="00190E21"/>
    <w:rsid w:val="0019105D"/>
    <w:rsid w:val="001910AD"/>
    <w:rsid w:val="0019125A"/>
    <w:rsid w:val="00191267"/>
    <w:rsid w:val="001913D8"/>
    <w:rsid w:val="001914DB"/>
    <w:rsid w:val="00191557"/>
    <w:rsid w:val="00191649"/>
    <w:rsid w:val="0019164F"/>
    <w:rsid w:val="00191674"/>
    <w:rsid w:val="00191743"/>
    <w:rsid w:val="00191782"/>
    <w:rsid w:val="0019179A"/>
    <w:rsid w:val="001919AB"/>
    <w:rsid w:val="001919FD"/>
    <w:rsid w:val="00191B7F"/>
    <w:rsid w:val="00191B81"/>
    <w:rsid w:val="00191BA6"/>
    <w:rsid w:val="00191D1B"/>
    <w:rsid w:val="00191D2F"/>
    <w:rsid w:val="00191EF1"/>
    <w:rsid w:val="00191EF6"/>
    <w:rsid w:val="00191FB1"/>
    <w:rsid w:val="00191FD4"/>
    <w:rsid w:val="0019202F"/>
    <w:rsid w:val="00192105"/>
    <w:rsid w:val="001921D1"/>
    <w:rsid w:val="0019220B"/>
    <w:rsid w:val="0019220E"/>
    <w:rsid w:val="0019222D"/>
    <w:rsid w:val="001923A0"/>
    <w:rsid w:val="001923B8"/>
    <w:rsid w:val="001923F6"/>
    <w:rsid w:val="00192433"/>
    <w:rsid w:val="00192434"/>
    <w:rsid w:val="00192486"/>
    <w:rsid w:val="00192581"/>
    <w:rsid w:val="00192639"/>
    <w:rsid w:val="001926E0"/>
    <w:rsid w:val="00192726"/>
    <w:rsid w:val="00192786"/>
    <w:rsid w:val="00192820"/>
    <w:rsid w:val="00192887"/>
    <w:rsid w:val="001928CE"/>
    <w:rsid w:val="00192AAA"/>
    <w:rsid w:val="00192B7B"/>
    <w:rsid w:val="00192BD3"/>
    <w:rsid w:val="00192C1D"/>
    <w:rsid w:val="00192DAA"/>
    <w:rsid w:val="00192DF9"/>
    <w:rsid w:val="00192E65"/>
    <w:rsid w:val="00192F00"/>
    <w:rsid w:val="0019305F"/>
    <w:rsid w:val="0019319C"/>
    <w:rsid w:val="00193200"/>
    <w:rsid w:val="00193236"/>
    <w:rsid w:val="00193283"/>
    <w:rsid w:val="00193305"/>
    <w:rsid w:val="001934CF"/>
    <w:rsid w:val="00193527"/>
    <w:rsid w:val="0019353E"/>
    <w:rsid w:val="0019358A"/>
    <w:rsid w:val="001935A6"/>
    <w:rsid w:val="00193600"/>
    <w:rsid w:val="00193657"/>
    <w:rsid w:val="00193777"/>
    <w:rsid w:val="0019379A"/>
    <w:rsid w:val="001939F5"/>
    <w:rsid w:val="00193A8B"/>
    <w:rsid w:val="00193A98"/>
    <w:rsid w:val="00193AC1"/>
    <w:rsid w:val="00193B06"/>
    <w:rsid w:val="00193FE2"/>
    <w:rsid w:val="001940F6"/>
    <w:rsid w:val="0019412D"/>
    <w:rsid w:val="0019417C"/>
    <w:rsid w:val="001941AE"/>
    <w:rsid w:val="00194231"/>
    <w:rsid w:val="001943A3"/>
    <w:rsid w:val="001943C2"/>
    <w:rsid w:val="00194435"/>
    <w:rsid w:val="001944CB"/>
    <w:rsid w:val="001944CF"/>
    <w:rsid w:val="00194605"/>
    <w:rsid w:val="00194716"/>
    <w:rsid w:val="0019474B"/>
    <w:rsid w:val="00194857"/>
    <w:rsid w:val="0019485E"/>
    <w:rsid w:val="00194A31"/>
    <w:rsid w:val="00194A9C"/>
    <w:rsid w:val="00194B54"/>
    <w:rsid w:val="00194B70"/>
    <w:rsid w:val="00194BE1"/>
    <w:rsid w:val="00194DC4"/>
    <w:rsid w:val="00194E1D"/>
    <w:rsid w:val="00194E7D"/>
    <w:rsid w:val="00194E80"/>
    <w:rsid w:val="00194ED0"/>
    <w:rsid w:val="00194EED"/>
    <w:rsid w:val="00194F5C"/>
    <w:rsid w:val="00194F99"/>
    <w:rsid w:val="00195205"/>
    <w:rsid w:val="001952AC"/>
    <w:rsid w:val="001955F6"/>
    <w:rsid w:val="00195618"/>
    <w:rsid w:val="00195690"/>
    <w:rsid w:val="001957CC"/>
    <w:rsid w:val="00195862"/>
    <w:rsid w:val="00195BE1"/>
    <w:rsid w:val="00195C07"/>
    <w:rsid w:val="00195C2B"/>
    <w:rsid w:val="00195D10"/>
    <w:rsid w:val="00195D92"/>
    <w:rsid w:val="00195E3C"/>
    <w:rsid w:val="00195F4F"/>
    <w:rsid w:val="00196012"/>
    <w:rsid w:val="00196122"/>
    <w:rsid w:val="00196125"/>
    <w:rsid w:val="0019612A"/>
    <w:rsid w:val="00196191"/>
    <w:rsid w:val="001961A3"/>
    <w:rsid w:val="00196248"/>
    <w:rsid w:val="00196279"/>
    <w:rsid w:val="001962ED"/>
    <w:rsid w:val="00196388"/>
    <w:rsid w:val="001963AE"/>
    <w:rsid w:val="001963D3"/>
    <w:rsid w:val="0019649B"/>
    <w:rsid w:val="001964C5"/>
    <w:rsid w:val="001964E7"/>
    <w:rsid w:val="00196535"/>
    <w:rsid w:val="00196570"/>
    <w:rsid w:val="001966B0"/>
    <w:rsid w:val="0019682F"/>
    <w:rsid w:val="00196863"/>
    <w:rsid w:val="001968E4"/>
    <w:rsid w:val="001968F5"/>
    <w:rsid w:val="00196972"/>
    <w:rsid w:val="001969E2"/>
    <w:rsid w:val="001969F0"/>
    <w:rsid w:val="00196A01"/>
    <w:rsid w:val="00196B4A"/>
    <w:rsid w:val="00196B51"/>
    <w:rsid w:val="00196B9F"/>
    <w:rsid w:val="00196BFC"/>
    <w:rsid w:val="00196BFE"/>
    <w:rsid w:val="00196C17"/>
    <w:rsid w:val="00196D16"/>
    <w:rsid w:val="00196D74"/>
    <w:rsid w:val="00196F1F"/>
    <w:rsid w:val="00196FA4"/>
    <w:rsid w:val="00196FF8"/>
    <w:rsid w:val="00197106"/>
    <w:rsid w:val="001971C7"/>
    <w:rsid w:val="00197260"/>
    <w:rsid w:val="00197282"/>
    <w:rsid w:val="0019728C"/>
    <w:rsid w:val="0019732E"/>
    <w:rsid w:val="0019734E"/>
    <w:rsid w:val="0019743F"/>
    <w:rsid w:val="00197500"/>
    <w:rsid w:val="0019750D"/>
    <w:rsid w:val="00197527"/>
    <w:rsid w:val="0019758C"/>
    <w:rsid w:val="00197624"/>
    <w:rsid w:val="001976B3"/>
    <w:rsid w:val="0019774E"/>
    <w:rsid w:val="001977B4"/>
    <w:rsid w:val="001977E9"/>
    <w:rsid w:val="001978D1"/>
    <w:rsid w:val="001979BA"/>
    <w:rsid w:val="001979C4"/>
    <w:rsid w:val="001979F7"/>
    <w:rsid w:val="00197A26"/>
    <w:rsid w:val="00197C8B"/>
    <w:rsid w:val="00197E15"/>
    <w:rsid w:val="00197E28"/>
    <w:rsid w:val="00197F9A"/>
    <w:rsid w:val="00197FFE"/>
    <w:rsid w:val="001A004B"/>
    <w:rsid w:val="001A00A4"/>
    <w:rsid w:val="001A0109"/>
    <w:rsid w:val="001A0222"/>
    <w:rsid w:val="001A0251"/>
    <w:rsid w:val="001A05F1"/>
    <w:rsid w:val="001A06F0"/>
    <w:rsid w:val="001A071C"/>
    <w:rsid w:val="001A076D"/>
    <w:rsid w:val="001A0797"/>
    <w:rsid w:val="001A07E2"/>
    <w:rsid w:val="001A08B1"/>
    <w:rsid w:val="001A0A1F"/>
    <w:rsid w:val="001A0A2A"/>
    <w:rsid w:val="001A0A32"/>
    <w:rsid w:val="001A0B85"/>
    <w:rsid w:val="001A0BCC"/>
    <w:rsid w:val="001A0BD6"/>
    <w:rsid w:val="001A0CAF"/>
    <w:rsid w:val="001A0D01"/>
    <w:rsid w:val="001A0D46"/>
    <w:rsid w:val="001A0D52"/>
    <w:rsid w:val="001A0DD2"/>
    <w:rsid w:val="001A0F98"/>
    <w:rsid w:val="001A118A"/>
    <w:rsid w:val="001A11EB"/>
    <w:rsid w:val="001A13CC"/>
    <w:rsid w:val="001A1415"/>
    <w:rsid w:val="001A141F"/>
    <w:rsid w:val="001A14D7"/>
    <w:rsid w:val="001A1651"/>
    <w:rsid w:val="001A168C"/>
    <w:rsid w:val="001A16AF"/>
    <w:rsid w:val="001A172C"/>
    <w:rsid w:val="001A1B10"/>
    <w:rsid w:val="001A1B35"/>
    <w:rsid w:val="001A1C52"/>
    <w:rsid w:val="001A1C7D"/>
    <w:rsid w:val="001A1C8F"/>
    <w:rsid w:val="001A1CE3"/>
    <w:rsid w:val="001A1D5E"/>
    <w:rsid w:val="001A1D68"/>
    <w:rsid w:val="001A1D6F"/>
    <w:rsid w:val="001A1D93"/>
    <w:rsid w:val="001A1E13"/>
    <w:rsid w:val="001A1F7E"/>
    <w:rsid w:val="001A2099"/>
    <w:rsid w:val="001A20BD"/>
    <w:rsid w:val="001A2225"/>
    <w:rsid w:val="001A2276"/>
    <w:rsid w:val="001A229D"/>
    <w:rsid w:val="001A22D4"/>
    <w:rsid w:val="001A22DE"/>
    <w:rsid w:val="001A2398"/>
    <w:rsid w:val="001A24C8"/>
    <w:rsid w:val="001A24F1"/>
    <w:rsid w:val="001A24FA"/>
    <w:rsid w:val="001A2679"/>
    <w:rsid w:val="001A2762"/>
    <w:rsid w:val="001A27C1"/>
    <w:rsid w:val="001A2942"/>
    <w:rsid w:val="001A2947"/>
    <w:rsid w:val="001A297B"/>
    <w:rsid w:val="001A29AE"/>
    <w:rsid w:val="001A29BC"/>
    <w:rsid w:val="001A29E2"/>
    <w:rsid w:val="001A2A47"/>
    <w:rsid w:val="001A2AA1"/>
    <w:rsid w:val="001A2AE6"/>
    <w:rsid w:val="001A2B0C"/>
    <w:rsid w:val="001A2BEF"/>
    <w:rsid w:val="001A2DCA"/>
    <w:rsid w:val="001A2E2D"/>
    <w:rsid w:val="001A2F08"/>
    <w:rsid w:val="001A2F91"/>
    <w:rsid w:val="001A2FA2"/>
    <w:rsid w:val="001A30CA"/>
    <w:rsid w:val="001A3194"/>
    <w:rsid w:val="001A3262"/>
    <w:rsid w:val="001A32DB"/>
    <w:rsid w:val="001A3465"/>
    <w:rsid w:val="001A3493"/>
    <w:rsid w:val="001A34A8"/>
    <w:rsid w:val="001A35DB"/>
    <w:rsid w:val="001A3680"/>
    <w:rsid w:val="001A3684"/>
    <w:rsid w:val="001A3768"/>
    <w:rsid w:val="001A38C7"/>
    <w:rsid w:val="001A3922"/>
    <w:rsid w:val="001A3953"/>
    <w:rsid w:val="001A3BCF"/>
    <w:rsid w:val="001A3C8F"/>
    <w:rsid w:val="001A3CF5"/>
    <w:rsid w:val="001A3DC9"/>
    <w:rsid w:val="001A3E42"/>
    <w:rsid w:val="001A3E60"/>
    <w:rsid w:val="001A3E91"/>
    <w:rsid w:val="001A3F1A"/>
    <w:rsid w:val="001A3F31"/>
    <w:rsid w:val="001A3FDB"/>
    <w:rsid w:val="001A413F"/>
    <w:rsid w:val="001A4273"/>
    <w:rsid w:val="001A4454"/>
    <w:rsid w:val="001A45A8"/>
    <w:rsid w:val="001A46EC"/>
    <w:rsid w:val="001A472B"/>
    <w:rsid w:val="001A47CD"/>
    <w:rsid w:val="001A47D3"/>
    <w:rsid w:val="001A4811"/>
    <w:rsid w:val="001A4822"/>
    <w:rsid w:val="001A4899"/>
    <w:rsid w:val="001A494A"/>
    <w:rsid w:val="001A4AAA"/>
    <w:rsid w:val="001A4B93"/>
    <w:rsid w:val="001A4B95"/>
    <w:rsid w:val="001A4B98"/>
    <w:rsid w:val="001A4D39"/>
    <w:rsid w:val="001A5003"/>
    <w:rsid w:val="001A50BD"/>
    <w:rsid w:val="001A5118"/>
    <w:rsid w:val="001A51B4"/>
    <w:rsid w:val="001A51E5"/>
    <w:rsid w:val="001A51F1"/>
    <w:rsid w:val="001A525B"/>
    <w:rsid w:val="001A52F8"/>
    <w:rsid w:val="001A5315"/>
    <w:rsid w:val="001A540E"/>
    <w:rsid w:val="001A54AD"/>
    <w:rsid w:val="001A54E8"/>
    <w:rsid w:val="001A552D"/>
    <w:rsid w:val="001A555B"/>
    <w:rsid w:val="001A5612"/>
    <w:rsid w:val="001A563A"/>
    <w:rsid w:val="001A566A"/>
    <w:rsid w:val="001A5684"/>
    <w:rsid w:val="001A56A6"/>
    <w:rsid w:val="001A56B0"/>
    <w:rsid w:val="001A56E9"/>
    <w:rsid w:val="001A5709"/>
    <w:rsid w:val="001A582B"/>
    <w:rsid w:val="001A5896"/>
    <w:rsid w:val="001A5974"/>
    <w:rsid w:val="001A5A0F"/>
    <w:rsid w:val="001A5AC9"/>
    <w:rsid w:val="001A5B91"/>
    <w:rsid w:val="001A5B9B"/>
    <w:rsid w:val="001A5C12"/>
    <w:rsid w:val="001A5C6D"/>
    <w:rsid w:val="001A5D43"/>
    <w:rsid w:val="001A5D47"/>
    <w:rsid w:val="001A5D58"/>
    <w:rsid w:val="001A5DD4"/>
    <w:rsid w:val="001A5EE2"/>
    <w:rsid w:val="001A5FB7"/>
    <w:rsid w:val="001A6037"/>
    <w:rsid w:val="001A63A4"/>
    <w:rsid w:val="001A63A7"/>
    <w:rsid w:val="001A63B6"/>
    <w:rsid w:val="001A63D8"/>
    <w:rsid w:val="001A64D5"/>
    <w:rsid w:val="001A657D"/>
    <w:rsid w:val="001A65E0"/>
    <w:rsid w:val="001A666B"/>
    <w:rsid w:val="001A6689"/>
    <w:rsid w:val="001A6722"/>
    <w:rsid w:val="001A67B8"/>
    <w:rsid w:val="001A681E"/>
    <w:rsid w:val="001A6989"/>
    <w:rsid w:val="001A6C2A"/>
    <w:rsid w:val="001A6C2E"/>
    <w:rsid w:val="001A6D0C"/>
    <w:rsid w:val="001A6D0E"/>
    <w:rsid w:val="001A6D1B"/>
    <w:rsid w:val="001A6DAC"/>
    <w:rsid w:val="001A6E12"/>
    <w:rsid w:val="001A704C"/>
    <w:rsid w:val="001A706E"/>
    <w:rsid w:val="001A7094"/>
    <w:rsid w:val="001A7114"/>
    <w:rsid w:val="001A7156"/>
    <w:rsid w:val="001A71B8"/>
    <w:rsid w:val="001A7289"/>
    <w:rsid w:val="001A72AA"/>
    <w:rsid w:val="001A72AC"/>
    <w:rsid w:val="001A7369"/>
    <w:rsid w:val="001A73AD"/>
    <w:rsid w:val="001A73FB"/>
    <w:rsid w:val="001A74BE"/>
    <w:rsid w:val="001A7512"/>
    <w:rsid w:val="001A7606"/>
    <w:rsid w:val="001A7655"/>
    <w:rsid w:val="001A770A"/>
    <w:rsid w:val="001A7877"/>
    <w:rsid w:val="001A78B1"/>
    <w:rsid w:val="001A78B8"/>
    <w:rsid w:val="001A7920"/>
    <w:rsid w:val="001A79CC"/>
    <w:rsid w:val="001A7A98"/>
    <w:rsid w:val="001A7AC4"/>
    <w:rsid w:val="001A7AE5"/>
    <w:rsid w:val="001A7B4E"/>
    <w:rsid w:val="001A7C70"/>
    <w:rsid w:val="001A7DA5"/>
    <w:rsid w:val="001A7E8F"/>
    <w:rsid w:val="001A7E92"/>
    <w:rsid w:val="001A7F44"/>
    <w:rsid w:val="001A7F9A"/>
    <w:rsid w:val="001A7FB7"/>
    <w:rsid w:val="001B007E"/>
    <w:rsid w:val="001B0088"/>
    <w:rsid w:val="001B01E2"/>
    <w:rsid w:val="001B01FD"/>
    <w:rsid w:val="001B0289"/>
    <w:rsid w:val="001B0325"/>
    <w:rsid w:val="001B0328"/>
    <w:rsid w:val="001B03E1"/>
    <w:rsid w:val="001B0476"/>
    <w:rsid w:val="001B04A2"/>
    <w:rsid w:val="001B0662"/>
    <w:rsid w:val="001B0696"/>
    <w:rsid w:val="001B06DB"/>
    <w:rsid w:val="001B0728"/>
    <w:rsid w:val="001B093C"/>
    <w:rsid w:val="001B0943"/>
    <w:rsid w:val="001B09A9"/>
    <w:rsid w:val="001B0A20"/>
    <w:rsid w:val="001B0A90"/>
    <w:rsid w:val="001B0AEF"/>
    <w:rsid w:val="001B0B2B"/>
    <w:rsid w:val="001B0B9E"/>
    <w:rsid w:val="001B0C40"/>
    <w:rsid w:val="001B0C50"/>
    <w:rsid w:val="001B0E39"/>
    <w:rsid w:val="001B0E48"/>
    <w:rsid w:val="001B0E87"/>
    <w:rsid w:val="001B0E89"/>
    <w:rsid w:val="001B0EAB"/>
    <w:rsid w:val="001B0EB9"/>
    <w:rsid w:val="001B0F52"/>
    <w:rsid w:val="001B10FA"/>
    <w:rsid w:val="001B1120"/>
    <w:rsid w:val="001B114E"/>
    <w:rsid w:val="001B1167"/>
    <w:rsid w:val="001B12FA"/>
    <w:rsid w:val="001B135F"/>
    <w:rsid w:val="001B14F0"/>
    <w:rsid w:val="001B1506"/>
    <w:rsid w:val="001B1518"/>
    <w:rsid w:val="001B1652"/>
    <w:rsid w:val="001B17D9"/>
    <w:rsid w:val="001B1ACE"/>
    <w:rsid w:val="001B1B0A"/>
    <w:rsid w:val="001B1BDA"/>
    <w:rsid w:val="001B1DA0"/>
    <w:rsid w:val="001B1E27"/>
    <w:rsid w:val="001B1E63"/>
    <w:rsid w:val="001B1ECF"/>
    <w:rsid w:val="001B1EF9"/>
    <w:rsid w:val="001B1F0C"/>
    <w:rsid w:val="001B1F30"/>
    <w:rsid w:val="001B1F84"/>
    <w:rsid w:val="001B20D7"/>
    <w:rsid w:val="001B21C0"/>
    <w:rsid w:val="001B2402"/>
    <w:rsid w:val="001B245B"/>
    <w:rsid w:val="001B2489"/>
    <w:rsid w:val="001B2599"/>
    <w:rsid w:val="001B25F7"/>
    <w:rsid w:val="001B2797"/>
    <w:rsid w:val="001B27B0"/>
    <w:rsid w:val="001B2953"/>
    <w:rsid w:val="001B2A11"/>
    <w:rsid w:val="001B2A95"/>
    <w:rsid w:val="001B2ADC"/>
    <w:rsid w:val="001B2B51"/>
    <w:rsid w:val="001B2C1D"/>
    <w:rsid w:val="001B2C87"/>
    <w:rsid w:val="001B2CBB"/>
    <w:rsid w:val="001B2D18"/>
    <w:rsid w:val="001B2EC9"/>
    <w:rsid w:val="001B2EE7"/>
    <w:rsid w:val="001B3071"/>
    <w:rsid w:val="001B31C8"/>
    <w:rsid w:val="001B31DA"/>
    <w:rsid w:val="001B321F"/>
    <w:rsid w:val="001B3262"/>
    <w:rsid w:val="001B3347"/>
    <w:rsid w:val="001B3477"/>
    <w:rsid w:val="001B347A"/>
    <w:rsid w:val="001B3573"/>
    <w:rsid w:val="001B36FA"/>
    <w:rsid w:val="001B3737"/>
    <w:rsid w:val="001B38C8"/>
    <w:rsid w:val="001B38D1"/>
    <w:rsid w:val="001B38F5"/>
    <w:rsid w:val="001B393E"/>
    <w:rsid w:val="001B3A48"/>
    <w:rsid w:val="001B3BEF"/>
    <w:rsid w:val="001B3DB4"/>
    <w:rsid w:val="001B3EA3"/>
    <w:rsid w:val="001B3EB9"/>
    <w:rsid w:val="001B40A7"/>
    <w:rsid w:val="001B4191"/>
    <w:rsid w:val="001B41ED"/>
    <w:rsid w:val="001B4211"/>
    <w:rsid w:val="001B427D"/>
    <w:rsid w:val="001B429D"/>
    <w:rsid w:val="001B4307"/>
    <w:rsid w:val="001B433B"/>
    <w:rsid w:val="001B4375"/>
    <w:rsid w:val="001B445B"/>
    <w:rsid w:val="001B44D8"/>
    <w:rsid w:val="001B44F2"/>
    <w:rsid w:val="001B452C"/>
    <w:rsid w:val="001B45BF"/>
    <w:rsid w:val="001B45CC"/>
    <w:rsid w:val="001B465C"/>
    <w:rsid w:val="001B469B"/>
    <w:rsid w:val="001B46A0"/>
    <w:rsid w:val="001B46DA"/>
    <w:rsid w:val="001B46EF"/>
    <w:rsid w:val="001B48D2"/>
    <w:rsid w:val="001B4A2B"/>
    <w:rsid w:val="001B4A3D"/>
    <w:rsid w:val="001B4A3E"/>
    <w:rsid w:val="001B4B52"/>
    <w:rsid w:val="001B4C22"/>
    <w:rsid w:val="001B4C43"/>
    <w:rsid w:val="001B4C7A"/>
    <w:rsid w:val="001B4CC5"/>
    <w:rsid w:val="001B4DA9"/>
    <w:rsid w:val="001B4DF0"/>
    <w:rsid w:val="001B4F21"/>
    <w:rsid w:val="001B4F2D"/>
    <w:rsid w:val="001B5040"/>
    <w:rsid w:val="001B504A"/>
    <w:rsid w:val="001B50DD"/>
    <w:rsid w:val="001B5133"/>
    <w:rsid w:val="001B5164"/>
    <w:rsid w:val="001B5199"/>
    <w:rsid w:val="001B51AB"/>
    <w:rsid w:val="001B52B9"/>
    <w:rsid w:val="001B52E0"/>
    <w:rsid w:val="001B533E"/>
    <w:rsid w:val="001B5358"/>
    <w:rsid w:val="001B53EA"/>
    <w:rsid w:val="001B5430"/>
    <w:rsid w:val="001B5457"/>
    <w:rsid w:val="001B55A8"/>
    <w:rsid w:val="001B563D"/>
    <w:rsid w:val="001B57B9"/>
    <w:rsid w:val="001B59A9"/>
    <w:rsid w:val="001B5A07"/>
    <w:rsid w:val="001B5B28"/>
    <w:rsid w:val="001B5C24"/>
    <w:rsid w:val="001B5C4F"/>
    <w:rsid w:val="001B5CD5"/>
    <w:rsid w:val="001B5CE9"/>
    <w:rsid w:val="001B5D9E"/>
    <w:rsid w:val="001B5E9D"/>
    <w:rsid w:val="001B5EC1"/>
    <w:rsid w:val="001B5F6F"/>
    <w:rsid w:val="001B5FC1"/>
    <w:rsid w:val="001B6011"/>
    <w:rsid w:val="001B6028"/>
    <w:rsid w:val="001B6114"/>
    <w:rsid w:val="001B6174"/>
    <w:rsid w:val="001B61EF"/>
    <w:rsid w:val="001B6201"/>
    <w:rsid w:val="001B621A"/>
    <w:rsid w:val="001B623F"/>
    <w:rsid w:val="001B6389"/>
    <w:rsid w:val="001B6391"/>
    <w:rsid w:val="001B64AB"/>
    <w:rsid w:val="001B663F"/>
    <w:rsid w:val="001B669F"/>
    <w:rsid w:val="001B66E8"/>
    <w:rsid w:val="001B6748"/>
    <w:rsid w:val="001B6749"/>
    <w:rsid w:val="001B67EA"/>
    <w:rsid w:val="001B67EE"/>
    <w:rsid w:val="001B695C"/>
    <w:rsid w:val="001B6B8E"/>
    <w:rsid w:val="001B6C4A"/>
    <w:rsid w:val="001B6D39"/>
    <w:rsid w:val="001B6E27"/>
    <w:rsid w:val="001B6E82"/>
    <w:rsid w:val="001B6F4D"/>
    <w:rsid w:val="001B6F9F"/>
    <w:rsid w:val="001B6FF7"/>
    <w:rsid w:val="001B70FA"/>
    <w:rsid w:val="001B72A4"/>
    <w:rsid w:val="001B73AA"/>
    <w:rsid w:val="001B73F4"/>
    <w:rsid w:val="001B746D"/>
    <w:rsid w:val="001B7530"/>
    <w:rsid w:val="001B754F"/>
    <w:rsid w:val="001B756D"/>
    <w:rsid w:val="001B764E"/>
    <w:rsid w:val="001B78A6"/>
    <w:rsid w:val="001B798F"/>
    <w:rsid w:val="001B79FD"/>
    <w:rsid w:val="001B7BDC"/>
    <w:rsid w:val="001B7C6C"/>
    <w:rsid w:val="001B7C96"/>
    <w:rsid w:val="001B7CD3"/>
    <w:rsid w:val="001B7CD5"/>
    <w:rsid w:val="001B7EFB"/>
    <w:rsid w:val="001B7FFB"/>
    <w:rsid w:val="001C0239"/>
    <w:rsid w:val="001C027B"/>
    <w:rsid w:val="001C02A3"/>
    <w:rsid w:val="001C02B6"/>
    <w:rsid w:val="001C033B"/>
    <w:rsid w:val="001C03E0"/>
    <w:rsid w:val="001C045E"/>
    <w:rsid w:val="001C046A"/>
    <w:rsid w:val="001C0500"/>
    <w:rsid w:val="001C0552"/>
    <w:rsid w:val="001C05B8"/>
    <w:rsid w:val="001C05C8"/>
    <w:rsid w:val="001C0624"/>
    <w:rsid w:val="001C06D8"/>
    <w:rsid w:val="001C0727"/>
    <w:rsid w:val="001C0740"/>
    <w:rsid w:val="001C08E3"/>
    <w:rsid w:val="001C08FD"/>
    <w:rsid w:val="001C09E6"/>
    <w:rsid w:val="001C0A73"/>
    <w:rsid w:val="001C0AAF"/>
    <w:rsid w:val="001C0AC2"/>
    <w:rsid w:val="001C0AC7"/>
    <w:rsid w:val="001C0BDD"/>
    <w:rsid w:val="001C0BF3"/>
    <w:rsid w:val="001C0C31"/>
    <w:rsid w:val="001C0C32"/>
    <w:rsid w:val="001C0D57"/>
    <w:rsid w:val="001C0ED8"/>
    <w:rsid w:val="001C0EE2"/>
    <w:rsid w:val="001C0F2B"/>
    <w:rsid w:val="001C0F61"/>
    <w:rsid w:val="001C0F94"/>
    <w:rsid w:val="001C1094"/>
    <w:rsid w:val="001C10B1"/>
    <w:rsid w:val="001C10BF"/>
    <w:rsid w:val="001C1134"/>
    <w:rsid w:val="001C1165"/>
    <w:rsid w:val="001C1273"/>
    <w:rsid w:val="001C12F0"/>
    <w:rsid w:val="001C14B2"/>
    <w:rsid w:val="001C14E6"/>
    <w:rsid w:val="001C15D3"/>
    <w:rsid w:val="001C1644"/>
    <w:rsid w:val="001C165C"/>
    <w:rsid w:val="001C16A5"/>
    <w:rsid w:val="001C1941"/>
    <w:rsid w:val="001C19E2"/>
    <w:rsid w:val="001C19EF"/>
    <w:rsid w:val="001C1A4C"/>
    <w:rsid w:val="001C1A97"/>
    <w:rsid w:val="001C1AFF"/>
    <w:rsid w:val="001C1B1F"/>
    <w:rsid w:val="001C1B21"/>
    <w:rsid w:val="001C1BA8"/>
    <w:rsid w:val="001C1C99"/>
    <w:rsid w:val="001C1E23"/>
    <w:rsid w:val="001C1E71"/>
    <w:rsid w:val="001C1F98"/>
    <w:rsid w:val="001C2024"/>
    <w:rsid w:val="001C20D1"/>
    <w:rsid w:val="001C20DE"/>
    <w:rsid w:val="001C216D"/>
    <w:rsid w:val="001C21C6"/>
    <w:rsid w:val="001C229D"/>
    <w:rsid w:val="001C2435"/>
    <w:rsid w:val="001C2476"/>
    <w:rsid w:val="001C24AD"/>
    <w:rsid w:val="001C2509"/>
    <w:rsid w:val="001C25E2"/>
    <w:rsid w:val="001C2606"/>
    <w:rsid w:val="001C26D4"/>
    <w:rsid w:val="001C272C"/>
    <w:rsid w:val="001C27BD"/>
    <w:rsid w:val="001C2875"/>
    <w:rsid w:val="001C293C"/>
    <w:rsid w:val="001C2965"/>
    <w:rsid w:val="001C29C7"/>
    <w:rsid w:val="001C2B10"/>
    <w:rsid w:val="001C2CAD"/>
    <w:rsid w:val="001C2DB3"/>
    <w:rsid w:val="001C2E85"/>
    <w:rsid w:val="001C2F48"/>
    <w:rsid w:val="001C30E7"/>
    <w:rsid w:val="001C3147"/>
    <w:rsid w:val="001C3187"/>
    <w:rsid w:val="001C3207"/>
    <w:rsid w:val="001C325C"/>
    <w:rsid w:val="001C32EB"/>
    <w:rsid w:val="001C333C"/>
    <w:rsid w:val="001C334D"/>
    <w:rsid w:val="001C34BD"/>
    <w:rsid w:val="001C352D"/>
    <w:rsid w:val="001C37B0"/>
    <w:rsid w:val="001C3814"/>
    <w:rsid w:val="001C381B"/>
    <w:rsid w:val="001C3878"/>
    <w:rsid w:val="001C38D8"/>
    <w:rsid w:val="001C38E5"/>
    <w:rsid w:val="001C38FC"/>
    <w:rsid w:val="001C3ADE"/>
    <w:rsid w:val="001C3AF2"/>
    <w:rsid w:val="001C3C18"/>
    <w:rsid w:val="001C3CAA"/>
    <w:rsid w:val="001C3D9A"/>
    <w:rsid w:val="001C3E07"/>
    <w:rsid w:val="001C3E4A"/>
    <w:rsid w:val="001C3EBB"/>
    <w:rsid w:val="001C3FC7"/>
    <w:rsid w:val="001C408E"/>
    <w:rsid w:val="001C4162"/>
    <w:rsid w:val="001C425A"/>
    <w:rsid w:val="001C4267"/>
    <w:rsid w:val="001C42FF"/>
    <w:rsid w:val="001C45AD"/>
    <w:rsid w:val="001C46DC"/>
    <w:rsid w:val="001C473F"/>
    <w:rsid w:val="001C4741"/>
    <w:rsid w:val="001C47EC"/>
    <w:rsid w:val="001C4842"/>
    <w:rsid w:val="001C4934"/>
    <w:rsid w:val="001C4993"/>
    <w:rsid w:val="001C49EF"/>
    <w:rsid w:val="001C4A5D"/>
    <w:rsid w:val="001C4BBE"/>
    <w:rsid w:val="001C4D32"/>
    <w:rsid w:val="001C4D7E"/>
    <w:rsid w:val="001C4D8E"/>
    <w:rsid w:val="001C4E37"/>
    <w:rsid w:val="001C4E4A"/>
    <w:rsid w:val="001C4EAC"/>
    <w:rsid w:val="001C4ED9"/>
    <w:rsid w:val="001C4EE0"/>
    <w:rsid w:val="001C4F5A"/>
    <w:rsid w:val="001C5140"/>
    <w:rsid w:val="001C5150"/>
    <w:rsid w:val="001C517D"/>
    <w:rsid w:val="001C5271"/>
    <w:rsid w:val="001C530B"/>
    <w:rsid w:val="001C5532"/>
    <w:rsid w:val="001C558B"/>
    <w:rsid w:val="001C55DF"/>
    <w:rsid w:val="001C5661"/>
    <w:rsid w:val="001C57F0"/>
    <w:rsid w:val="001C58E3"/>
    <w:rsid w:val="001C5A06"/>
    <w:rsid w:val="001C5A5F"/>
    <w:rsid w:val="001C5B57"/>
    <w:rsid w:val="001C5BA7"/>
    <w:rsid w:val="001C5C70"/>
    <w:rsid w:val="001C5C84"/>
    <w:rsid w:val="001C5D11"/>
    <w:rsid w:val="001C5D83"/>
    <w:rsid w:val="001C5E38"/>
    <w:rsid w:val="001C5FB8"/>
    <w:rsid w:val="001C60E6"/>
    <w:rsid w:val="001C6382"/>
    <w:rsid w:val="001C640D"/>
    <w:rsid w:val="001C647C"/>
    <w:rsid w:val="001C6504"/>
    <w:rsid w:val="001C656C"/>
    <w:rsid w:val="001C65F0"/>
    <w:rsid w:val="001C6745"/>
    <w:rsid w:val="001C6747"/>
    <w:rsid w:val="001C6757"/>
    <w:rsid w:val="001C67FA"/>
    <w:rsid w:val="001C68F4"/>
    <w:rsid w:val="001C69AC"/>
    <w:rsid w:val="001C69DE"/>
    <w:rsid w:val="001C6BE8"/>
    <w:rsid w:val="001C6C84"/>
    <w:rsid w:val="001C6E16"/>
    <w:rsid w:val="001C6E48"/>
    <w:rsid w:val="001C6F39"/>
    <w:rsid w:val="001C7077"/>
    <w:rsid w:val="001C7126"/>
    <w:rsid w:val="001C71C9"/>
    <w:rsid w:val="001C71E0"/>
    <w:rsid w:val="001C7291"/>
    <w:rsid w:val="001C7365"/>
    <w:rsid w:val="001C737A"/>
    <w:rsid w:val="001C749C"/>
    <w:rsid w:val="001C758C"/>
    <w:rsid w:val="001C766A"/>
    <w:rsid w:val="001C76EE"/>
    <w:rsid w:val="001C77C9"/>
    <w:rsid w:val="001C77CF"/>
    <w:rsid w:val="001C77FB"/>
    <w:rsid w:val="001C79D3"/>
    <w:rsid w:val="001C7B7F"/>
    <w:rsid w:val="001C7C34"/>
    <w:rsid w:val="001C7C6A"/>
    <w:rsid w:val="001C7D55"/>
    <w:rsid w:val="001C7D82"/>
    <w:rsid w:val="001C7D83"/>
    <w:rsid w:val="001C7DE3"/>
    <w:rsid w:val="001D0029"/>
    <w:rsid w:val="001D00FC"/>
    <w:rsid w:val="001D013C"/>
    <w:rsid w:val="001D0307"/>
    <w:rsid w:val="001D0330"/>
    <w:rsid w:val="001D064A"/>
    <w:rsid w:val="001D06AF"/>
    <w:rsid w:val="001D072B"/>
    <w:rsid w:val="001D07C2"/>
    <w:rsid w:val="001D0978"/>
    <w:rsid w:val="001D0983"/>
    <w:rsid w:val="001D0B0C"/>
    <w:rsid w:val="001D0B3D"/>
    <w:rsid w:val="001D0B5A"/>
    <w:rsid w:val="001D0B63"/>
    <w:rsid w:val="001D0BA3"/>
    <w:rsid w:val="001D0BA6"/>
    <w:rsid w:val="001D0BEF"/>
    <w:rsid w:val="001D0C66"/>
    <w:rsid w:val="001D0CD5"/>
    <w:rsid w:val="001D0E93"/>
    <w:rsid w:val="001D0EAF"/>
    <w:rsid w:val="001D0F46"/>
    <w:rsid w:val="001D0F61"/>
    <w:rsid w:val="001D0F84"/>
    <w:rsid w:val="001D1063"/>
    <w:rsid w:val="001D117B"/>
    <w:rsid w:val="001D11E0"/>
    <w:rsid w:val="001D11E4"/>
    <w:rsid w:val="001D12FF"/>
    <w:rsid w:val="001D1376"/>
    <w:rsid w:val="001D1433"/>
    <w:rsid w:val="001D144D"/>
    <w:rsid w:val="001D144E"/>
    <w:rsid w:val="001D144F"/>
    <w:rsid w:val="001D149F"/>
    <w:rsid w:val="001D1519"/>
    <w:rsid w:val="001D1577"/>
    <w:rsid w:val="001D15B8"/>
    <w:rsid w:val="001D1659"/>
    <w:rsid w:val="001D17ED"/>
    <w:rsid w:val="001D1821"/>
    <w:rsid w:val="001D182F"/>
    <w:rsid w:val="001D1850"/>
    <w:rsid w:val="001D1ACD"/>
    <w:rsid w:val="001D1BB3"/>
    <w:rsid w:val="001D1BFB"/>
    <w:rsid w:val="001D1F87"/>
    <w:rsid w:val="001D2043"/>
    <w:rsid w:val="001D20CB"/>
    <w:rsid w:val="001D216A"/>
    <w:rsid w:val="001D236D"/>
    <w:rsid w:val="001D2380"/>
    <w:rsid w:val="001D2400"/>
    <w:rsid w:val="001D241F"/>
    <w:rsid w:val="001D2479"/>
    <w:rsid w:val="001D2483"/>
    <w:rsid w:val="001D24BA"/>
    <w:rsid w:val="001D25DF"/>
    <w:rsid w:val="001D27F3"/>
    <w:rsid w:val="001D2879"/>
    <w:rsid w:val="001D2888"/>
    <w:rsid w:val="001D2998"/>
    <w:rsid w:val="001D2A68"/>
    <w:rsid w:val="001D2B4F"/>
    <w:rsid w:val="001D2C13"/>
    <w:rsid w:val="001D2C4E"/>
    <w:rsid w:val="001D2CE4"/>
    <w:rsid w:val="001D2D35"/>
    <w:rsid w:val="001D2D59"/>
    <w:rsid w:val="001D2DED"/>
    <w:rsid w:val="001D2F5D"/>
    <w:rsid w:val="001D2F81"/>
    <w:rsid w:val="001D30C8"/>
    <w:rsid w:val="001D30D9"/>
    <w:rsid w:val="001D310D"/>
    <w:rsid w:val="001D31C5"/>
    <w:rsid w:val="001D31CC"/>
    <w:rsid w:val="001D332F"/>
    <w:rsid w:val="001D3400"/>
    <w:rsid w:val="001D3420"/>
    <w:rsid w:val="001D3430"/>
    <w:rsid w:val="001D3564"/>
    <w:rsid w:val="001D3583"/>
    <w:rsid w:val="001D361F"/>
    <w:rsid w:val="001D3656"/>
    <w:rsid w:val="001D372D"/>
    <w:rsid w:val="001D3849"/>
    <w:rsid w:val="001D3862"/>
    <w:rsid w:val="001D38A7"/>
    <w:rsid w:val="001D3A80"/>
    <w:rsid w:val="001D3B3B"/>
    <w:rsid w:val="001D3B96"/>
    <w:rsid w:val="001D3BB8"/>
    <w:rsid w:val="001D3CCF"/>
    <w:rsid w:val="001D3E15"/>
    <w:rsid w:val="001D3F50"/>
    <w:rsid w:val="001D3FF4"/>
    <w:rsid w:val="001D40DD"/>
    <w:rsid w:val="001D42A3"/>
    <w:rsid w:val="001D42F1"/>
    <w:rsid w:val="001D43A9"/>
    <w:rsid w:val="001D443E"/>
    <w:rsid w:val="001D4455"/>
    <w:rsid w:val="001D44C0"/>
    <w:rsid w:val="001D44C7"/>
    <w:rsid w:val="001D44CC"/>
    <w:rsid w:val="001D451B"/>
    <w:rsid w:val="001D4531"/>
    <w:rsid w:val="001D4558"/>
    <w:rsid w:val="001D45DE"/>
    <w:rsid w:val="001D46F1"/>
    <w:rsid w:val="001D471D"/>
    <w:rsid w:val="001D4875"/>
    <w:rsid w:val="001D4894"/>
    <w:rsid w:val="001D489A"/>
    <w:rsid w:val="001D48C9"/>
    <w:rsid w:val="001D490E"/>
    <w:rsid w:val="001D4BC4"/>
    <w:rsid w:val="001D4CBC"/>
    <w:rsid w:val="001D5026"/>
    <w:rsid w:val="001D50C2"/>
    <w:rsid w:val="001D50E3"/>
    <w:rsid w:val="001D512F"/>
    <w:rsid w:val="001D515B"/>
    <w:rsid w:val="001D515E"/>
    <w:rsid w:val="001D523D"/>
    <w:rsid w:val="001D52B4"/>
    <w:rsid w:val="001D5396"/>
    <w:rsid w:val="001D54A1"/>
    <w:rsid w:val="001D5718"/>
    <w:rsid w:val="001D575E"/>
    <w:rsid w:val="001D57DA"/>
    <w:rsid w:val="001D5889"/>
    <w:rsid w:val="001D58B4"/>
    <w:rsid w:val="001D5925"/>
    <w:rsid w:val="001D595B"/>
    <w:rsid w:val="001D5AF8"/>
    <w:rsid w:val="001D5C08"/>
    <w:rsid w:val="001D5CF4"/>
    <w:rsid w:val="001D5E02"/>
    <w:rsid w:val="001D5F15"/>
    <w:rsid w:val="001D5F5F"/>
    <w:rsid w:val="001D5FA4"/>
    <w:rsid w:val="001D6001"/>
    <w:rsid w:val="001D6006"/>
    <w:rsid w:val="001D61FC"/>
    <w:rsid w:val="001D6275"/>
    <w:rsid w:val="001D6525"/>
    <w:rsid w:val="001D6531"/>
    <w:rsid w:val="001D656C"/>
    <w:rsid w:val="001D65B1"/>
    <w:rsid w:val="001D666B"/>
    <w:rsid w:val="001D66C7"/>
    <w:rsid w:val="001D6735"/>
    <w:rsid w:val="001D678D"/>
    <w:rsid w:val="001D6974"/>
    <w:rsid w:val="001D6992"/>
    <w:rsid w:val="001D699B"/>
    <w:rsid w:val="001D6ABF"/>
    <w:rsid w:val="001D6AC5"/>
    <w:rsid w:val="001D6B66"/>
    <w:rsid w:val="001D6C2F"/>
    <w:rsid w:val="001D6C82"/>
    <w:rsid w:val="001D6D37"/>
    <w:rsid w:val="001D6EE2"/>
    <w:rsid w:val="001D6F20"/>
    <w:rsid w:val="001D6F2A"/>
    <w:rsid w:val="001D6F8C"/>
    <w:rsid w:val="001D7077"/>
    <w:rsid w:val="001D7110"/>
    <w:rsid w:val="001D7217"/>
    <w:rsid w:val="001D726E"/>
    <w:rsid w:val="001D732F"/>
    <w:rsid w:val="001D739F"/>
    <w:rsid w:val="001D745A"/>
    <w:rsid w:val="001D7533"/>
    <w:rsid w:val="001D75C8"/>
    <w:rsid w:val="001D75E7"/>
    <w:rsid w:val="001D762B"/>
    <w:rsid w:val="001D7658"/>
    <w:rsid w:val="001D767F"/>
    <w:rsid w:val="001D77CB"/>
    <w:rsid w:val="001D780E"/>
    <w:rsid w:val="001D782C"/>
    <w:rsid w:val="001D7842"/>
    <w:rsid w:val="001D7873"/>
    <w:rsid w:val="001D78E2"/>
    <w:rsid w:val="001D7A67"/>
    <w:rsid w:val="001D7B8F"/>
    <w:rsid w:val="001D7BA2"/>
    <w:rsid w:val="001D7BF3"/>
    <w:rsid w:val="001D7CA7"/>
    <w:rsid w:val="001D7D36"/>
    <w:rsid w:val="001E0006"/>
    <w:rsid w:val="001E004D"/>
    <w:rsid w:val="001E008D"/>
    <w:rsid w:val="001E010B"/>
    <w:rsid w:val="001E013F"/>
    <w:rsid w:val="001E0202"/>
    <w:rsid w:val="001E0299"/>
    <w:rsid w:val="001E0422"/>
    <w:rsid w:val="001E0429"/>
    <w:rsid w:val="001E0489"/>
    <w:rsid w:val="001E048F"/>
    <w:rsid w:val="001E0554"/>
    <w:rsid w:val="001E0558"/>
    <w:rsid w:val="001E0647"/>
    <w:rsid w:val="001E0688"/>
    <w:rsid w:val="001E06C4"/>
    <w:rsid w:val="001E07B7"/>
    <w:rsid w:val="001E07DC"/>
    <w:rsid w:val="001E0871"/>
    <w:rsid w:val="001E0913"/>
    <w:rsid w:val="001E095A"/>
    <w:rsid w:val="001E0976"/>
    <w:rsid w:val="001E097D"/>
    <w:rsid w:val="001E0A25"/>
    <w:rsid w:val="001E0B5A"/>
    <w:rsid w:val="001E0B69"/>
    <w:rsid w:val="001E0B8A"/>
    <w:rsid w:val="001E0C32"/>
    <w:rsid w:val="001E0EA8"/>
    <w:rsid w:val="001E0FBE"/>
    <w:rsid w:val="001E1008"/>
    <w:rsid w:val="001E109F"/>
    <w:rsid w:val="001E10CF"/>
    <w:rsid w:val="001E10DB"/>
    <w:rsid w:val="001E10E5"/>
    <w:rsid w:val="001E114A"/>
    <w:rsid w:val="001E1261"/>
    <w:rsid w:val="001E1274"/>
    <w:rsid w:val="001E128C"/>
    <w:rsid w:val="001E1294"/>
    <w:rsid w:val="001E13C4"/>
    <w:rsid w:val="001E14C5"/>
    <w:rsid w:val="001E154D"/>
    <w:rsid w:val="001E163E"/>
    <w:rsid w:val="001E1720"/>
    <w:rsid w:val="001E179F"/>
    <w:rsid w:val="001E18A9"/>
    <w:rsid w:val="001E18B1"/>
    <w:rsid w:val="001E1929"/>
    <w:rsid w:val="001E1B74"/>
    <w:rsid w:val="001E1CB9"/>
    <w:rsid w:val="001E1CE2"/>
    <w:rsid w:val="001E1D15"/>
    <w:rsid w:val="001E1D59"/>
    <w:rsid w:val="001E1D62"/>
    <w:rsid w:val="001E1DE2"/>
    <w:rsid w:val="001E1E8F"/>
    <w:rsid w:val="001E1F8C"/>
    <w:rsid w:val="001E1FD0"/>
    <w:rsid w:val="001E1FFF"/>
    <w:rsid w:val="001E2006"/>
    <w:rsid w:val="001E208F"/>
    <w:rsid w:val="001E2174"/>
    <w:rsid w:val="001E21DE"/>
    <w:rsid w:val="001E22C3"/>
    <w:rsid w:val="001E232A"/>
    <w:rsid w:val="001E238F"/>
    <w:rsid w:val="001E2479"/>
    <w:rsid w:val="001E2482"/>
    <w:rsid w:val="001E25F9"/>
    <w:rsid w:val="001E2667"/>
    <w:rsid w:val="001E2699"/>
    <w:rsid w:val="001E26D5"/>
    <w:rsid w:val="001E272F"/>
    <w:rsid w:val="001E2800"/>
    <w:rsid w:val="001E283A"/>
    <w:rsid w:val="001E2852"/>
    <w:rsid w:val="001E295E"/>
    <w:rsid w:val="001E2984"/>
    <w:rsid w:val="001E29BC"/>
    <w:rsid w:val="001E29E6"/>
    <w:rsid w:val="001E29F5"/>
    <w:rsid w:val="001E2A64"/>
    <w:rsid w:val="001E2A6C"/>
    <w:rsid w:val="001E2B42"/>
    <w:rsid w:val="001E2C34"/>
    <w:rsid w:val="001E2C37"/>
    <w:rsid w:val="001E2D0F"/>
    <w:rsid w:val="001E2D33"/>
    <w:rsid w:val="001E2D5A"/>
    <w:rsid w:val="001E2D99"/>
    <w:rsid w:val="001E2DB5"/>
    <w:rsid w:val="001E2F84"/>
    <w:rsid w:val="001E32E3"/>
    <w:rsid w:val="001E34AA"/>
    <w:rsid w:val="001E3511"/>
    <w:rsid w:val="001E3559"/>
    <w:rsid w:val="001E358A"/>
    <w:rsid w:val="001E35D7"/>
    <w:rsid w:val="001E3603"/>
    <w:rsid w:val="001E36AF"/>
    <w:rsid w:val="001E3732"/>
    <w:rsid w:val="001E3785"/>
    <w:rsid w:val="001E3788"/>
    <w:rsid w:val="001E37BB"/>
    <w:rsid w:val="001E38B1"/>
    <w:rsid w:val="001E38CE"/>
    <w:rsid w:val="001E390B"/>
    <w:rsid w:val="001E3A68"/>
    <w:rsid w:val="001E3BEC"/>
    <w:rsid w:val="001E3C43"/>
    <w:rsid w:val="001E3C56"/>
    <w:rsid w:val="001E3D55"/>
    <w:rsid w:val="001E3DDA"/>
    <w:rsid w:val="001E3E43"/>
    <w:rsid w:val="001E3FBB"/>
    <w:rsid w:val="001E403C"/>
    <w:rsid w:val="001E4041"/>
    <w:rsid w:val="001E405D"/>
    <w:rsid w:val="001E407B"/>
    <w:rsid w:val="001E4088"/>
    <w:rsid w:val="001E417F"/>
    <w:rsid w:val="001E41DE"/>
    <w:rsid w:val="001E41E0"/>
    <w:rsid w:val="001E42E5"/>
    <w:rsid w:val="001E431C"/>
    <w:rsid w:val="001E4375"/>
    <w:rsid w:val="001E450C"/>
    <w:rsid w:val="001E462B"/>
    <w:rsid w:val="001E46B6"/>
    <w:rsid w:val="001E4717"/>
    <w:rsid w:val="001E4743"/>
    <w:rsid w:val="001E482D"/>
    <w:rsid w:val="001E4949"/>
    <w:rsid w:val="001E499E"/>
    <w:rsid w:val="001E49A9"/>
    <w:rsid w:val="001E4B14"/>
    <w:rsid w:val="001E4B58"/>
    <w:rsid w:val="001E4C2D"/>
    <w:rsid w:val="001E4C70"/>
    <w:rsid w:val="001E4D1D"/>
    <w:rsid w:val="001E4D6F"/>
    <w:rsid w:val="001E4F02"/>
    <w:rsid w:val="001E4FCB"/>
    <w:rsid w:val="001E4FEB"/>
    <w:rsid w:val="001E50C0"/>
    <w:rsid w:val="001E5112"/>
    <w:rsid w:val="001E512A"/>
    <w:rsid w:val="001E519C"/>
    <w:rsid w:val="001E5216"/>
    <w:rsid w:val="001E524A"/>
    <w:rsid w:val="001E5319"/>
    <w:rsid w:val="001E533D"/>
    <w:rsid w:val="001E5458"/>
    <w:rsid w:val="001E545A"/>
    <w:rsid w:val="001E5472"/>
    <w:rsid w:val="001E54CB"/>
    <w:rsid w:val="001E5509"/>
    <w:rsid w:val="001E5596"/>
    <w:rsid w:val="001E560F"/>
    <w:rsid w:val="001E563A"/>
    <w:rsid w:val="001E5677"/>
    <w:rsid w:val="001E5715"/>
    <w:rsid w:val="001E577F"/>
    <w:rsid w:val="001E57A8"/>
    <w:rsid w:val="001E57C0"/>
    <w:rsid w:val="001E589D"/>
    <w:rsid w:val="001E5912"/>
    <w:rsid w:val="001E5985"/>
    <w:rsid w:val="001E5A8B"/>
    <w:rsid w:val="001E5B8F"/>
    <w:rsid w:val="001E5BA1"/>
    <w:rsid w:val="001E5BDE"/>
    <w:rsid w:val="001E5C1E"/>
    <w:rsid w:val="001E5C68"/>
    <w:rsid w:val="001E5C8A"/>
    <w:rsid w:val="001E5E15"/>
    <w:rsid w:val="001E5EDD"/>
    <w:rsid w:val="001E601C"/>
    <w:rsid w:val="001E6084"/>
    <w:rsid w:val="001E6089"/>
    <w:rsid w:val="001E611E"/>
    <w:rsid w:val="001E6177"/>
    <w:rsid w:val="001E632A"/>
    <w:rsid w:val="001E6394"/>
    <w:rsid w:val="001E6413"/>
    <w:rsid w:val="001E6526"/>
    <w:rsid w:val="001E6536"/>
    <w:rsid w:val="001E6636"/>
    <w:rsid w:val="001E6686"/>
    <w:rsid w:val="001E67B2"/>
    <w:rsid w:val="001E6857"/>
    <w:rsid w:val="001E68CA"/>
    <w:rsid w:val="001E68FE"/>
    <w:rsid w:val="001E691E"/>
    <w:rsid w:val="001E6963"/>
    <w:rsid w:val="001E6A3C"/>
    <w:rsid w:val="001E6A4E"/>
    <w:rsid w:val="001E6A76"/>
    <w:rsid w:val="001E6C48"/>
    <w:rsid w:val="001E6DD8"/>
    <w:rsid w:val="001E6E06"/>
    <w:rsid w:val="001E6EF3"/>
    <w:rsid w:val="001E6F1F"/>
    <w:rsid w:val="001E6FBD"/>
    <w:rsid w:val="001E6FCD"/>
    <w:rsid w:val="001E6FE4"/>
    <w:rsid w:val="001E6FE6"/>
    <w:rsid w:val="001E725C"/>
    <w:rsid w:val="001E7270"/>
    <w:rsid w:val="001E73CD"/>
    <w:rsid w:val="001E74A7"/>
    <w:rsid w:val="001E756E"/>
    <w:rsid w:val="001E76EF"/>
    <w:rsid w:val="001E7771"/>
    <w:rsid w:val="001E77AF"/>
    <w:rsid w:val="001E7871"/>
    <w:rsid w:val="001E78FD"/>
    <w:rsid w:val="001E795D"/>
    <w:rsid w:val="001E7A3E"/>
    <w:rsid w:val="001E7AE8"/>
    <w:rsid w:val="001E7B14"/>
    <w:rsid w:val="001E7B7C"/>
    <w:rsid w:val="001E7BD6"/>
    <w:rsid w:val="001E7BE0"/>
    <w:rsid w:val="001E7D66"/>
    <w:rsid w:val="001E7D9C"/>
    <w:rsid w:val="001E7ED7"/>
    <w:rsid w:val="001E7F1D"/>
    <w:rsid w:val="001E7F6F"/>
    <w:rsid w:val="001E7FD6"/>
    <w:rsid w:val="001F0024"/>
    <w:rsid w:val="001F0233"/>
    <w:rsid w:val="001F024E"/>
    <w:rsid w:val="001F0274"/>
    <w:rsid w:val="001F0278"/>
    <w:rsid w:val="001F02FC"/>
    <w:rsid w:val="001F0341"/>
    <w:rsid w:val="001F03AE"/>
    <w:rsid w:val="001F05B1"/>
    <w:rsid w:val="001F05D5"/>
    <w:rsid w:val="001F063D"/>
    <w:rsid w:val="001F07B5"/>
    <w:rsid w:val="001F08D3"/>
    <w:rsid w:val="001F0913"/>
    <w:rsid w:val="001F091D"/>
    <w:rsid w:val="001F0A15"/>
    <w:rsid w:val="001F0A2F"/>
    <w:rsid w:val="001F0A5F"/>
    <w:rsid w:val="001F0AA5"/>
    <w:rsid w:val="001F0AE5"/>
    <w:rsid w:val="001F0C1A"/>
    <w:rsid w:val="001F0D20"/>
    <w:rsid w:val="001F0EAD"/>
    <w:rsid w:val="001F0F16"/>
    <w:rsid w:val="001F0F9D"/>
    <w:rsid w:val="001F0FEB"/>
    <w:rsid w:val="001F1255"/>
    <w:rsid w:val="001F12FA"/>
    <w:rsid w:val="001F1305"/>
    <w:rsid w:val="001F1366"/>
    <w:rsid w:val="001F14C9"/>
    <w:rsid w:val="001F14F1"/>
    <w:rsid w:val="001F15A0"/>
    <w:rsid w:val="001F15B9"/>
    <w:rsid w:val="001F15CF"/>
    <w:rsid w:val="001F1680"/>
    <w:rsid w:val="001F16F3"/>
    <w:rsid w:val="001F1754"/>
    <w:rsid w:val="001F17FB"/>
    <w:rsid w:val="001F187F"/>
    <w:rsid w:val="001F1941"/>
    <w:rsid w:val="001F19D7"/>
    <w:rsid w:val="001F1A3D"/>
    <w:rsid w:val="001F1A4C"/>
    <w:rsid w:val="001F1AE5"/>
    <w:rsid w:val="001F1B4E"/>
    <w:rsid w:val="001F1C23"/>
    <w:rsid w:val="001F1C87"/>
    <w:rsid w:val="001F1D08"/>
    <w:rsid w:val="001F1DB8"/>
    <w:rsid w:val="001F1E5A"/>
    <w:rsid w:val="001F1EE2"/>
    <w:rsid w:val="001F1F28"/>
    <w:rsid w:val="001F20EC"/>
    <w:rsid w:val="001F2170"/>
    <w:rsid w:val="001F2312"/>
    <w:rsid w:val="001F24A8"/>
    <w:rsid w:val="001F24F3"/>
    <w:rsid w:val="001F2509"/>
    <w:rsid w:val="001F26B2"/>
    <w:rsid w:val="001F2740"/>
    <w:rsid w:val="001F296F"/>
    <w:rsid w:val="001F29D8"/>
    <w:rsid w:val="001F2B23"/>
    <w:rsid w:val="001F2BE0"/>
    <w:rsid w:val="001F2CD7"/>
    <w:rsid w:val="001F2D3A"/>
    <w:rsid w:val="001F2D4C"/>
    <w:rsid w:val="001F2E5B"/>
    <w:rsid w:val="001F2EE5"/>
    <w:rsid w:val="001F2F85"/>
    <w:rsid w:val="001F2FD9"/>
    <w:rsid w:val="001F3164"/>
    <w:rsid w:val="001F320B"/>
    <w:rsid w:val="001F3267"/>
    <w:rsid w:val="001F3288"/>
    <w:rsid w:val="001F32A8"/>
    <w:rsid w:val="001F34A6"/>
    <w:rsid w:val="001F359C"/>
    <w:rsid w:val="001F37C8"/>
    <w:rsid w:val="001F37FF"/>
    <w:rsid w:val="001F38AF"/>
    <w:rsid w:val="001F3915"/>
    <w:rsid w:val="001F39EB"/>
    <w:rsid w:val="001F3ACC"/>
    <w:rsid w:val="001F3BD1"/>
    <w:rsid w:val="001F3C5A"/>
    <w:rsid w:val="001F3CD5"/>
    <w:rsid w:val="001F3D41"/>
    <w:rsid w:val="001F3D58"/>
    <w:rsid w:val="001F3F11"/>
    <w:rsid w:val="001F3F81"/>
    <w:rsid w:val="001F4008"/>
    <w:rsid w:val="001F40A7"/>
    <w:rsid w:val="001F40F7"/>
    <w:rsid w:val="001F420E"/>
    <w:rsid w:val="001F443C"/>
    <w:rsid w:val="001F44DB"/>
    <w:rsid w:val="001F463D"/>
    <w:rsid w:val="001F4805"/>
    <w:rsid w:val="001F485F"/>
    <w:rsid w:val="001F490D"/>
    <w:rsid w:val="001F496F"/>
    <w:rsid w:val="001F4982"/>
    <w:rsid w:val="001F49D3"/>
    <w:rsid w:val="001F4A06"/>
    <w:rsid w:val="001F4A2C"/>
    <w:rsid w:val="001F4ACE"/>
    <w:rsid w:val="001F4B42"/>
    <w:rsid w:val="001F4B77"/>
    <w:rsid w:val="001F4C3C"/>
    <w:rsid w:val="001F4CB6"/>
    <w:rsid w:val="001F4D1B"/>
    <w:rsid w:val="001F4D7A"/>
    <w:rsid w:val="001F4E31"/>
    <w:rsid w:val="001F4E69"/>
    <w:rsid w:val="001F4E72"/>
    <w:rsid w:val="001F4E95"/>
    <w:rsid w:val="001F4F6A"/>
    <w:rsid w:val="001F4FEF"/>
    <w:rsid w:val="001F50D6"/>
    <w:rsid w:val="001F513E"/>
    <w:rsid w:val="001F520A"/>
    <w:rsid w:val="001F528E"/>
    <w:rsid w:val="001F532C"/>
    <w:rsid w:val="001F5345"/>
    <w:rsid w:val="001F5355"/>
    <w:rsid w:val="001F53D7"/>
    <w:rsid w:val="001F53EB"/>
    <w:rsid w:val="001F5445"/>
    <w:rsid w:val="001F5466"/>
    <w:rsid w:val="001F54C2"/>
    <w:rsid w:val="001F5505"/>
    <w:rsid w:val="001F551A"/>
    <w:rsid w:val="001F5696"/>
    <w:rsid w:val="001F56A2"/>
    <w:rsid w:val="001F56F4"/>
    <w:rsid w:val="001F578F"/>
    <w:rsid w:val="001F57D2"/>
    <w:rsid w:val="001F5939"/>
    <w:rsid w:val="001F5A77"/>
    <w:rsid w:val="001F5A87"/>
    <w:rsid w:val="001F5AF0"/>
    <w:rsid w:val="001F5B24"/>
    <w:rsid w:val="001F5B72"/>
    <w:rsid w:val="001F5C57"/>
    <w:rsid w:val="001F5E67"/>
    <w:rsid w:val="001F5FE1"/>
    <w:rsid w:val="001F607D"/>
    <w:rsid w:val="001F60C4"/>
    <w:rsid w:val="001F611B"/>
    <w:rsid w:val="001F6174"/>
    <w:rsid w:val="001F62C9"/>
    <w:rsid w:val="001F6324"/>
    <w:rsid w:val="001F6387"/>
    <w:rsid w:val="001F660A"/>
    <w:rsid w:val="001F661F"/>
    <w:rsid w:val="001F6628"/>
    <w:rsid w:val="001F66A6"/>
    <w:rsid w:val="001F66BB"/>
    <w:rsid w:val="001F6742"/>
    <w:rsid w:val="001F688C"/>
    <w:rsid w:val="001F69A7"/>
    <w:rsid w:val="001F69C6"/>
    <w:rsid w:val="001F6AA9"/>
    <w:rsid w:val="001F6B17"/>
    <w:rsid w:val="001F6BA5"/>
    <w:rsid w:val="001F6BA7"/>
    <w:rsid w:val="001F6CC0"/>
    <w:rsid w:val="001F6CE7"/>
    <w:rsid w:val="001F6D81"/>
    <w:rsid w:val="001F6F53"/>
    <w:rsid w:val="001F6F77"/>
    <w:rsid w:val="001F6FDE"/>
    <w:rsid w:val="001F7081"/>
    <w:rsid w:val="001F70B6"/>
    <w:rsid w:val="001F7103"/>
    <w:rsid w:val="001F711C"/>
    <w:rsid w:val="001F71EB"/>
    <w:rsid w:val="001F7229"/>
    <w:rsid w:val="001F7279"/>
    <w:rsid w:val="001F7317"/>
    <w:rsid w:val="001F7338"/>
    <w:rsid w:val="001F73A2"/>
    <w:rsid w:val="001F7464"/>
    <w:rsid w:val="001F7517"/>
    <w:rsid w:val="001F7588"/>
    <w:rsid w:val="001F758D"/>
    <w:rsid w:val="001F76CD"/>
    <w:rsid w:val="001F7718"/>
    <w:rsid w:val="001F7814"/>
    <w:rsid w:val="001F78D0"/>
    <w:rsid w:val="001F7959"/>
    <w:rsid w:val="001F7A04"/>
    <w:rsid w:val="001F7AFE"/>
    <w:rsid w:val="001F7B05"/>
    <w:rsid w:val="001F7B6E"/>
    <w:rsid w:val="001F7CAB"/>
    <w:rsid w:val="001F7D47"/>
    <w:rsid w:val="001F7D75"/>
    <w:rsid w:val="001F7E1A"/>
    <w:rsid w:val="001F7E97"/>
    <w:rsid w:val="001F7EC3"/>
    <w:rsid w:val="001F7EE9"/>
    <w:rsid w:val="001F7F24"/>
    <w:rsid w:val="001F7F6F"/>
    <w:rsid w:val="001F7F70"/>
    <w:rsid w:val="001F7F9C"/>
    <w:rsid w:val="00200053"/>
    <w:rsid w:val="0020007E"/>
    <w:rsid w:val="0020017D"/>
    <w:rsid w:val="00200228"/>
    <w:rsid w:val="002002ED"/>
    <w:rsid w:val="002003A8"/>
    <w:rsid w:val="00200422"/>
    <w:rsid w:val="00200491"/>
    <w:rsid w:val="0020055D"/>
    <w:rsid w:val="00200667"/>
    <w:rsid w:val="00200676"/>
    <w:rsid w:val="00200762"/>
    <w:rsid w:val="002007A1"/>
    <w:rsid w:val="002007E2"/>
    <w:rsid w:val="002007E8"/>
    <w:rsid w:val="0020084E"/>
    <w:rsid w:val="00200975"/>
    <w:rsid w:val="002009BC"/>
    <w:rsid w:val="002009D0"/>
    <w:rsid w:val="002009F1"/>
    <w:rsid w:val="00200A8E"/>
    <w:rsid w:val="00200B23"/>
    <w:rsid w:val="00200B65"/>
    <w:rsid w:val="00200C81"/>
    <w:rsid w:val="00200C9A"/>
    <w:rsid w:val="00200CD9"/>
    <w:rsid w:val="00200CFB"/>
    <w:rsid w:val="00200D63"/>
    <w:rsid w:val="00200DC5"/>
    <w:rsid w:val="00200DEA"/>
    <w:rsid w:val="00200E23"/>
    <w:rsid w:val="00200FA3"/>
    <w:rsid w:val="00201050"/>
    <w:rsid w:val="002011A4"/>
    <w:rsid w:val="002011C8"/>
    <w:rsid w:val="0020131F"/>
    <w:rsid w:val="00201323"/>
    <w:rsid w:val="002013E5"/>
    <w:rsid w:val="002015DF"/>
    <w:rsid w:val="00201607"/>
    <w:rsid w:val="00201662"/>
    <w:rsid w:val="0020166E"/>
    <w:rsid w:val="0020182C"/>
    <w:rsid w:val="002018A5"/>
    <w:rsid w:val="0020198A"/>
    <w:rsid w:val="00201A35"/>
    <w:rsid w:val="00201A86"/>
    <w:rsid w:val="00201B6D"/>
    <w:rsid w:val="00201BB3"/>
    <w:rsid w:val="00201E1B"/>
    <w:rsid w:val="00201E2F"/>
    <w:rsid w:val="00201E6D"/>
    <w:rsid w:val="00201EB4"/>
    <w:rsid w:val="0020221A"/>
    <w:rsid w:val="00202250"/>
    <w:rsid w:val="00202252"/>
    <w:rsid w:val="00202613"/>
    <w:rsid w:val="00202653"/>
    <w:rsid w:val="00202667"/>
    <w:rsid w:val="002027B9"/>
    <w:rsid w:val="0020285F"/>
    <w:rsid w:val="0020287E"/>
    <w:rsid w:val="00202896"/>
    <w:rsid w:val="002028C7"/>
    <w:rsid w:val="00202A52"/>
    <w:rsid w:val="00202B95"/>
    <w:rsid w:val="00202CEF"/>
    <w:rsid w:val="00202D2A"/>
    <w:rsid w:val="00202D77"/>
    <w:rsid w:val="00202E88"/>
    <w:rsid w:val="00202E90"/>
    <w:rsid w:val="00202EAF"/>
    <w:rsid w:val="00202FE9"/>
    <w:rsid w:val="002030ED"/>
    <w:rsid w:val="002031E0"/>
    <w:rsid w:val="0020327B"/>
    <w:rsid w:val="0020334C"/>
    <w:rsid w:val="00203425"/>
    <w:rsid w:val="002038CD"/>
    <w:rsid w:val="00203916"/>
    <w:rsid w:val="00203930"/>
    <w:rsid w:val="00203C5C"/>
    <w:rsid w:val="00203CF2"/>
    <w:rsid w:val="00203CFA"/>
    <w:rsid w:val="00203E63"/>
    <w:rsid w:val="00203E92"/>
    <w:rsid w:val="00203ED0"/>
    <w:rsid w:val="00203F03"/>
    <w:rsid w:val="00204060"/>
    <w:rsid w:val="00204080"/>
    <w:rsid w:val="002040A8"/>
    <w:rsid w:val="002040B4"/>
    <w:rsid w:val="0020412B"/>
    <w:rsid w:val="002041D5"/>
    <w:rsid w:val="002043B4"/>
    <w:rsid w:val="00204528"/>
    <w:rsid w:val="0020452B"/>
    <w:rsid w:val="00204584"/>
    <w:rsid w:val="002046FE"/>
    <w:rsid w:val="00204722"/>
    <w:rsid w:val="0020477E"/>
    <w:rsid w:val="002047E5"/>
    <w:rsid w:val="00204801"/>
    <w:rsid w:val="00204819"/>
    <w:rsid w:val="002048C9"/>
    <w:rsid w:val="0020496D"/>
    <w:rsid w:val="00204CDE"/>
    <w:rsid w:val="00204D0A"/>
    <w:rsid w:val="00204DB3"/>
    <w:rsid w:val="00204DDB"/>
    <w:rsid w:val="00204E44"/>
    <w:rsid w:val="00204E5A"/>
    <w:rsid w:val="00204ECB"/>
    <w:rsid w:val="00204EFB"/>
    <w:rsid w:val="00204F4F"/>
    <w:rsid w:val="00204F5A"/>
    <w:rsid w:val="00204FD4"/>
    <w:rsid w:val="00205012"/>
    <w:rsid w:val="002051F5"/>
    <w:rsid w:val="002052EA"/>
    <w:rsid w:val="0020556A"/>
    <w:rsid w:val="00205681"/>
    <w:rsid w:val="00205789"/>
    <w:rsid w:val="00205823"/>
    <w:rsid w:val="00205838"/>
    <w:rsid w:val="0020586B"/>
    <w:rsid w:val="00205995"/>
    <w:rsid w:val="002059D3"/>
    <w:rsid w:val="00205A5B"/>
    <w:rsid w:val="00205B41"/>
    <w:rsid w:val="00205B5E"/>
    <w:rsid w:val="00205BAD"/>
    <w:rsid w:val="00205C67"/>
    <w:rsid w:val="00205D81"/>
    <w:rsid w:val="00205E57"/>
    <w:rsid w:val="00205F36"/>
    <w:rsid w:val="002060D2"/>
    <w:rsid w:val="002060D6"/>
    <w:rsid w:val="0020617F"/>
    <w:rsid w:val="002063EB"/>
    <w:rsid w:val="00206479"/>
    <w:rsid w:val="002064A1"/>
    <w:rsid w:val="00206518"/>
    <w:rsid w:val="00206607"/>
    <w:rsid w:val="00206647"/>
    <w:rsid w:val="002066F6"/>
    <w:rsid w:val="00206715"/>
    <w:rsid w:val="00206873"/>
    <w:rsid w:val="002069FE"/>
    <w:rsid w:val="00206AE2"/>
    <w:rsid w:val="00206B51"/>
    <w:rsid w:val="00206BF0"/>
    <w:rsid w:val="00206DA1"/>
    <w:rsid w:val="00206E24"/>
    <w:rsid w:val="00206ECD"/>
    <w:rsid w:val="00206F60"/>
    <w:rsid w:val="002070A5"/>
    <w:rsid w:val="002070B6"/>
    <w:rsid w:val="002070BE"/>
    <w:rsid w:val="0020715A"/>
    <w:rsid w:val="002072FA"/>
    <w:rsid w:val="00207303"/>
    <w:rsid w:val="00207365"/>
    <w:rsid w:val="002073F0"/>
    <w:rsid w:val="00207402"/>
    <w:rsid w:val="00207492"/>
    <w:rsid w:val="002076EE"/>
    <w:rsid w:val="00207729"/>
    <w:rsid w:val="00207744"/>
    <w:rsid w:val="00207849"/>
    <w:rsid w:val="00207862"/>
    <w:rsid w:val="002078A0"/>
    <w:rsid w:val="00207E2C"/>
    <w:rsid w:val="00207EBE"/>
    <w:rsid w:val="00210025"/>
    <w:rsid w:val="0021004D"/>
    <w:rsid w:val="00210064"/>
    <w:rsid w:val="0021018F"/>
    <w:rsid w:val="002101D5"/>
    <w:rsid w:val="002101E8"/>
    <w:rsid w:val="00210259"/>
    <w:rsid w:val="0021030D"/>
    <w:rsid w:val="00210330"/>
    <w:rsid w:val="00210378"/>
    <w:rsid w:val="0021038C"/>
    <w:rsid w:val="0021040E"/>
    <w:rsid w:val="00210454"/>
    <w:rsid w:val="002104DA"/>
    <w:rsid w:val="0021053D"/>
    <w:rsid w:val="00210575"/>
    <w:rsid w:val="00210578"/>
    <w:rsid w:val="002107F4"/>
    <w:rsid w:val="002108D2"/>
    <w:rsid w:val="00210980"/>
    <w:rsid w:val="00210C4B"/>
    <w:rsid w:val="00210C5E"/>
    <w:rsid w:val="00210DA3"/>
    <w:rsid w:val="00210DD2"/>
    <w:rsid w:val="00210E8F"/>
    <w:rsid w:val="00210F7C"/>
    <w:rsid w:val="00210FE5"/>
    <w:rsid w:val="0021102F"/>
    <w:rsid w:val="0021103E"/>
    <w:rsid w:val="0021109C"/>
    <w:rsid w:val="002110D5"/>
    <w:rsid w:val="00211126"/>
    <w:rsid w:val="002111D6"/>
    <w:rsid w:val="00211280"/>
    <w:rsid w:val="002112FC"/>
    <w:rsid w:val="0021134B"/>
    <w:rsid w:val="00211423"/>
    <w:rsid w:val="0021165D"/>
    <w:rsid w:val="002118DC"/>
    <w:rsid w:val="00211926"/>
    <w:rsid w:val="00211A2F"/>
    <w:rsid w:val="00211ACF"/>
    <w:rsid w:val="00211B72"/>
    <w:rsid w:val="00211B88"/>
    <w:rsid w:val="00211C9A"/>
    <w:rsid w:val="00211EB6"/>
    <w:rsid w:val="00211F2A"/>
    <w:rsid w:val="00211F6E"/>
    <w:rsid w:val="00211F7E"/>
    <w:rsid w:val="00211FF7"/>
    <w:rsid w:val="002120DD"/>
    <w:rsid w:val="0021212D"/>
    <w:rsid w:val="002122CC"/>
    <w:rsid w:val="002123C1"/>
    <w:rsid w:val="00212408"/>
    <w:rsid w:val="002124A9"/>
    <w:rsid w:val="002125DF"/>
    <w:rsid w:val="00212621"/>
    <w:rsid w:val="0021267A"/>
    <w:rsid w:val="00212744"/>
    <w:rsid w:val="00212779"/>
    <w:rsid w:val="00212792"/>
    <w:rsid w:val="0021284B"/>
    <w:rsid w:val="00212899"/>
    <w:rsid w:val="00212981"/>
    <w:rsid w:val="00212A51"/>
    <w:rsid w:val="00212AB0"/>
    <w:rsid w:val="00212B04"/>
    <w:rsid w:val="00212C58"/>
    <w:rsid w:val="00212D0E"/>
    <w:rsid w:val="00212D12"/>
    <w:rsid w:val="00212D5A"/>
    <w:rsid w:val="00212F9D"/>
    <w:rsid w:val="00213060"/>
    <w:rsid w:val="00213094"/>
    <w:rsid w:val="00213275"/>
    <w:rsid w:val="002132B7"/>
    <w:rsid w:val="002132B9"/>
    <w:rsid w:val="0021335A"/>
    <w:rsid w:val="00213526"/>
    <w:rsid w:val="0021356D"/>
    <w:rsid w:val="002135C5"/>
    <w:rsid w:val="002137CF"/>
    <w:rsid w:val="002137E7"/>
    <w:rsid w:val="00213877"/>
    <w:rsid w:val="00213ADB"/>
    <w:rsid w:val="00213AEF"/>
    <w:rsid w:val="00213B51"/>
    <w:rsid w:val="00213D50"/>
    <w:rsid w:val="00213DC6"/>
    <w:rsid w:val="00213E96"/>
    <w:rsid w:val="00214156"/>
    <w:rsid w:val="00214168"/>
    <w:rsid w:val="002141FF"/>
    <w:rsid w:val="0021423E"/>
    <w:rsid w:val="00214241"/>
    <w:rsid w:val="00214287"/>
    <w:rsid w:val="00214345"/>
    <w:rsid w:val="00214362"/>
    <w:rsid w:val="002143F9"/>
    <w:rsid w:val="002146D7"/>
    <w:rsid w:val="002146E8"/>
    <w:rsid w:val="00214738"/>
    <w:rsid w:val="00214744"/>
    <w:rsid w:val="00214785"/>
    <w:rsid w:val="002147C2"/>
    <w:rsid w:val="002147E5"/>
    <w:rsid w:val="00214817"/>
    <w:rsid w:val="00214892"/>
    <w:rsid w:val="002148E0"/>
    <w:rsid w:val="00214A9F"/>
    <w:rsid w:val="00214BCF"/>
    <w:rsid w:val="00214BD2"/>
    <w:rsid w:val="00214C31"/>
    <w:rsid w:val="00214C39"/>
    <w:rsid w:val="00214CFC"/>
    <w:rsid w:val="00214D49"/>
    <w:rsid w:val="00214E17"/>
    <w:rsid w:val="0021502A"/>
    <w:rsid w:val="0021513B"/>
    <w:rsid w:val="00215158"/>
    <w:rsid w:val="00215195"/>
    <w:rsid w:val="002151A7"/>
    <w:rsid w:val="002151DB"/>
    <w:rsid w:val="0021527C"/>
    <w:rsid w:val="00215286"/>
    <w:rsid w:val="0021544A"/>
    <w:rsid w:val="0021558C"/>
    <w:rsid w:val="00215618"/>
    <w:rsid w:val="002156ED"/>
    <w:rsid w:val="002157A2"/>
    <w:rsid w:val="00215813"/>
    <w:rsid w:val="00215815"/>
    <w:rsid w:val="002159A4"/>
    <w:rsid w:val="002159F9"/>
    <w:rsid w:val="00215A88"/>
    <w:rsid w:val="00215B1F"/>
    <w:rsid w:val="00215B4A"/>
    <w:rsid w:val="00215C43"/>
    <w:rsid w:val="00215DE9"/>
    <w:rsid w:val="00215E5F"/>
    <w:rsid w:val="00215EA4"/>
    <w:rsid w:val="00215F19"/>
    <w:rsid w:val="0021604B"/>
    <w:rsid w:val="00216060"/>
    <w:rsid w:val="0021607C"/>
    <w:rsid w:val="00216134"/>
    <w:rsid w:val="002162A6"/>
    <w:rsid w:val="002162B5"/>
    <w:rsid w:val="002162F1"/>
    <w:rsid w:val="00216318"/>
    <w:rsid w:val="00216328"/>
    <w:rsid w:val="00216393"/>
    <w:rsid w:val="00216484"/>
    <w:rsid w:val="0021659B"/>
    <w:rsid w:val="0021659E"/>
    <w:rsid w:val="0021662C"/>
    <w:rsid w:val="002166D2"/>
    <w:rsid w:val="00216770"/>
    <w:rsid w:val="002167CD"/>
    <w:rsid w:val="002168C8"/>
    <w:rsid w:val="002168E3"/>
    <w:rsid w:val="00216971"/>
    <w:rsid w:val="00216BBC"/>
    <w:rsid w:val="00216D5F"/>
    <w:rsid w:val="00216D67"/>
    <w:rsid w:val="00216D8B"/>
    <w:rsid w:val="00216D9D"/>
    <w:rsid w:val="00216DE6"/>
    <w:rsid w:val="00216E68"/>
    <w:rsid w:val="00217136"/>
    <w:rsid w:val="00217145"/>
    <w:rsid w:val="0021716E"/>
    <w:rsid w:val="002171C8"/>
    <w:rsid w:val="002172BB"/>
    <w:rsid w:val="002172C3"/>
    <w:rsid w:val="00217346"/>
    <w:rsid w:val="00217419"/>
    <w:rsid w:val="002174D0"/>
    <w:rsid w:val="002174D1"/>
    <w:rsid w:val="0021754A"/>
    <w:rsid w:val="00217691"/>
    <w:rsid w:val="00217876"/>
    <w:rsid w:val="002179D4"/>
    <w:rsid w:val="00217AEC"/>
    <w:rsid w:val="00217B20"/>
    <w:rsid w:val="00217B2D"/>
    <w:rsid w:val="00217C2E"/>
    <w:rsid w:val="00217CF9"/>
    <w:rsid w:val="00217D33"/>
    <w:rsid w:val="00217DCA"/>
    <w:rsid w:val="00217DF9"/>
    <w:rsid w:val="00217F31"/>
    <w:rsid w:val="00217F9A"/>
    <w:rsid w:val="00217FFD"/>
    <w:rsid w:val="0022000B"/>
    <w:rsid w:val="00220107"/>
    <w:rsid w:val="002201AC"/>
    <w:rsid w:val="002202B2"/>
    <w:rsid w:val="002205E5"/>
    <w:rsid w:val="002206B4"/>
    <w:rsid w:val="002206E2"/>
    <w:rsid w:val="0022090D"/>
    <w:rsid w:val="002209DE"/>
    <w:rsid w:val="00220A15"/>
    <w:rsid w:val="00220C0E"/>
    <w:rsid w:val="00220E1B"/>
    <w:rsid w:val="00220E1D"/>
    <w:rsid w:val="00220E91"/>
    <w:rsid w:val="00220EFF"/>
    <w:rsid w:val="00221083"/>
    <w:rsid w:val="00221103"/>
    <w:rsid w:val="002211C3"/>
    <w:rsid w:val="00221227"/>
    <w:rsid w:val="002212F8"/>
    <w:rsid w:val="00221322"/>
    <w:rsid w:val="0022134E"/>
    <w:rsid w:val="002213DF"/>
    <w:rsid w:val="00221545"/>
    <w:rsid w:val="0022156D"/>
    <w:rsid w:val="00221608"/>
    <w:rsid w:val="002216F6"/>
    <w:rsid w:val="002217F0"/>
    <w:rsid w:val="00221801"/>
    <w:rsid w:val="00221829"/>
    <w:rsid w:val="00221888"/>
    <w:rsid w:val="00221942"/>
    <w:rsid w:val="00221984"/>
    <w:rsid w:val="00221996"/>
    <w:rsid w:val="00221A9F"/>
    <w:rsid w:val="00221AEB"/>
    <w:rsid w:val="00221AEC"/>
    <w:rsid w:val="00221AFD"/>
    <w:rsid w:val="00221B1B"/>
    <w:rsid w:val="00221BB4"/>
    <w:rsid w:val="00221C44"/>
    <w:rsid w:val="00221D28"/>
    <w:rsid w:val="00221D3D"/>
    <w:rsid w:val="00221D72"/>
    <w:rsid w:val="00221E8B"/>
    <w:rsid w:val="00221EDE"/>
    <w:rsid w:val="00221F54"/>
    <w:rsid w:val="00221F8E"/>
    <w:rsid w:val="00221F90"/>
    <w:rsid w:val="00221FE9"/>
    <w:rsid w:val="00222065"/>
    <w:rsid w:val="0022207D"/>
    <w:rsid w:val="002221CF"/>
    <w:rsid w:val="00222200"/>
    <w:rsid w:val="002222D6"/>
    <w:rsid w:val="0022237D"/>
    <w:rsid w:val="002223A9"/>
    <w:rsid w:val="002223B3"/>
    <w:rsid w:val="002223DC"/>
    <w:rsid w:val="002224EC"/>
    <w:rsid w:val="002225B2"/>
    <w:rsid w:val="002225EC"/>
    <w:rsid w:val="00222606"/>
    <w:rsid w:val="002226A7"/>
    <w:rsid w:val="002226CF"/>
    <w:rsid w:val="0022273D"/>
    <w:rsid w:val="00222741"/>
    <w:rsid w:val="0022282D"/>
    <w:rsid w:val="0022283E"/>
    <w:rsid w:val="00222877"/>
    <w:rsid w:val="002228CD"/>
    <w:rsid w:val="0022293C"/>
    <w:rsid w:val="00222978"/>
    <w:rsid w:val="00222C54"/>
    <w:rsid w:val="00222CE4"/>
    <w:rsid w:val="00222D0A"/>
    <w:rsid w:val="00222D81"/>
    <w:rsid w:val="00222DBC"/>
    <w:rsid w:val="00222E8B"/>
    <w:rsid w:val="00222EB4"/>
    <w:rsid w:val="00222F21"/>
    <w:rsid w:val="00222FF7"/>
    <w:rsid w:val="00223017"/>
    <w:rsid w:val="0022306E"/>
    <w:rsid w:val="0022311B"/>
    <w:rsid w:val="0022315D"/>
    <w:rsid w:val="00223269"/>
    <w:rsid w:val="0022336A"/>
    <w:rsid w:val="002233CE"/>
    <w:rsid w:val="002233D9"/>
    <w:rsid w:val="00223455"/>
    <w:rsid w:val="002235BD"/>
    <w:rsid w:val="002235D8"/>
    <w:rsid w:val="002235E0"/>
    <w:rsid w:val="00223631"/>
    <w:rsid w:val="0022366C"/>
    <w:rsid w:val="0022368E"/>
    <w:rsid w:val="002236AE"/>
    <w:rsid w:val="00223787"/>
    <w:rsid w:val="00223788"/>
    <w:rsid w:val="00223794"/>
    <w:rsid w:val="002237E6"/>
    <w:rsid w:val="002237F7"/>
    <w:rsid w:val="002238EB"/>
    <w:rsid w:val="002239D9"/>
    <w:rsid w:val="002239DC"/>
    <w:rsid w:val="00223CAE"/>
    <w:rsid w:val="00223CFA"/>
    <w:rsid w:val="00223D3B"/>
    <w:rsid w:val="00223D5C"/>
    <w:rsid w:val="00223DA7"/>
    <w:rsid w:val="00223F1D"/>
    <w:rsid w:val="00223F87"/>
    <w:rsid w:val="00224014"/>
    <w:rsid w:val="00224148"/>
    <w:rsid w:val="00224295"/>
    <w:rsid w:val="002242C6"/>
    <w:rsid w:val="00224432"/>
    <w:rsid w:val="002244B0"/>
    <w:rsid w:val="002244C9"/>
    <w:rsid w:val="0022452D"/>
    <w:rsid w:val="0022461F"/>
    <w:rsid w:val="00224638"/>
    <w:rsid w:val="00224706"/>
    <w:rsid w:val="0022478C"/>
    <w:rsid w:val="002247D5"/>
    <w:rsid w:val="0022481D"/>
    <w:rsid w:val="00224A20"/>
    <w:rsid w:val="00224A45"/>
    <w:rsid w:val="00224BA8"/>
    <w:rsid w:val="00224D7F"/>
    <w:rsid w:val="00224D89"/>
    <w:rsid w:val="00224ED3"/>
    <w:rsid w:val="00224F06"/>
    <w:rsid w:val="00224F92"/>
    <w:rsid w:val="00224FB9"/>
    <w:rsid w:val="002251C4"/>
    <w:rsid w:val="002251F5"/>
    <w:rsid w:val="002252A4"/>
    <w:rsid w:val="002254EC"/>
    <w:rsid w:val="00225529"/>
    <w:rsid w:val="0022554E"/>
    <w:rsid w:val="0022555D"/>
    <w:rsid w:val="00225568"/>
    <w:rsid w:val="0022558B"/>
    <w:rsid w:val="00225770"/>
    <w:rsid w:val="00225785"/>
    <w:rsid w:val="00225974"/>
    <w:rsid w:val="002259FB"/>
    <w:rsid w:val="00225A75"/>
    <w:rsid w:val="00225A8D"/>
    <w:rsid w:val="00225B90"/>
    <w:rsid w:val="00225BC6"/>
    <w:rsid w:val="00225C14"/>
    <w:rsid w:val="00225C71"/>
    <w:rsid w:val="00225D17"/>
    <w:rsid w:val="00225ED0"/>
    <w:rsid w:val="00225F1E"/>
    <w:rsid w:val="00226056"/>
    <w:rsid w:val="00226062"/>
    <w:rsid w:val="0022613D"/>
    <w:rsid w:val="00226157"/>
    <w:rsid w:val="0022637C"/>
    <w:rsid w:val="002265D2"/>
    <w:rsid w:val="00226658"/>
    <w:rsid w:val="0022668B"/>
    <w:rsid w:val="0022678C"/>
    <w:rsid w:val="002267F1"/>
    <w:rsid w:val="0022683D"/>
    <w:rsid w:val="002268D8"/>
    <w:rsid w:val="002268DE"/>
    <w:rsid w:val="0022698D"/>
    <w:rsid w:val="00226B2F"/>
    <w:rsid w:val="00226C00"/>
    <w:rsid w:val="00226C96"/>
    <w:rsid w:val="00226CC3"/>
    <w:rsid w:val="00226D0B"/>
    <w:rsid w:val="00226D3E"/>
    <w:rsid w:val="00226D48"/>
    <w:rsid w:val="00226DCF"/>
    <w:rsid w:val="00226E54"/>
    <w:rsid w:val="00226EF1"/>
    <w:rsid w:val="002272A5"/>
    <w:rsid w:val="002272B9"/>
    <w:rsid w:val="002273B2"/>
    <w:rsid w:val="0022747B"/>
    <w:rsid w:val="00227492"/>
    <w:rsid w:val="00227636"/>
    <w:rsid w:val="0022766F"/>
    <w:rsid w:val="00227677"/>
    <w:rsid w:val="00227697"/>
    <w:rsid w:val="002276D3"/>
    <w:rsid w:val="002276E7"/>
    <w:rsid w:val="002277C7"/>
    <w:rsid w:val="002277DB"/>
    <w:rsid w:val="002277E6"/>
    <w:rsid w:val="0022787F"/>
    <w:rsid w:val="0022790C"/>
    <w:rsid w:val="00227929"/>
    <w:rsid w:val="0022794E"/>
    <w:rsid w:val="00227A3A"/>
    <w:rsid w:val="00227B53"/>
    <w:rsid w:val="00227C7C"/>
    <w:rsid w:val="00227CF6"/>
    <w:rsid w:val="00227D7D"/>
    <w:rsid w:val="00227E15"/>
    <w:rsid w:val="00227E4A"/>
    <w:rsid w:val="00227E55"/>
    <w:rsid w:val="00227EE6"/>
    <w:rsid w:val="00227F39"/>
    <w:rsid w:val="002301AF"/>
    <w:rsid w:val="00230294"/>
    <w:rsid w:val="002302CF"/>
    <w:rsid w:val="002303CB"/>
    <w:rsid w:val="002304ED"/>
    <w:rsid w:val="002305D4"/>
    <w:rsid w:val="002305FD"/>
    <w:rsid w:val="002306A9"/>
    <w:rsid w:val="00230713"/>
    <w:rsid w:val="002307C4"/>
    <w:rsid w:val="002309C4"/>
    <w:rsid w:val="00230A5F"/>
    <w:rsid w:val="00230BBA"/>
    <w:rsid w:val="00230BCB"/>
    <w:rsid w:val="00230BF3"/>
    <w:rsid w:val="00230C82"/>
    <w:rsid w:val="00230CAC"/>
    <w:rsid w:val="00230D6A"/>
    <w:rsid w:val="00230FE6"/>
    <w:rsid w:val="0023107D"/>
    <w:rsid w:val="0023110E"/>
    <w:rsid w:val="002311BE"/>
    <w:rsid w:val="002312AD"/>
    <w:rsid w:val="0023134A"/>
    <w:rsid w:val="00231444"/>
    <w:rsid w:val="0023147F"/>
    <w:rsid w:val="00231547"/>
    <w:rsid w:val="00231577"/>
    <w:rsid w:val="00231599"/>
    <w:rsid w:val="00231607"/>
    <w:rsid w:val="0023178D"/>
    <w:rsid w:val="002318F1"/>
    <w:rsid w:val="0023191A"/>
    <w:rsid w:val="00231ACB"/>
    <w:rsid w:val="00231B11"/>
    <w:rsid w:val="00231DD4"/>
    <w:rsid w:val="00231F16"/>
    <w:rsid w:val="00231FB3"/>
    <w:rsid w:val="002320FB"/>
    <w:rsid w:val="00232148"/>
    <w:rsid w:val="002321C3"/>
    <w:rsid w:val="002321C9"/>
    <w:rsid w:val="002321DB"/>
    <w:rsid w:val="0023225E"/>
    <w:rsid w:val="0023230E"/>
    <w:rsid w:val="00232314"/>
    <w:rsid w:val="002323B4"/>
    <w:rsid w:val="002323E1"/>
    <w:rsid w:val="0023251A"/>
    <w:rsid w:val="002325E2"/>
    <w:rsid w:val="002326B4"/>
    <w:rsid w:val="002328A6"/>
    <w:rsid w:val="00232971"/>
    <w:rsid w:val="00232AF3"/>
    <w:rsid w:val="00232AFA"/>
    <w:rsid w:val="00232AFD"/>
    <w:rsid w:val="00232D2F"/>
    <w:rsid w:val="00232D36"/>
    <w:rsid w:val="00232DDA"/>
    <w:rsid w:val="00232E56"/>
    <w:rsid w:val="00232FC9"/>
    <w:rsid w:val="0023310A"/>
    <w:rsid w:val="002332C4"/>
    <w:rsid w:val="002333AB"/>
    <w:rsid w:val="0023347C"/>
    <w:rsid w:val="002334B9"/>
    <w:rsid w:val="002334F0"/>
    <w:rsid w:val="00233694"/>
    <w:rsid w:val="002336C8"/>
    <w:rsid w:val="00233A81"/>
    <w:rsid w:val="00233BA7"/>
    <w:rsid w:val="00233E19"/>
    <w:rsid w:val="00233E37"/>
    <w:rsid w:val="00233E88"/>
    <w:rsid w:val="00233FAA"/>
    <w:rsid w:val="00234018"/>
    <w:rsid w:val="00234226"/>
    <w:rsid w:val="00234249"/>
    <w:rsid w:val="00234264"/>
    <w:rsid w:val="002342EB"/>
    <w:rsid w:val="00234361"/>
    <w:rsid w:val="00234530"/>
    <w:rsid w:val="00234676"/>
    <w:rsid w:val="002347E2"/>
    <w:rsid w:val="00234835"/>
    <w:rsid w:val="00234B1D"/>
    <w:rsid w:val="00234B42"/>
    <w:rsid w:val="00234CE7"/>
    <w:rsid w:val="00234CFD"/>
    <w:rsid w:val="00234D71"/>
    <w:rsid w:val="00235099"/>
    <w:rsid w:val="00235205"/>
    <w:rsid w:val="00235227"/>
    <w:rsid w:val="00235233"/>
    <w:rsid w:val="00235355"/>
    <w:rsid w:val="0023536C"/>
    <w:rsid w:val="002353CA"/>
    <w:rsid w:val="002353D5"/>
    <w:rsid w:val="00235405"/>
    <w:rsid w:val="0023558A"/>
    <w:rsid w:val="00235662"/>
    <w:rsid w:val="00235866"/>
    <w:rsid w:val="00235A20"/>
    <w:rsid w:val="00235AB1"/>
    <w:rsid w:val="00235AB2"/>
    <w:rsid w:val="00235B01"/>
    <w:rsid w:val="00235B60"/>
    <w:rsid w:val="00235BAF"/>
    <w:rsid w:val="00235C88"/>
    <w:rsid w:val="00235D59"/>
    <w:rsid w:val="00235D7B"/>
    <w:rsid w:val="00235EFE"/>
    <w:rsid w:val="00235FAA"/>
    <w:rsid w:val="00235FCF"/>
    <w:rsid w:val="00235FE2"/>
    <w:rsid w:val="002360C8"/>
    <w:rsid w:val="002360F1"/>
    <w:rsid w:val="0023622D"/>
    <w:rsid w:val="00236261"/>
    <w:rsid w:val="00236386"/>
    <w:rsid w:val="002363CB"/>
    <w:rsid w:val="0023644B"/>
    <w:rsid w:val="0023647C"/>
    <w:rsid w:val="002364EC"/>
    <w:rsid w:val="002366ED"/>
    <w:rsid w:val="00236724"/>
    <w:rsid w:val="00236727"/>
    <w:rsid w:val="002367DA"/>
    <w:rsid w:val="00236866"/>
    <w:rsid w:val="0023688C"/>
    <w:rsid w:val="00236A8A"/>
    <w:rsid w:val="00236A94"/>
    <w:rsid w:val="00236AED"/>
    <w:rsid w:val="00236E37"/>
    <w:rsid w:val="00236EA5"/>
    <w:rsid w:val="0023706A"/>
    <w:rsid w:val="00237076"/>
    <w:rsid w:val="002370DC"/>
    <w:rsid w:val="0023718D"/>
    <w:rsid w:val="002371CA"/>
    <w:rsid w:val="00237299"/>
    <w:rsid w:val="002373D4"/>
    <w:rsid w:val="0023773A"/>
    <w:rsid w:val="002377E6"/>
    <w:rsid w:val="00237813"/>
    <w:rsid w:val="00237A4A"/>
    <w:rsid w:val="00237A4C"/>
    <w:rsid w:val="00237B66"/>
    <w:rsid w:val="00237B6A"/>
    <w:rsid w:val="00237BF4"/>
    <w:rsid w:val="00237C68"/>
    <w:rsid w:val="00237D92"/>
    <w:rsid w:val="00237EFA"/>
    <w:rsid w:val="00237F50"/>
    <w:rsid w:val="00237FB4"/>
    <w:rsid w:val="00237FD9"/>
    <w:rsid w:val="0024000D"/>
    <w:rsid w:val="002400B5"/>
    <w:rsid w:val="002401A0"/>
    <w:rsid w:val="00240312"/>
    <w:rsid w:val="002403FD"/>
    <w:rsid w:val="002404C2"/>
    <w:rsid w:val="002404DE"/>
    <w:rsid w:val="0024059F"/>
    <w:rsid w:val="002405F6"/>
    <w:rsid w:val="002405FE"/>
    <w:rsid w:val="00240661"/>
    <w:rsid w:val="00240665"/>
    <w:rsid w:val="002406B5"/>
    <w:rsid w:val="0024075D"/>
    <w:rsid w:val="002408D4"/>
    <w:rsid w:val="002409A0"/>
    <w:rsid w:val="002409A8"/>
    <w:rsid w:val="002409F4"/>
    <w:rsid w:val="002409FF"/>
    <w:rsid w:val="00240A4C"/>
    <w:rsid w:val="00240AE3"/>
    <w:rsid w:val="00240C1F"/>
    <w:rsid w:val="00240C9C"/>
    <w:rsid w:val="00240DD0"/>
    <w:rsid w:val="00240E78"/>
    <w:rsid w:val="00240EBB"/>
    <w:rsid w:val="00240F70"/>
    <w:rsid w:val="00240F9F"/>
    <w:rsid w:val="002410C1"/>
    <w:rsid w:val="00241119"/>
    <w:rsid w:val="00241132"/>
    <w:rsid w:val="002411FA"/>
    <w:rsid w:val="0024122C"/>
    <w:rsid w:val="00241232"/>
    <w:rsid w:val="00241259"/>
    <w:rsid w:val="00241378"/>
    <w:rsid w:val="0024148E"/>
    <w:rsid w:val="002414D9"/>
    <w:rsid w:val="00241596"/>
    <w:rsid w:val="002416F9"/>
    <w:rsid w:val="00241840"/>
    <w:rsid w:val="002418DA"/>
    <w:rsid w:val="002418F6"/>
    <w:rsid w:val="00241B46"/>
    <w:rsid w:val="00241E65"/>
    <w:rsid w:val="00241ED9"/>
    <w:rsid w:val="00241EF4"/>
    <w:rsid w:val="00241F3E"/>
    <w:rsid w:val="00241F86"/>
    <w:rsid w:val="00241FC3"/>
    <w:rsid w:val="002420C4"/>
    <w:rsid w:val="00242158"/>
    <w:rsid w:val="00242199"/>
    <w:rsid w:val="002421C9"/>
    <w:rsid w:val="00242217"/>
    <w:rsid w:val="00242289"/>
    <w:rsid w:val="00242431"/>
    <w:rsid w:val="002424DD"/>
    <w:rsid w:val="00242521"/>
    <w:rsid w:val="002426E1"/>
    <w:rsid w:val="0024271C"/>
    <w:rsid w:val="00242786"/>
    <w:rsid w:val="002427DD"/>
    <w:rsid w:val="00242821"/>
    <w:rsid w:val="00242889"/>
    <w:rsid w:val="00242964"/>
    <w:rsid w:val="002429FF"/>
    <w:rsid w:val="00242A0C"/>
    <w:rsid w:val="00242B3E"/>
    <w:rsid w:val="00242B5F"/>
    <w:rsid w:val="00242BE9"/>
    <w:rsid w:val="00242CC1"/>
    <w:rsid w:val="00242E5D"/>
    <w:rsid w:val="00242F44"/>
    <w:rsid w:val="00242F83"/>
    <w:rsid w:val="00242FF7"/>
    <w:rsid w:val="0024301D"/>
    <w:rsid w:val="00243052"/>
    <w:rsid w:val="002430E0"/>
    <w:rsid w:val="00243104"/>
    <w:rsid w:val="00243275"/>
    <w:rsid w:val="00243347"/>
    <w:rsid w:val="00243363"/>
    <w:rsid w:val="002433FA"/>
    <w:rsid w:val="00243448"/>
    <w:rsid w:val="0024344B"/>
    <w:rsid w:val="00243488"/>
    <w:rsid w:val="00243544"/>
    <w:rsid w:val="0024396C"/>
    <w:rsid w:val="00243997"/>
    <w:rsid w:val="002439A1"/>
    <w:rsid w:val="002439D6"/>
    <w:rsid w:val="00243A46"/>
    <w:rsid w:val="00243BA7"/>
    <w:rsid w:val="00243C2C"/>
    <w:rsid w:val="00243C86"/>
    <w:rsid w:val="00243CA5"/>
    <w:rsid w:val="00243D8B"/>
    <w:rsid w:val="00243EB5"/>
    <w:rsid w:val="00243ED4"/>
    <w:rsid w:val="00244033"/>
    <w:rsid w:val="0024404A"/>
    <w:rsid w:val="00244086"/>
    <w:rsid w:val="002441C6"/>
    <w:rsid w:val="00244210"/>
    <w:rsid w:val="002442EB"/>
    <w:rsid w:val="00244333"/>
    <w:rsid w:val="0024441B"/>
    <w:rsid w:val="00244458"/>
    <w:rsid w:val="00244477"/>
    <w:rsid w:val="00244480"/>
    <w:rsid w:val="002445B5"/>
    <w:rsid w:val="002445EF"/>
    <w:rsid w:val="0024478A"/>
    <w:rsid w:val="00244815"/>
    <w:rsid w:val="00244824"/>
    <w:rsid w:val="00244B54"/>
    <w:rsid w:val="00244B6E"/>
    <w:rsid w:val="00244CDE"/>
    <w:rsid w:val="00244DBD"/>
    <w:rsid w:val="00244EBD"/>
    <w:rsid w:val="00244FA9"/>
    <w:rsid w:val="0024512D"/>
    <w:rsid w:val="00245141"/>
    <w:rsid w:val="002451CE"/>
    <w:rsid w:val="00245246"/>
    <w:rsid w:val="00245339"/>
    <w:rsid w:val="002453DB"/>
    <w:rsid w:val="002454BC"/>
    <w:rsid w:val="002454C7"/>
    <w:rsid w:val="002455A3"/>
    <w:rsid w:val="002455DF"/>
    <w:rsid w:val="00245653"/>
    <w:rsid w:val="00245746"/>
    <w:rsid w:val="00245857"/>
    <w:rsid w:val="002458E4"/>
    <w:rsid w:val="0024594A"/>
    <w:rsid w:val="00245956"/>
    <w:rsid w:val="002459F5"/>
    <w:rsid w:val="00245A17"/>
    <w:rsid w:val="00245AD6"/>
    <w:rsid w:val="00245B8C"/>
    <w:rsid w:val="00245CB6"/>
    <w:rsid w:val="00245CCB"/>
    <w:rsid w:val="00245D25"/>
    <w:rsid w:val="00245D37"/>
    <w:rsid w:val="00245F72"/>
    <w:rsid w:val="00246016"/>
    <w:rsid w:val="00246083"/>
    <w:rsid w:val="002460A3"/>
    <w:rsid w:val="002460F0"/>
    <w:rsid w:val="00246153"/>
    <w:rsid w:val="002461FC"/>
    <w:rsid w:val="002462F5"/>
    <w:rsid w:val="0024640D"/>
    <w:rsid w:val="00246472"/>
    <w:rsid w:val="0024658D"/>
    <w:rsid w:val="0024666A"/>
    <w:rsid w:val="002467B9"/>
    <w:rsid w:val="0024680D"/>
    <w:rsid w:val="0024689E"/>
    <w:rsid w:val="00246929"/>
    <w:rsid w:val="00246C30"/>
    <w:rsid w:val="00246C57"/>
    <w:rsid w:val="00246D0D"/>
    <w:rsid w:val="00246D71"/>
    <w:rsid w:val="00246D76"/>
    <w:rsid w:val="00246D8C"/>
    <w:rsid w:val="00246DC6"/>
    <w:rsid w:val="00246EB8"/>
    <w:rsid w:val="00246F0D"/>
    <w:rsid w:val="00246F88"/>
    <w:rsid w:val="00246FC6"/>
    <w:rsid w:val="00246FCD"/>
    <w:rsid w:val="00246FCF"/>
    <w:rsid w:val="00247014"/>
    <w:rsid w:val="002470FA"/>
    <w:rsid w:val="0024714A"/>
    <w:rsid w:val="002472A1"/>
    <w:rsid w:val="0024730E"/>
    <w:rsid w:val="0024744E"/>
    <w:rsid w:val="002474B7"/>
    <w:rsid w:val="002474F3"/>
    <w:rsid w:val="002476C0"/>
    <w:rsid w:val="002476DE"/>
    <w:rsid w:val="002476EE"/>
    <w:rsid w:val="0024770B"/>
    <w:rsid w:val="002477E3"/>
    <w:rsid w:val="0024780B"/>
    <w:rsid w:val="0024786A"/>
    <w:rsid w:val="00247940"/>
    <w:rsid w:val="0024798E"/>
    <w:rsid w:val="00247B09"/>
    <w:rsid w:val="00247BB4"/>
    <w:rsid w:val="00247BF6"/>
    <w:rsid w:val="00247E22"/>
    <w:rsid w:val="00247E2F"/>
    <w:rsid w:val="00247EEA"/>
    <w:rsid w:val="00247EEF"/>
    <w:rsid w:val="00250176"/>
    <w:rsid w:val="00250222"/>
    <w:rsid w:val="00250284"/>
    <w:rsid w:val="00250389"/>
    <w:rsid w:val="0025038D"/>
    <w:rsid w:val="002503AA"/>
    <w:rsid w:val="00250406"/>
    <w:rsid w:val="002504D2"/>
    <w:rsid w:val="0025054B"/>
    <w:rsid w:val="00250618"/>
    <w:rsid w:val="002506B2"/>
    <w:rsid w:val="002506D5"/>
    <w:rsid w:val="002506F7"/>
    <w:rsid w:val="00250830"/>
    <w:rsid w:val="0025086E"/>
    <w:rsid w:val="00250887"/>
    <w:rsid w:val="002509A1"/>
    <w:rsid w:val="00250B55"/>
    <w:rsid w:val="00250D2C"/>
    <w:rsid w:val="00250D31"/>
    <w:rsid w:val="00250FB9"/>
    <w:rsid w:val="00250FFC"/>
    <w:rsid w:val="00251078"/>
    <w:rsid w:val="00251079"/>
    <w:rsid w:val="0025111E"/>
    <w:rsid w:val="00251262"/>
    <w:rsid w:val="002512B7"/>
    <w:rsid w:val="002513B8"/>
    <w:rsid w:val="00251478"/>
    <w:rsid w:val="002514B0"/>
    <w:rsid w:val="002514C0"/>
    <w:rsid w:val="002514C8"/>
    <w:rsid w:val="00251589"/>
    <w:rsid w:val="002515AA"/>
    <w:rsid w:val="00251670"/>
    <w:rsid w:val="00251780"/>
    <w:rsid w:val="0025180C"/>
    <w:rsid w:val="00251881"/>
    <w:rsid w:val="00251951"/>
    <w:rsid w:val="00251966"/>
    <w:rsid w:val="00251988"/>
    <w:rsid w:val="002519C1"/>
    <w:rsid w:val="002519D2"/>
    <w:rsid w:val="002519E7"/>
    <w:rsid w:val="00251A4C"/>
    <w:rsid w:val="00251A99"/>
    <w:rsid w:val="00251B02"/>
    <w:rsid w:val="00251CDE"/>
    <w:rsid w:val="00251DE8"/>
    <w:rsid w:val="00251E09"/>
    <w:rsid w:val="00251E63"/>
    <w:rsid w:val="00251ED4"/>
    <w:rsid w:val="00251F94"/>
    <w:rsid w:val="00252032"/>
    <w:rsid w:val="00252063"/>
    <w:rsid w:val="002520E3"/>
    <w:rsid w:val="00252123"/>
    <w:rsid w:val="00252497"/>
    <w:rsid w:val="002524FA"/>
    <w:rsid w:val="00252536"/>
    <w:rsid w:val="00252582"/>
    <w:rsid w:val="002525EA"/>
    <w:rsid w:val="00252650"/>
    <w:rsid w:val="002527BB"/>
    <w:rsid w:val="0025280B"/>
    <w:rsid w:val="002528A3"/>
    <w:rsid w:val="00252958"/>
    <w:rsid w:val="00252967"/>
    <w:rsid w:val="002529AE"/>
    <w:rsid w:val="002529F8"/>
    <w:rsid w:val="00252A9E"/>
    <w:rsid w:val="00252AB5"/>
    <w:rsid w:val="00252ADE"/>
    <w:rsid w:val="00252AF1"/>
    <w:rsid w:val="00252B47"/>
    <w:rsid w:val="00252D4A"/>
    <w:rsid w:val="00252D50"/>
    <w:rsid w:val="00252D71"/>
    <w:rsid w:val="00252DE0"/>
    <w:rsid w:val="00252F58"/>
    <w:rsid w:val="00252F73"/>
    <w:rsid w:val="00252FAD"/>
    <w:rsid w:val="002530D0"/>
    <w:rsid w:val="0025310E"/>
    <w:rsid w:val="0025317C"/>
    <w:rsid w:val="00253261"/>
    <w:rsid w:val="00253293"/>
    <w:rsid w:val="0025347B"/>
    <w:rsid w:val="002535A6"/>
    <w:rsid w:val="002535CE"/>
    <w:rsid w:val="00253601"/>
    <w:rsid w:val="002536C0"/>
    <w:rsid w:val="00253709"/>
    <w:rsid w:val="0025370E"/>
    <w:rsid w:val="0025388D"/>
    <w:rsid w:val="002539A6"/>
    <w:rsid w:val="00253AB9"/>
    <w:rsid w:val="00253BE3"/>
    <w:rsid w:val="00253C58"/>
    <w:rsid w:val="00253C5D"/>
    <w:rsid w:val="00253C96"/>
    <w:rsid w:val="00253CA3"/>
    <w:rsid w:val="00253CB3"/>
    <w:rsid w:val="00253E9F"/>
    <w:rsid w:val="00253F8D"/>
    <w:rsid w:val="002540BF"/>
    <w:rsid w:val="00254144"/>
    <w:rsid w:val="00254187"/>
    <w:rsid w:val="00254198"/>
    <w:rsid w:val="002541E8"/>
    <w:rsid w:val="0025425C"/>
    <w:rsid w:val="00254321"/>
    <w:rsid w:val="002543E0"/>
    <w:rsid w:val="002543F9"/>
    <w:rsid w:val="00254567"/>
    <w:rsid w:val="002545EB"/>
    <w:rsid w:val="00254615"/>
    <w:rsid w:val="0025461D"/>
    <w:rsid w:val="0025461F"/>
    <w:rsid w:val="00254696"/>
    <w:rsid w:val="002546AD"/>
    <w:rsid w:val="002546FF"/>
    <w:rsid w:val="002548A4"/>
    <w:rsid w:val="002549D5"/>
    <w:rsid w:val="00254A00"/>
    <w:rsid w:val="00254AE8"/>
    <w:rsid w:val="00254D17"/>
    <w:rsid w:val="00254D8A"/>
    <w:rsid w:val="00254D8D"/>
    <w:rsid w:val="00254E8E"/>
    <w:rsid w:val="00254FF3"/>
    <w:rsid w:val="00255031"/>
    <w:rsid w:val="002550A6"/>
    <w:rsid w:val="0025514A"/>
    <w:rsid w:val="00255276"/>
    <w:rsid w:val="002552DF"/>
    <w:rsid w:val="00255313"/>
    <w:rsid w:val="00255331"/>
    <w:rsid w:val="00255332"/>
    <w:rsid w:val="002553EC"/>
    <w:rsid w:val="002554F8"/>
    <w:rsid w:val="00255522"/>
    <w:rsid w:val="00255691"/>
    <w:rsid w:val="00255843"/>
    <w:rsid w:val="00255904"/>
    <w:rsid w:val="0025599C"/>
    <w:rsid w:val="002559A8"/>
    <w:rsid w:val="00255A04"/>
    <w:rsid w:val="00255AAD"/>
    <w:rsid w:val="00255AB0"/>
    <w:rsid w:val="00255ABD"/>
    <w:rsid w:val="00255BB4"/>
    <w:rsid w:val="00255C97"/>
    <w:rsid w:val="00255CE2"/>
    <w:rsid w:val="00255DCB"/>
    <w:rsid w:val="00255E10"/>
    <w:rsid w:val="00255F6D"/>
    <w:rsid w:val="0025601D"/>
    <w:rsid w:val="002560C8"/>
    <w:rsid w:val="002560D1"/>
    <w:rsid w:val="002560E4"/>
    <w:rsid w:val="00256131"/>
    <w:rsid w:val="002561F8"/>
    <w:rsid w:val="0025624C"/>
    <w:rsid w:val="00256353"/>
    <w:rsid w:val="00256372"/>
    <w:rsid w:val="00256395"/>
    <w:rsid w:val="00256423"/>
    <w:rsid w:val="00256447"/>
    <w:rsid w:val="0025645F"/>
    <w:rsid w:val="00256477"/>
    <w:rsid w:val="00256488"/>
    <w:rsid w:val="00256587"/>
    <w:rsid w:val="00256592"/>
    <w:rsid w:val="0025660E"/>
    <w:rsid w:val="00256619"/>
    <w:rsid w:val="00256658"/>
    <w:rsid w:val="002567FD"/>
    <w:rsid w:val="0025685C"/>
    <w:rsid w:val="00256966"/>
    <w:rsid w:val="002569BD"/>
    <w:rsid w:val="00256A61"/>
    <w:rsid w:val="00256B01"/>
    <w:rsid w:val="00256C88"/>
    <w:rsid w:val="00256CC2"/>
    <w:rsid w:val="00256CD3"/>
    <w:rsid w:val="00256DB8"/>
    <w:rsid w:val="00256EA4"/>
    <w:rsid w:val="00256EA5"/>
    <w:rsid w:val="00256F27"/>
    <w:rsid w:val="00256F6E"/>
    <w:rsid w:val="0025706E"/>
    <w:rsid w:val="00257082"/>
    <w:rsid w:val="00257227"/>
    <w:rsid w:val="0025729B"/>
    <w:rsid w:val="002572BE"/>
    <w:rsid w:val="002572CA"/>
    <w:rsid w:val="00257329"/>
    <w:rsid w:val="002573C4"/>
    <w:rsid w:val="002574C7"/>
    <w:rsid w:val="002575BC"/>
    <w:rsid w:val="00257629"/>
    <w:rsid w:val="00257703"/>
    <w:rsid w:val="00257749"/>
    <w:rsid w:val="0025777E"/>
    <w:rsid w:val="0025779F"/>
    <w:rsid w:val="002577A1"/>
    <w:rsid w:val="002577FC"/>
    <w:rsid w:val="00257926"/>
    <w:rsid w:val="00257969"/>
    <w:rsid w:val="002579A3"/>
    <w:rsid w:val="002579A8"/>
    <w:rsid w:val="00257D3C"/>
    <w:rsid w:val="00257E9A"/>
    <w:rsid w:val="00257F1D"/>
    <w:rsid w:val="0025DAA0"/>
    <w:rsid w:val="00260020"/>
    <w:rsid w:val="0026007C"/>
    <w:rsid w:val="002600DE"/>
    <w:rsid w:val="0026013E"/>
    <w:rsid w:val="002601DA"/>
    <w:rsid w:val="002602CA"/>
    <w:rsid w:val="00260300"/>
    <w:rsid w:val="002604D8"/>
    <w:rsid w:val="002604F9"/>
    <w:rsid w:val="00260545"/>
    <w:rsid w:val="0026061B"/>
    <w:rsid w:val="002606F3"/>
    <w:rsid w:val="00260800"/>
    <w:rsid w:val="0026098A"/>
    <w:rsid w:val="002609A9"/>
    <w:rsid w:val="002609C8"/>
    <w:rsid w:val="00260AFE"/>
    <w:rsid w:val="00260B08"/>
    <w:rsid w:val="00260B9A"/>
    <w:rsid w:val="00260B9D"/>
    <w:rsid w:val="00260CEC"/>
    <w:rsid w:val="00260D3E"/>
    <w:rsid w:val="00260D85"/>
    <w:rsid w:val="00260E1D"/>
    <w:rsid w:val="00260EA4"/>
    <w:rsid w:val="00260F30"/>
    <w:rsid w:val="00261051"/>
    <w:rsid w:val="002611F4"/>
    <w:rsid w:val="0026120A"/>
    <w:rsid w:val="00261240"/>
    <w:rsid w:val="0026124E"/>
    <w:rsid w:val="00261273"/>
    <w:rsid w:val="00261342"/>
    <w:rsid w:val="00261404"/>
    <w:rsid w:val="002614B8"/>
    <w:rsid w:val="0026156D"/>
    <w:rsid w:val="0026156F"/>
    <w:rsid w:val="002615E2"/>
    <w:rsid w:val="0026177C"/>
    <w:rsid w:val="00261837"/>
    <w:rsid w:val="00261876"/>
    <w:rsid w:val="0026189E"/>
    <w:rsid w:val="002618B1"/>
    <w:rsid w:val="002618DE"/>
    <w:rsid w:val="0026193D"/>
    <w:rsid w:val="00261994"/>
    <w:rsid w:val="0026199C"/>
    <w:rsid w:val="00261A70"/>
    <w:rsid w:val="00261AA4"/>
    <w:rsid w:val="00261AD0"/>
    <w:rsid w:val="00261B11"/>
    <w:rsid w:val="00261B2F"/>
    <w:rsid w:val="00261BBA"/>
    <w:rsid w:val="00261C2E"/>
    <w:rsid w:val="00261D41"/>
    <w:rsid w:val="00261DA5"/>
    <w:rsid w:val="00261DC9"/>
    <w:rsid w:val="00261DFA"/>
    <w:rsid w:val="00261E15"/>
    <w:rsid w:val="00261E3F"/>
    <w:rsid w:val="00262000"/>
    <w:rsid w:val="0026201B"/>
    <w:rsid w:val="00262025"/>
    <w:rsid w:val="0026207A"/>
    <w:rsid w:val="002620BC"/>
    <w:rsid w:val="00262178"/>
    <w:rsid w:val="002622D2"/>
    <w:rsid w:val="002623DD"/>
    <w:rsid w:val="0026243A"/>
    <w:rsid w:val="0026245B"/>
    <w:rsid w:val="00262567"/>
    <w:rsid w:val="002626A2"/>
    <w:rsid w:val="002626E0"/>
    <w:rsid w:val="002627A5"/>
    <w:rsid w:val="002628AE"/>
    <w:rsid w:val="0026294B"/>
    <w:rsid w:val="00262A4C"/>
    <w:rsid w:val="00262A50"/>
    <w:rsid w:val="00262A67"/>
    <w:rsid w:val="00262AE8"/>
    <w:rsid w:val="00262B2C"/>
    <w:rsid w:val="00262CBD"/>
    <w:rsid w:val="00262D4F"/>
    <w:rsid w:val="00262D6A"/>
    <w:rsid w:val="00262E16"/>
    <w:rsid w:val="00262E62"/>
    <w:rsid w:val="00262FAA"/>
    <w:rsid w:val="00262FC9"/>
    <w:rsid w:val="002630B5"/>
    <w:rsid w:val="0026321A"/>
    <w:rsid w:val="00263263"/>
    <w:rsid w:val="00263290"/>
    <w:rsid w:val="002632C4"/>
    <w:rsid w:val="002634EE"/>
    <w:rsid w:val="002635AB"/>
    <w:rsid w:val="00263695"/>
    <w:rsid w:val="00263709"/>
    <w:rsid w:val="002637B0"/>
    <w:rsid w:val="002637CA"/>
    <w:rsid w:val="002637E9"/>
    <w:rsid w:val="0026387F"/>
    <w:rsid w:val="002639BA"/>
    <w:rsid w:val="00263ABF"/>
    <w:rsid w:val="00263AF9"/>
    <w:rsid w:val="00263B18"/>
    <w:rsid w:val="00263B80"/>
    <w:rsid w:val="00263BDD"/>
    <w:rsid w:val="00263C29"/>
    <w:rsid w:val="00263CEA"/>
    <w:rsid w:val="00263CF9"/>
    <w:rsid w:val="00263EB8"/>
    <w:rsid w:val="002640BE"/>
    <w:rsid w:val="0026413C"/>
    <w:rsid w:val="0026429E"/>
    <w:rsid w:val="002642BA"/>
    <w:rsid w:val="002642C8"/>
    <w:rsid w:val="0026438B"/>
    <w:rsid w:val="002643D4"/>
    <w:rsid w:val="002644F8"/>
    <w:rsid w:val="00264580"/>
    <w:rsid w:val="002647CC"/>
    <w:rsid w:val="00264830"/>
    <w:rsid w:val="0026483D"/>
    <w:rsid w:val="002648A4"/>
    <w:rsid w:val="0026498B"/>
    <w:rsid w:val="00264A34"/>
    <w:rsid w:val="00264AB0"/>
    <w:rsid w:val="00264AC8"/>
    <w:rsid w:val="00264B61"/>
    <w:rsid w:val="00264B67"/>
    <w:rsid w:val="00264B72"/>
    <w:rsid w:val="00264C31"/>
    <w:rsid w:val="00264CE5"/>
    <w:rsid w:val="00264D92"/>
    <w:rsid w:val="00264DFB"/>
    <w:rsid w:val="00264EB6"/>
    <w:rsid w:val="00264F44"/>
    <w:rsid w:val="0026505A"/>
    <w:rsid w:val="002651EA"/>
    <w:rsid w:val="0026525E"/>
    <w:rsid w:val="002652DA"/>
    <w:rsid w:val="00265333"/>
    <w:rsid w:val="00265540"/>
    <w:rsid w:val="00265555"/>
    <w:rsid w:val="002655AB"/>
    <w:rsid w:val="002655C6"/>
    <w:rsid w:val="00265626"/>
    <w:rsid w:val="0026562B"/>
    <w:rsid w:val="00265818"/>
    <w:rsid w:val="0026587D"/>
    <w:rsid w:val="0026593F"/>
    <w:rsid w:val="00265974"/>
    <w:rsid w:val="00265A4E"/>
    <w:rsid w:val="00265A88"/>
    <w:rsid w:val="00265C68"/>
    <w:rsid w:val="00265E86"/>
    <w:rsid w:val="00265F92"/>
    <w:rsid w:val="00265FD6"/>
    <w:rsid w:val="00265FDD"/>
    <w:rsid w:val="00266003"/>
    <w:rsid w:val="00266046"/>
    <w:rsid w:val="0026607B"/>
    <w:rsid w:val="00266208"/>
    <w:rsid w:val="002662A7"/>
    <w:rsid w:val="002663D4"/>
    <w:rsid w:val="00266595"/>
    <w:rsid w:val="0026679C"/>
    <w:rsid w:val="002667AE"/>
    <w:rsid w:val="002667F6"/>
    <w:rsid w:val="00266818"/>
    <w:rsid w:val="00266969"/>
    <w:rsid w:val="00266A7A"/>
    <w:rsid w:val="00266B11"/>
    <w:rsid w:val="00266B61"/>
    <w:rsid w:val="00266B77"/>
    <w:rsid w:val="00266B91"/>
    <w:rsid w:val="00266C36"/>
    <w:rsid w:val="00266C5A"/>
    <w:rsid w:val="00266D08"/>
    <w:rsid w:val="00266D65"/>
    <w:rsid w:val="00266D8C"/>
    <w:rsid w:val="00266DD2"/>
    <w:rsid w:val="00266DEC"/>
    <w:rsid w:val="00266DF3"/>
    <w:rsid w:val="00266EF7"/>
    <w:rsid w:val="00267027"/>
    <w:rsid w:val="0026704D"/>
    <w:rsid w:val="00267170"/>
    <w:rsid w:val="00267173"/>
    <w:rsid w:val="00267189"/>
    <w:rsid w:val="002671B4"/>
    <w:rsid w:val="00267259"/>
    <w:rsid w:val="0026730F"/>
    <w:rsid w:val="0026734B"/>
    <w:rsid w:val="00267371"/>
    <w:rsid w:val="00267390"/>
    <w:rsid w:val="0026748A"/>
    <w:rsid w:val="00267689"/>
    <w:rsid w:val="002677CE"/>
    <w:rsid w:val="002678F2"/>
    <w:rsid w:val="0026791E"/>
    <w:rsid w:val="0026793C"/>
    <w:rsid w:val="002679E4"/>
    <w:rsid w:val="00267A9B"/>
    <w:rsid w:val="00267A9E"/>
    <w:rsid w:val="00267BE0"/>
    <w:rsid w:val="00267C90"/>
    <w:rsid w:val="00267D12"/>
    <w:rsid w:val="00267D40"/>
    <w:rsid w:val="00267D68"/>
    <w:rsid w:val="00267E3A"/>
    <w:rsid w:val="00267E70"/>
    <w:rsid w:val="00270075"/>
    <w:rsid w:val="002700A2"/>
    <w:rsid w:val="002700C2"/>
    <w:rsid w:val="002700D9"/>
    <w:rsid w:val="00270180"/>
    <w:rsid w:val="002702C8"/>
    <w:rsid w:val="002702D0"/>
    <w:rsid w:val="00270419"/>
    <w:rsid w:val="00270463"/>
    <w:rsid w:val="0027059A"/>
    <w:rsid w:val="002705BA"/>
    <w:rsid w:val="002705F3"/>
    <w:rsid w:val="00270704"/>
    <w:rsid w:val="00270740"/>
    <w:rsid w:val="00270781"/>
    <w:rsid w:val="00270874"/>
    <w:rsid w:val="00270889"/>
    <w:rsid w:val="002709D4"/>
    <w:rsid w:val="002709DB"/>
    <w:rsid w:val="00270AEB"/>
    <w:rsid w:val="00270AFB"/>
    <w:rsid w:val="00270B47"/>
    <w:rsid w:val="00270BAC"/>
    <w:rsid w:val="00270D63"/>
    <w:rsid w:val="00270DE8"/>
    <w:rsid w:val="00270E9F"/>
    <w:rsid w:val="00270EE1"/>
    <w:rsid w:val="0027107B"/>
    <w:rsid w:val="002710AB"/>
    <w:rsid w:val="002710D0"/>
    <w:rsid w:val="00271118"/>
    <w:rsid w:val="00271175"/>
    <w:rsid w:val="002711C7"/>
    <w:rsid w:val="0027120A"/>
    <w:rsid w:val="0027134B"/>
    <w:rsid w:val="002713EA"/>
    <w:rsid w:val="0027152F"/>
    <w:rsid w:val="0027156A"/>
    <w:rsid w:val="002715AB"/>
    <w:rsid w:val="00271695"/>
    <w:rsid w:val="002716CB"/>
    <w:rsid w:val="002716E6"/>
    <w:rsid w:val="002716E7"/>
    <w:rsid w:val="0027178D"/>
    <w:rsid w:val="00271823"/>
    <w:rsid w:val="00271843"/>
    <w:rsid w:val="002718E2"/>
    <w:rsid w:val="0027192A"/>
    <w:rsid w:val="002719AA"/>
    <w:rsid w:val="00271AA4"/>
    <w:rsid w:val="00271AF2"/>
    <w:rsid w:val="00271B01"/>
    <w:rsid w:val="00271B26"/>
    <w:rsid w:val="00271C4C"/>
    <w:rsid w:val="00271D0B"/>
    <w:rsid w:val="00271D8B"/>
    <w:rsid w:val="00271D98"/>
    <w:rsid w:val="00271E98"/>
    <w:rsid w:val="00271F63"/>
    <w:rsid w:val="00271FBE"/>
    <w:rsid w:val="0027218D"/>
    <w:rsid w:val="00272363"/>
    <w:rsid w:val="0027240E"/>
    <w:rsid w:val="0027247E"/>
    <w:rsid w:val="002724C6"/>
    <w:rsid w:val="002725A6"/>
    <w:rsid w:val="00272637"/>
    <w:rsid w:val="00272688"/>
    <w:rsid w:val="002728DD"/>
    <w:rsid w:val="00272915"/>
    <w:rsid w:val="0027294D"/>
    <w:rsid w:val="00272AB9"/>
    <w:rsid w:val="00272ACD"/>
    <w:rsid w:val="00272AFA"/>
    <w:rsid w:val="00272B00"/>
    <w:rsid w:val="00272B33"/>
    <w:rsid w:val="00272B8B"/>
    <w:rsid w:val="00272D8F"/>
    <w:rsid w:val="00272E11"/>
    <w:rsid w:val="00272E26"/>
    <w:rsid w:val="00272EEF"/>
    <w:rsid w:val="00272EF8"/>
    <w:rsid w:val="00272F1F"/>
    <w:rsid w:val="00273010"/>
    <w:rsid w:val="002730AB"/>
    <w:rsid w:val="002730D8"/>
    <w:rsid w:val="0027311F"/>
    <w:rsid w:val="0027312C"/>
    <w:rsid w:val="002731A4"/>
    <w:rsid w:val="002731AD"/>
    <w:rsid w:val="00273249"/>
    <w:rsid w:val="00273257"/>
    <w:rsid w:val="002732AF"/>
    <w:rsid w:val="0027335A"/>
    <w:rsid w:val="0027336F"/>
    <w:rsid w:val="00273629"/>
    <w:rsid w:val="00273664"/>
    <w:rsid w:val="002736DB"/>
    <w:rsid w:val="00273861"/>
    <w:rsid w:val="002739E9"/>
    <w:rsid w:val="00273AFB"/>
    <w:rsid w:val="00273BF6"/>
    <w:rsid w:val="00273D0E"/>
    <w:rsid w:val="00273DCB"/>
    <w:rsid w:val="00273E2F"/>
    <w:rsid w:val="00273E3A"/>
    <w:rsid w:val="00273EEF"/>
    <w:rsid w:val="00273F74"/>
    <w:rsid w:val="00273FF2"/>
    <w:rsid w:val="0027403B"/>
    <w:rsid w:val="00274045"/>
    <w:rsid w:val="002740A6"/>
    <w:rsid w:val="002740AB"/>
    <w:rsid w:val="002740D4"/>
    <w:rsid w:val="002741F0"/>
    <w:rsid w:val="002742C0"/>
    <w:rsid w:val="00274305"/>
    <w:rsid w:val="00274318"/>
    <w:rsid w:val="002744B3"/>
    <w:rsid w:val="0027454C"/>
    <w:rsid w:val="0027470A"/>
    <w:rsid w:val="00274864"/>
    <w:rsid w:val="00274BE3"/>
    <w:rsid w:val="00274C5D"/>
    <w:rsid w:val="00274D24"/>
    <w:rsid w:val="00274D5B"/>
    <w:rsid w:val="00274E3B"/>
    <w:rsid w:val="00274EC7"/>
    <w:rsid w:val="00274EE6"/>
    <w:rsid w:val="00274F16"/>
    <w:rsid w:val="00274F1B"/>
    <w:rsid w:val="00274F98"/>
    <w:rsid w:val="00274FF8"/>
    <w:rsid w:val="00275009"/>
    <w:rsid w:val="00275080"/>
    <w:rsid w:val="00275085"/>
    <w:rsid w:val="0027516B"/>
    <w:rsid w:val="002751B5"/>
    <w:rsid w:val="00275285"/>
    <w:rsid w:val="002752ED"/>
    <w:rsid w:val="00275336"/>
    <w:rsid w:val="00275387"/>
    <w:rsid w:val="0027541D"/>
    <w:rsid w:val="0027542C"/>
    <w:rsid w:val="002754B3"/>
    <w:rsid w:val="002754E8"/>
    <w:rsid w:val="0027552B"/>
    <w:rsid w:val="002755D0"/>
    <w:rsid w:val="002755E9"/>
    <w:rsid w:val="0027562C"/>
    <w:rsid w:val="0027579B"/>
    <w:rsid w:val="002757A2"/>
    <w:rsid w:val="00275970"/>
    <w:rsid w:val="00275BE2"/>
    <w:rsid w:val="00275C26"/>
    <w:rsid w:val="00275C80"/>
    <w:rsid w:val="00275E78"/>
    <w:rsid w:val="00275F08"/>
    <w:rsid w:val="002760FA"/>
    <w:rsid w:val="0027610C"/>
    <w:rsid w:val="002761F9"/>
    <w:rsid w:val="00276265"/>
    <w:rsid w:val="00276285"/>
    <w:rsid w:val="00276390"/>
    <w:rsid w:val="002763AC"/>
    <w:rsid w:val="0027645D"/>
    <w:rsid w:val="0027647D"/>
    <w:rsid w:val="00276485"/>
    <w:rsid w:val="00276489"/>
    <w:rsid w:val="002764C3"/>
    <w:rsid w:val="002765CA"/>
    <w:rsid w:val="00276606"/>
    <w:rsid w:val="002766C3"/>
    <w:rsid w:val="0027686B"/>
    <w:rsid w:val="00276885"/>
    <w:rsid w:val="002768C1"/>
    <w:rsid w:val="00276917"/>
    <w:rsid w:val="0027699D"/>
    <w:rsid w:val="00276A50"/>
    <w:rsid w:val="00276B9C"/>
    <w:rsid w:val="00276C0D"/>
    <w:rsid w:val="00276CDD"/>
    <w:rsid w:val="00276D64"/>
    <w:rsid w:val="00276E0E"/>
    <w:rsid w:val="00276E19"/>
    <w:rsid w:val="00276EDA"/>
    <w:rsid w:val="00276FA9"/>
    <w:rsid w:val="00277004"/>
    <w:rsid w:val="002770B3"/>
    <w:rsid w:val="0027715D"/>
    <w:rsid w:val="00277282"/>
    <w:rsid w:val="00277309"/>
    <w:rsid w:val="002773DA"/>
    <w:rsid w:val="0027742F"/>
    <w:rsid w:val="00277AD1"/>
    <w:rsid w:val="00277B83"/>
    <w:rsid w:val="00277C44"/>
    <w:rsid w:val="00277C8B"/>
    <w:rsid w:val="00277D04"/>
    <w:rsid w:val="00277E24"/>
    <w:rsid w:val="00277E84"/>
    <w:rsid w:val="00277F0B"/>
    <w:rsid w:val="00277FB6"/>
    <w:rsid w:val="0028005D"/>
    <w:rsid w:val="00280091"/>
    <w:rsid w:val="002800EA"/>
    <w:rsid w:val="002800ED"/>
    <w:rsid w:val="00280130"/>
    <w:rsid w:val="0028042D"/>
    <w:rsid w:val="00280592"/>
    <w:rsid w:val="00280725"/>
    <w:rsid w:val="002808FF"/>
    <w:rsid w:val="00280A76"/>
    <w:rsid w:val="00280ABF"/>
    <w:rsid w:val="00280AEE"/>
    <w:rsid w:val="00280B27"/>
    <w:rsid w:val="00280B85"/>
    <w:rsid w:val="00280BE8"/>
    <w:rsid w:val="00280D9B"/>
    <w:rsid w:val="00280F3C"/>
    <w:rsid w:val="00280FE6"/>
    <w:rsid w:val="0028101B"/>
    <w:rsid w:val="002811A9"/>
    <w:rsid w:val="002812FA"/>
    <w:rsid w:val="002814B4"/>
    <w:rsid w:val="002815CC"/>
    <w:rsid w:val="002815FB"/>
    <w:rsid w:val="002816D0"/>
    <w:rsid w:val="002817CC"/>
    <w:rsid w:val="00281850"/>
    <w:rsid w:val="002818A5"/>
    <w:rsid w:val="0028190E"/>
    <w:rsid w:val="00281982"/>
    <w:rsid w:val="002819FE"/>
    <w:rsid w:val="00281A0C"/>
    <w:rsid w:val="00281A5D"/>
    <w:rsid w:val="00281A66"/>
    <w:rsid w:val="00281B94"/>
    <w:rsid w:val="00281BC5"/>
    <w:rsid w:val="00281C00"/>
    <w:rsid w:val="00281DB4"/>
    <w:rsid w:val="00281DB7"/>
    <w:rsid w:val="00281E38"/>
    <w:rsid w:val="00281E5C"/>
    <w:rsid w:val="00281F61"/>
    <w:rsid w:val="00281FA4"/>
    <w:rsid w:val="0028209C"/>
    <w:rsid w:val="002821AA"/>
    <w:rsid w:val="002821BD"/>
    <w:rsid w:val="00282206"/>
    <w:rsid w:val="00282253"/>
    <w:rsid w:val="002822DC"/>
    <w:rsid w:val="0028243C"/>
    <w:rsid w:val="0028253B"/>
    <w:rsid w:val="00282543"/>
    <w:rsid w:val="002825A4"/>
    <w:rsid w:val="00282607"/>
    <w:rsid w:val="0028264E"/>
    <w:rsid w:val="002827A8"/>
    <w:rsid w:val="002827B5"/>
    <w:rsid w:val="00282920"/>
    <w:rsid w:val="00282A72"/>
    <w:rsid w:val="00282BE4"/>
    <w:rsid w:val="00282BED"/>
    <w:rsid w:val="00282BF9"/>
    <w:rsid w:val="00282C65"/>
    <w:rsid w:val="00282EA3"/>
    <w:rsid w:val="00282F15"/>
    <w:rsid w:val="00282F89"/>
    <w:rsid w:val="0028303F"/>
    <w:rsid w:val="00283092"/>
    <w:rsid w:val="002831C4"/>
    <w:rsid w:val="00283221"/>
    <w:rsid w:val="0028322E"/>
    <w:rsid w:val="00283372"/>
    <w:rsid w:val="002833E4"/>
    <w:rsid w:val="0028343E"/>
    <w:rsid w:val="002834BB"/>
    <w:rsid w:val="002834D6"/>
    <w:rsid w:val="00283655"/>
    <w:rsid w:val="002836DA"/>
    <w:rsid w:val="002838BE"/>
    <w:rsid w:val="002838DE"/>
    <w:rsid w:val="00283961"/>
    <w:rsid w:val="002839A2"/>
    <w:rsid w:val="00283A44"/>
    <w:rsid w:val="00283B33"/>
    <w:rsid w:val="00283B37"/>
    <w:rsid w:val="00283B3A"/>
    <w:rsid w:val="00283B96"/>
    <w:rsid w:val="00283C1E"/>
    <w:rsid w:val="00283CCF"/>
    <w:rsid w:val="00283CDA"/>
    <w:rsid w:val="00283E27"/>
    <w:rsid w:val="00283EB1"/>
    <w:rsid w:val="00283EC1"/>
    <w:rsid w:val="00283F17"/>
    <w:rsid w:val="00283F73"/>
    <w:rsid w:val="002841C6"/>
    <w:rsid w:val="00284250"/>
    <w:rsid w:val="002842D0"/>
    <w:rsid w:val="00284305"/>
    <w:rsid w:val="002843D0"/>
    <w:rsid w:val="002843E0"/>
    <w:rsid w:val="002845A1"/>
    <w:rsid w:val="00284619"/>
    <w:rsid w:val="002846F6"/>
    <w:rsid w:val="0028479E"/>
    <w:rsid w:val="002847AC"/>
    <w:rsid w:val="002848F3"/>
    <w:rsid w:val="00284A18"/>
    <w:rsid w:val="00284A4A"/>
    <w:rsid w:val="00284AA4"/>
    <w:rsid w:val="00284AF9"/>
    <w:rsid w:val="00284B59"/>
    <w:rsid w:val="00284B6A"/>
    <w:rsid w:val="00284B6C"/>
    <w:rsid w:val="00284BBF"/>
    <w:rsid w:val="00284BED"/>
    <w:rsid w:val="00284E79"/>
    <w:rsid w:val="00284E95"/>
    <w:rsid w:val="00284EEB"/>
    <w:rsid w:val="00284EFA"/>
    <w:rsid w:val="00284FEE"/>
    <w:rsid w:val="0028512E"/>
    <w:rsid w:val="00285173"/>
    <w:rsid w:val="0028538E"/>
    <w:rsid w:val="002854D3"/>
    <w:rsid w:val="00285572"/>
    <w:rsid w:val="00285601"/>
    <w:rsid w:val="00285781"/>
    <w:rsid w:val="002857C2"/>
    <w:rsid w:val="002858D1"/>
    <w:rsid w:val="00285A81"/>
    <w:rsid w:val="00285A9C"/>
    <w:rsid w:val="00285B07"/>
    <w:rsid w:val="00285B2B"/>
    <w:rsid w:val="00285C55"/>
    <w:rsid w:val="00285CE9"/>
    <w:rsid w:val="00285D16"/>
    <w:rsid w:val="00285DD5"/>
    <w:rsid w:val="00285EAE"/>
    <w:rsid w:val="00285FD5"/>
    <w:rsid w:val="0028620E"/>
    <w:rsid w:val="002862F8"/>
    <w:rsid w:val="00286361"/>
    <w:rsid w:val="002863E5"/>
    <w:rsid w:val="00286431"/>
    <w:rsid w:val="00286445"/>
    <w:rsid w:val="002864BF"/>
    <w:rsid w:val="002864F3"/>
    <w:rsid w:val="002865E4"/>
    <w:rsid w:val="002866D1"/>
    <w:rsid w:val="00286864"/>
    <w:rsid w:val="00286938"/>
    <w:rsid w:val="00286A90"/>
    <w:rsid w:val="00286AF9"/>
    <w:rsid w:val="00286C06"/>
    <w:rsid w:val="00286C64"/>
    <w:rsid w:val="00286C8F"/>
    <w:rsid w:val="00286DB2"/>
    <w:rsid w:val="00286E11"/>
    <w:rsid w:val="00286EF1"/>
    <w:rsid w:val="00286F17"/>
    <w:rsid w:val="00287165"/>
    <w:rsid w:val="00287277"/>
    <w:rsid w:val="00287278"/>
    <w:rsid w:val="0028736A"/>
    <w:rsid w:val="00287371"/>
    <w:rsid w:val="002873CF"/>
    <w:rsid w:val="00287480"/>
    <w:rsid w:val="0028757D"/>
    <w:rsid w:val="0028764E"/>
    <w:rsid w:val="00287799"/>
    <w:rsid w:val="00287890"/>
    <w:rsid w:val="0028799C"/>
    <w:rsid w:val="0028799E"/>
    <w:rsid w:val="002879BD"/>
    <w:rsid w:val="002879CF"/>
    <w:rsid w:val="00287A07"/>
    <w:rsid w:val="00287A15"/>
    <w:rsid w:val="00287A26"/>
    <w:rsid w:val="00287A8C"/>
    <w:rsid w:val="00287B10"/>
    <w:rsid w:val="00287C6F"/>
    <w:rsid w:val="00287C9C"/>
    <w:rsid w:val="00287C9F"/>
    <w:rsid w:val="00287DDE"/>
    <w:rsid w:val="00287F34"/>
    <w:rsid w:val="00287F72"/>
    <w:rsid w:val="00290056"/>
    <w:rsid w:val="0029007B"/>
    <w:rsid w:val="00290151"/>
    <w:rsid w:val="0029015B"/>
    <w:rsid w:val="00290174"/>
    <w:rsid w:val="002901C5"/>
    <w:rsid w:val="00290291"/>
    <w:rsid w:val="00290353"/>
    <w:rsid w:val="002904AD"/>
    <w:rsid w:val="0029050B"/>
    <w:rsid w:val="0029060C"/>
    <w:rsid w:val="00290931"/>
    <w:rsid w:val="00290957"/>
    <w:rsid w:val="0029096D"/>
    <w:rsid w:val="002909F2"/>
    <w:rsid w:val="00290A70"/>
    <w:rsid w:val="00290AC3"/>
    <w:rsid w:val="00290AE2"/>
    <w:rsid w:val="00290B21"/>
    <w:rsid w:val="00290B3F"/>
    <w:rsid w:val="00290C01"/>
    <w:rsid w:val="00290DE7"/>
    <w:rsid w:val="00290E3D"/>
    <w:rsid w:val="00290F19"/>
    <w:rsid w:val="0029111D"/>
    <w:rsid w:val="002911F3"/>
    <w:rsid w:val="00291200"/>
    <w:rsid w:val="00291236"/>
    <w:rsid w:val="002913D4"/>
    <w:rsid w:val="00291402"/>
    <w:rsid w:val="00291405"/>
    <w:rsid w:val="00291506"/>
    <w:rsid w:val="002915AF"/>
    <w:rsid w:val="002915E8"/>
    <w:rsid w:val="00291699"/>
    <w:rsid w:val="0029182C"/>
    <w:rsid w:val="0029187E"/>
    <w:rsid w:val="00291A43"/>
    <w:rsid w:val="00291BFF"/>
    <w:rsid w:val="00291D6A"/>
    <w:rsid w:val="00291EA3"/>
    <w:rsid w:val="00291F07"/>
    <w:rsid w:val="002920CB"/>
    <w:rsid w:val="00292126"/>
    <w:rsid w:val="002921A6"/>
    <w:rsid w:val="00292337"/>
    <w:rsid w:val="00292341"/>
    <w:rsid w:val="002923C7"/>
    <w:rsid w:val="002923D3"/>
    <w:rsid w:val="002923DC"/>
    <w:rsid w:val="002924AB"/>
    <w:rsid w:val="002924C8"/>
    <w:rsid w:val="002924F0"/>
    <w:rsid w:val="00292502"/>
    <w:rsid w:val="00292579"/>
    <w:rsid w:val="0029259C"/>
    <w:rsid w:val="002925C7"/>
    <w:rsid w:val="00292634"/>
    <w:rsid w:val="0029269B"/>
    <w:rsid w:val="002926EA"/>
    <w:rsid w:val="00292828"/>
    <w:rsid w:val="002929B6"/>
    <w:rsid w:val="00292AFD"/>
    <w:rsid w:val="00292B1D"/>
    <w:rsid w:val="00292B27"/>
    <w:rsid w:val="00292B73"/>
    <w:rsid w:val="00292BAA"/>
    <w:rsid w:val="00292BC7"/>
    <w:rsid w:val="00292BDA"/>
    <w:rsid w:val="00292D19"/>
    <w:rsid w:val="00292E42"/>
    <w:rsid w:val="00292F64"/>
    <w:rsid w:val="00292F6A"/>
    <w:rsid w:val="00293202"/>
    <w:rsid w:val="0029327D"/>
    <w:rsid w:val="0029327E"/>
    <w:rsid w:val="002933F1"/>
    <w:rsid w:val="0029356A"/>
    <w:rsid w:val="0029368A"/>
    <w:rsid w:val="002936E2"/>
    <w:rsid w:val="0029385D"/>
    <w:rsid w:val="00293990"/>
    <w:rsid w:val="00293A16"/>
    <w:rsid w:val="00293A68"/>
    <w:rsid w:val="00293AB0"/>
    <w:rsid w:val="00293AB9"/>
    <w:rsid w:val="00293B20"/>
    <w:rsid w:val="00293B46"/>
    <w:rsid w:val="00293B50"/>
    <w:rsid w:val="00293BEF"/>
    <w:rsid w:val="00293C08"/>
    <w:rsid w:val="00293CE7"/>
    <w:rsid w:val="00293D2E"/>
    <w:rsid w:val="00293D48"/>
    <w:rsid w:val="00293E70"/>
    <w:rsid w:val="00293F8F"/>
    <w:rsid w:val="00293FD0"/>
    <w:rsid w:val="00294059"/>
    <w:rsid w:val="00294193"/>
    <w:rsid w:val="00294465"/>
    <w:rsid w:val="00294580"/>
    <w:rsid w:val="0029463E"/>
    <w:rsid w:val="002946E6"/>
    <w:rsid w:val="0029472B"/>
    <w:rsid w:val="00294788"/>
    <w:rsid w:val="002947AA"/>
    <w:rsid w:val="002949D7"/>
    <w:rsid w:val="00294A42"/>
    <w:rsid w:val="00294A76"/>
    <w:rsid w:val="00294A7E"/>
    <w:rsid w:val="00294AAA"/>
    <w:rsid w:val="00294AC5"/>
    <w:rsid w:val="00294B41"/>
    <w:rsid w:val="00294BEE"/>
    <w:rsid w:val="00294C15"/>
    <w:rsid w:val="00294C4A"/>
    <w:rsid w:val="00294D3F"/>
    <w:rsid w:val="00294DCC"/>
    <w:rsid w:val="00294E5E"/>
    <w:rsid w:val="00294E9A"/>
    <w:rsid w:val="00294F70"/>
    <w:rsid w:val="002950C9"/>
    <w:rsid w:val="00295167"/>
    <w:rsid w:val="002951B5"/>
    <w:rsid w:val="002952C2"/>
    <w:rsid w:val="00295339"/>
    <w:rsid w:val="00295341"/>
    <w:rsid w:val="00295364"/>
    <w:rsid w:val="00295454"/>
    <w:rsid w:val="0029552E"/>
    <w:rsid w:val="00295581"/>
    <w:rsid w:val="002955D7"/>
    <w:rsid w:val="0029575A"/>
    <w:rsid w:val="0029578B"/>
    <w:rsid w:val="002957CD"/>
    <w:rsid w:val="002957E4"/>
    <w:rsid w:val="002958B0"/>
    <w:rsid w:val="002958C5"/>
    <w:rsid w:val="00295972"/>
    <w:rsid w:val="00295AFB"/>
    <w:rsid w:val="00295B48"/>
    <w:rsid w:val="00295B5E"/>
    <w:rsid w:val="00295B6A"/>
    <w:rsid w:val="00295B6D"/>
    <w:rsid w:val="00295C83"/>
    <w:rsid w:val="00295D83"/>
    <w:rsid w:val="00295DC8"/>
    <w:rsid w:val="002960AE"/>
    <w:rsid w:val="002963F2"/>
    <w:rsid w:val="00296413"/>
    <w:rsid w:val="002964B3"/>
    <w:rsid w:val="002964FF"/>
    <w:rsid w:val="00296582"/>
    <w:rsid w:val="002965B8"/>
    <w:rsid w:val="002965F9"/>
    <w:rsid w:val="002966F9"/>
    <w:rsid w:val="00296810"/>
    <w:rsid w:val="002968D6"/>
    <w:rsid w:val="0029692C"/>
    <w:rsid w:val="0029696D"/>
    <w:rsid w:val="002969FC"/>
    <w:rsid w:val="00296A43"/>
    <w:rsid w:val="00296AA1"/>
    <w:rsid w:val="00296B8B"/>
    <w:rsid w:val="00296B8D"/>
    <w:rsid w:val="00296C26"/>
    <w:rsid w:val="00296C3A"/>
    <w:rsid w:val="00296C70"/>
    <w:rsid w:val="00296C82"/>
    <w:rsid w:val="00296C97"/>
    <w:rsid w:val="00296CFA"/>
    <w:rsid w:val="00296E05"/>
    <w:rsid w:val="00296E31"/>
    <w:rsid w:val="00296E82"/>
    <w:rsid w:val="00296F5C"/>
    <w:rsid w:val="00296F6A"/>
    <w:rsid w:val="00296F99"/>
    <w:rsid w:val="00297054"/>
    <w:rsid w:val="00297062"/>
    <w:rsid w:val="0029715E"/>
    <w:rsid w:val="00297180"/>
    <w:rsid w:val="00297288"/>
    <w:rsid w:val="002972EC"/>
    <w:rsid w:val="00297331"/>
    <w:rsid w:val="00297418"/>
    <w:rsid w:val="002975F9"/>
    <w:rsid w:val="002975FE"/>
    <w:rsid w:val="00297610"/>
    <w:rsid w:val="0029762A"/>
    <w:rsid w:val="00297722"/>
    <w:rsid w:val="00297730"/>
    <w:rsid w:val="002977EA"/>
    <w:rsid w:val="002979EF"/>
    <w:rsid w:val="00297AC9"/>
    <w:rsid w:val="00297AED"/>
    <w:rsid w:val="00297B14"/>
    <w:rsid w:val="00297B67"/>
    <w:rsid w:val="00297BA6"/>
    <w:rsid w:val="00297BC4"/>
    <w:rsid w:val="00297BC9"/>
    <w:rsid w:val="00297C3A"/>
    <w:rsid w:val="00297D34"/>
    <w:rsid w:val="00297D4D"/>
    <w:rsid w:val="002A0019"/>
    <w:rsid w:val="002A00D1"/>
    <w:rsid w:val="002A00FF"/>
    <w:rsid w:val="002A01D4"/>
    <w:rsid w:val="002A0202"/>
    <w:rsid w:val="002A0306"/>
    <w:rsid w:val="002A0313"/>
    <w:rsid w:val="002A031F"/>
    <w:rsid w:val="002A0322"/>
    <w:rsid w:val="002A04BC"/>
    <w:rsid w:val="002A052E"/>
    <w:rsid w:val="002A05E5"/>
    <w:rsid w:val="002A063D"/>
    <w:rsid w:val="002A075F"/>
    <w:rsid w:val="002A0775"/>
    <w:rsid w:val="002A0793"/>
    <w:rsid w:val="002A0842"/>
    <w:rsid w:val="002A0866"/>
    <w:rsid w:val="002A0BE7"/>
    <w:rsid w:val="002A0D5E"/>
    <w:rsid w:val="002A0D77"/>
    <w:rsid w:val="002A0E3B"/>
    <w:rsid w:val="002A0EFF"/>
    <w:rsid w:val="002A0F68"/>
    <w:rsid w:val="002A0FB6"/>
    <w:rsid w:val="002A0FBD"/>
    <w:rsid w:val="002A10BB"/>
    <w:rsid w:val="002A1231"/>
    <w:rsid w:val="002A13E0"/>
    <w:rsid w:val="002A1532"/>
    <w:rsid w:val="002A160C"/>
    <w:rsid w:val="002A1641"/>
    <w:rsid w:val="002A16E8"/>
    <w:rsid w:val="002A1731"/>
    <w:rsid w:val="002A1743"/>
    <w:rsid w:val="002A177E"/>
    <w:rsid w:val="002A192C"/>
    <w:rsid w:val="002A19BC"/>
    <w:rsid w:val="002A1AD6"/>
    <w:rsid w:val="002A1B26"/>
    <w:rsid w:val="002A1B9C"/>
    <w:rsid w:val="002A1D1B"/>
    <w:rsid w:val="002A1DF1"/>
    <w:rsid w:val="002A1F2D"/>
    <w:rsid w:val="002A1FE4"/>
    <w:rsid w:val="002A20CF"/>
    <w:rsid w:val="002A2500"/>
    <w:rsid w:val="002A2758"/>
    <w:rsid w:val="002A2894"/>
    <w:rsid w:val="002A2B35"/>
    <w:rsid w:val="002A2BEF"/>
    <w:rsid w:val="002A2E70"/>
    <w:rsid w:val="002A2F2F"/>
    <w:rsid w:val="002A2FB6"/>
    <w:rsid w:val="002A30C2"/>
    <w:rsid w:val="002A3257"/>
    <w:rsid w:val="002A32A1"/>
    <w:rsid w:val="002A3385"/>
    <w:rsid w:val="002A33D0"/>
    <w:rsid w:val="002A3402"/>
    <w:rsid w:val="002A3413"/>
    <w:rsid w:val="002A351D"/>
    <w:rsid w:val="002A3524"/>
    <w:rsid w:val="002A3619"/>
    <w:rsid w:val="002A3691"/>
    <w:rsid w:val="002A3739"/>
    <w:rsid w:val="002A3806"/>
    <w:rsid w:val="002A3865"/>
    <w:rsid w:val="002A39F9"/>
    <w:rsid w:val="002A3A69"/>
    <w:rsid w:val="002A3A7C"/>
    <w:rsid w:val="002A3A98"/>
    <w:rsid w:val="002A3ADD"/>
    <w:rsid w:val="002A3C4A"/>
    <w:rsid w:val="002A3C9C"/>
    <w:rsid w:val="002A3D11"/>
    <w:rsid w:val="002A3D12"/>
    <w:rsid w:val="002A3D34"/>
    <w:rsid w:val="002A3EDC"/>
    <w:rsid w:val="002A3F07"/>
    <w:rsid w:val="002A406E"/>
    <w:rsid w:val="002A407F"/>
    <w:rsid w:val="002A4129"/>
    <w:rsid w:val="002A415D"/>
    <w:rsid w:val="002A417F"/>
    <w:rsid w:val="002A4285"/>
    <w:rsid w:val="002A42BA"/>
    <w:rsid w:val="002A42FB"/>
    <w:rsid w:val="002A43D6"/>
    <w:rsid w:val="002A442C"/>
    <w:rsid w:val="002A446C"/>
    <w:rsid w:val="002A46EF"/>
    <w:rsid w:val="002A475C"/>
    <w:rsid w:val="002A4954"/>
    <w:rsid w:val="002A49EB"/>
    <w:rsid w:val="002A49EE"/>
    <w:rsid w:val="002A4B9C"/>
    <w:rsid w:val="002A4C7B"/>
    <w:rsid w:val="002A4CD5"/>
    <w:rsid w:val="002A4D28"/>
    <w:rsid w:val="002A4D49"/>
    <w:rsid w:val="002A4DCE"/>
    <w:rsid w:val="002A4DD8"/>
    <w:rsid w:val="002A4E3F"/>
    <w:rsid w:val="002A4E52"/>
    <w:rsid w:val="002A4ED4"/>
    <w:rsid w:val="002A4F49"/>
    <w:rsid w:val="002A50B5"/>
    <w:rsid w:val="002A50EA"/>
    <w:rsid w:val="002A517B"/>
    <w:rsid w:val="002A52F5"/>
    <w:rsid w:val="002A5325"/>
    <w:rsid w:val="002A5335"/>
    <w:rsid w:val="002A54B8"/>
    <w:rsid w:val="002A54D3"/>
    <w:rsid w:val="002A553F"/>
    <w:rsid w:val="002A554E"/>
    <w:rsid w:val="002A55BB"/>
    <w:rsid w:val="002A55BC"/>
    <w:rsid w:val="002A5636"/>
    <w:rsid w:val="002A5682"/>
    <w:rsid w:val="002A5688"/>
    <w:rsid w:val="002A5691"/>
    <w:rsid w:val="002A5692"/>
    <w:rsid w:val="002A57B3"/>
    <w:rsid w:val="002A57EB"/>
    <w:rsid w:val="002A58A4"/>
    <w:rsid w:val="002A5995"/>
    <w:rsid w:val="002A5ABD"/>
    <w:rsid w:val="002A5B7F"/>
    <w:rsid w:val="002A5BB7"/>
    <w:rsid w:val="002A5C04"/>
    <w:rsid w:val="002A5CAB"/>
    <w:rsid w:val="002A5E37"/>
    <w:rsid w:val="002A5E65"/>
    <w:rsid w:val="002A5E79"/>
    <w:rsid w:val="002A5F49"/>
    <w:rsid w:val="002A5F83"/>
    <w:rsid w:val="002A5F8E"/>
    <w:rsid w:val="002A622E"/>
    <w:rsid w:val="002A633D"/>
    <w:rsid w:val="002A645E"/>
    <w:rsid w:val="002A6467"/>
    <w:rsid w:val="002A657E"/>
    <w:rsid w:val="002A6582"/>
    <w:rsid w:val="002A65D7"/>
    <w:rsid w:val="002A65E3"/>
    <w:rsid w:val="002A66B1"/>
    <w:rsid w:val="002A69A4"/>
    <w:rsid w:val="002A69C5"/>
    <w:rsid w:val="002A6BFD"/>
    <w:rsid w:val="002A6DB9"/>
    <w:rsid w:val="002A6EFE"/>
    <w:rsid w:val="002A6FAE"/>
    <w:rsid w:val="002A70B7"/>
    <w:rsid w:val="002A70F3"/>
    <w:rsid w:val="002A70F4"/>
    <w:rsid w:val="002A710C"/>
    <w:rsid w:val="002A7333"/>
    <w:rsid w:val="002A7390"/>
    <w:rsid w:val="002A7729"/>
    <w:rsid w:val="002A777E"/>
    <w:rsid w:val="002A7857"/>
    <w:rsid w:val="002A78A2"/>
    <w:rsid w:val="002A78FF"/>
    <w:rsid w:val="002A7A96"/>
    <w:rsid w:val="002A7B95"/>
    <w:rsid w:val="002A7C90"/>
    <w:rsid w:val="002A7CDE"/>
    <w:rsid w:val="002A7E1E"/>
    <w:rsid w:val="002A7E7F"/>
    <w:rsid w:val="002A7ED1"/>
    <w:rsid w:val="002A7F74"/>
    <w:rsid w:val="002A7F89"/>
    <w:rsid w:val="002A7FE8"/>
    <w:rsid w:val="002B0099"/>
    <w:rsid w:val="002B0100"/>
    <w:rsid w:val="002B01EF"/>
    <w:rsid w:val="002B022E"/>
    <w:rsid w:val="002B02F2"/>
    <w:rsid w:val="002B0326"/>
    <w:rsid w:val="002B0349"/>
    <w:rsid w:val="002B038E"/>
    <w:rsid w:val="002B0425"/>
    <w:rsid w:val="002B04FD"/>
    <w:rsid w:val="002B05A2"/>
    <w:rsid w:val="002B05B0"/>
    <w:rsid w:val="002B06AB"/>
    <w:rsid w:val="002B06AD"/>
    <w:rsid w:val="002B06E9"/>
    <w:rsid w:val="002B0729"/>
    <w:rsid w:val="002B0758"/>
    <w:rsid w:val="002B07E4"/>
    <w:rsid w:val="002B0807"/>
    <w:rsid w:val="002B0808"/>
    <w:rsid w:val="002B0892"/>
    <w:rsid w:val="002B0914"/>
    <w:rsid w:val="002B0A42"/>
    <w:rsid w:val="002B0A8A"/>
    <w:rsid w:val="002B0B8F"/>
    <w:rsid w:val="002B0BB4"/>
    <w:rsid w:val="002B0C8B"/>
    <w:rsid w:val="002B0D50"/>
    <w:rsid w:val="002B0EB2"/>
    <w:rsid w:val="002B1079"/>
    <w:rsid w:val="002B1245"/>
    <w:rsid w:val="002B13FA"/>
    <w:rsid w:val="002B1449"/>
    <w:rsid w:val="002B154B"/>
    <w:rsid w:val="002B157C"/>
    <w:rsid w:val="002B15F0"/>
    <w:rsid w:val="002B1620"/>
    <w:rsid w:val="002B1656"/>
    <w:rsid w:val="002B186B"/>
    <w:rsid w:val="002B188C"/>
    <w:rsid w:val="002B189E"/>
    <w:rsid w:val="002B193D"/>
    <w:rsid w:val="002B1A88"/>
    <w:rsid w:val="002B1B08"/>
    <w:rsid w:val="002B1C23"/>
    <w:rsid w:val="002B1C34"/>
    <w:rsid w:val="002B1C95"/>
    <w:rsid w:val="002B1C9C"/>
    <w:rsid w:val="002B1CAB"/>
    <w:rsid w:val="002B1DC5"/>
    <w:rsid w:val="002B1E2F"/>
    <w:rsid w:val="002B1E66"/>
    <w:rsid w:val="002B1E8F"/>
    <w:rsid w:val="002B1F5F"/>
    <w:rsid w:val="002B1F62"/>
    <w:rsid w:val="002B20B8"/>
    <w:rsid w:val="002B20C9"/>
    <w:rsid w:val="002B214D"/>
    <w:rsid w:val="002B2253"/>
    <w:rsid w:val="002B2292"/>
    <w:rsid w:val="002B22C8"/>
    <w:rsid w:val="002B2358"/>
    <w:rsid w:val="002B25A6"/>
    <w:rsid w:val="002B2634"/>
    <w:rsid w:val="002B263F"/>
    <w:rsid w:val="002B2690"/>
    <w:rsid w:val="002B275E"/>
    <w:rsid w:val="002B277F"/>
    <w:rsid w:val="002B279B"/>
    <w:rsid w:val="002B27F7"/>
    <w:rsid w:val="002B28E7"/>
    <w:rsid w:val="002B29F6"/>
    <w:rsid w:val="002B29FE"/>
    <w:rsid w:val="002B2A76"/>
    <w:rsid w:val="002B2A80"/>
    <w:rsid w:val="002B2C52"/>
    <w:rsid w:val="002B2C64"/>
    <w:rsid w:val="002B2DB8"/>
    <w:rsid w:val="002B2DCC"/>
    <w:rsid w:val="002B2E68"/>
    <w:rsid w:val="002B2E78"/>
    <w:rsid w:val="002B2F73"/>
    <w:rsid w:val="002B301F"/>
    <w:rsid w:val="002B3058"/>
    <w:rsid w:val="002B31B5"/>
    <w:rsid w:val="002B329A"/>
    <w:rsid w:val="002B3478"/>
    <w:rsid w:val="002B36BF"/>
    <w:rsid w:val="002B36D8"/>
    <w:rsid w:val="002B3722"/>
    <w:rsid w:val="002B38D3"/>
    <w:rsid w:val="002B39A9"/>
    <w:rsid w:val="002B3A5E"/>
    <w:rsid w:val="002B3B6B"/>
    <w:rsid w:val="002B3BCA"/>
    <w:rsid w:val="002B3BD5"/>
    <w:rsid w:val="002B3D82"/>
    <w:rsid w:val="002B3E5B"/>
    <w:rsid w:val="002B3E67"/>
    <w:rsid w:val="002B3E77"/>
    <w:rsid w:val="002B3F8E"/>
    <w:rsid w:val="002B4004"/>
    <w:rsid w:val="002B40AB"/>
    <w:rsid w:val="002B4113"/>
    <w:rsid w:val="002B4130"/>
    <w:rsid w:val="002B41B1"/>
    <w:rsid w:val="002B41DB"/>
    <w:rsid w:val="002B432A"/>
    <w:rsid w:val="002B436C"/>
    <w:rsid w:val="002B43E4"/>
    <w:rsid w:val="002B43F0"/>
    <w:rsid w:val="002B4410"/>
    <w:rsid w:val="002B4531"/>
    <w:rsid w:val="002B46D2"/>
    <w:rsid w:val="002B46F6"/>
    <w:rsid w:val="002B4727"/>
    <w:rsid w:val="002B482B"/>
    <w:rsid w:val="002B483B"/>
    <w:rsid w:val="002B483F"/>
    <w:rsid w:val="002B48AA"/>
    <w:rsid w:val="002B490A"/>
    <w:rsid w:val="002B4B57"/>
    <w:rsid w:val="002B4B86"/>
    <w:rsid w:val="002B4C20"/>
    <w:rsid w:val="002B4D2A"/>
    <w:rsid w:val="002B4D73"/>
    <w:rsid w:val="002B4D7D"/>
    <w:rsid w:val="002B4E1A"/>
    <w:rsid w:val="002B4F70"/>
    <w:rsid w:val="002B4FED"/>
    <w:rsid w:val="002B547D"/>
    <w:rsid w:val="002B5483"/>
    <w:rsid w:val="002B54F3"/>
    <w:rsid w:val="002B54FB"/>
    <w:rsid w:val="002B5701"/>
    <w:rsid w:val="002B5724"/>
    <w:rsid w:val="002B57A1"/>
    <w:rsid w:val="002B57C4"/>
    <w:rsid w:val="002B57FC"/>
    <w:rsid w:val="002B58D5"/>
    <w:rsid w:val="002B5968"/>
    <w:rsid w:val="002B5AA5"/>
    <w:rsid w:val="002B5B09"/>
    <w:rsid w:val="002B5B34"/>
    <w:rsid w:val="002B5B51"/>
    <w:rsid w:val="002B5BF4"/>
    <w:rsid w:val="002B5DBB"/>
    <w:rsid w:val="002B5E11"/>
    <w:rsid w:val="002B5E52"/>
    <w:rsid w:val="002B5E85"/>
    <w:rsid w:val="002B62A1"/>
    <w:rsid w:val="002B62DD"/>
    <w:rsid w:val="002B6410"/>
    <w:rsid w:val="002B643E"/>
    <w:rsid w:val="002B6441"/>
    <w:rsid w:val="002B648B"/>
    <w:rsid w:val="002B64AA"/>
    <w:rsid w:val="002B64DA"/>
    <w:rsid w:val="002B64DE"/>
    <w:rsid w:val="002B64E5"/>
    <w:rsid w:val="002B6585"/>
    <w:rsid w:val="002B65E4"/>
    <w:rsid w:val="002B6651"/>
    <w:rsid w:val="002B669C"/>
    <w:rsid w:val="002B683A"/>
    <w:rsid w:val="002B68E5"/>
    <w:rsid w:val="002B691F"/>
    <w:rsid w:val="002B6B03"/>
    <w:rsid w:val="002B6C29"/>
    <w:rsid w:val="002B6C5E"/>
    <w:rsid w:val="002B6CED"/>
    <w:rsid w:val="002B6E24"/>
    <w:rsid w:val="002B6E43"/>
    <w:rsid w:val="002B6EED"/>
    <w:rsid w:val="002B6F5B"/>
    <w:rsid w:val="002B73A0"/>
    <w:rsid w:val="002B7420"/>
    <w:rsid w:val="002B7448"/>
    <w:rsid w:val="002B746C"/>
    <w:rsid w:val="002B74D6"/>
    <w:rsid w:val="002B74D7"/>
    <w:rsid w:val="002B74D8"/>
    <w:rsid w:val="002B765A"/>
    <w:rsid w:val="002B7786"/>
    <w:rsid w:val="002B7792"/>
    <w:rsid w:val="002B7848"/>
    <w:rsid w:val="002B7872"/>
    <w:rsid w:val="002B78DA"/>
    <w:rsid w:val="002B78EB"/>
    <w:rsid w:val="002B7905"/>
    <w:rsid w:val="002B7A90"/>
    <w:rsid w:val="002B7CF9"/>
    <w:rsid w:val="002B7D13"/>
    <w:rsid w:val="002B7D80"/>
    <w:rsid w:val="002B7E3A"/>
    <w:rsid w:val="002B7FC3"/>
    <w:rsid w:val="002C005F"/>
    <w:rsid w:val="002C0108"/>
    <w:rsid w:val="002C0183"/>
    <w:rsid w:val="002C01AF"/>
    <w:rsid w:val="002C01D1"/>
    <w:rsid w:val="002C0239"/>
    <w:rsid w:val="002C02F7"/>
    <w:rsid w:val="002C0349"/>
    <w:rsid w:val="002C0559"/>
    <w:rsid w:val="002C05AD"/>
    <w:rsid w:val="002C0621"/>
    <w:rsid w:val="002C0679"/>
    <w:rsid w:val="002C088A"/>
    <w:rsid w:val="002C08BA"/>
    <w:rsid w:val="002C0945"/>
    <w:rsid w:val="002C0A06"/>
    <w:rsid w:val="002C0A4D"/>
    <w:rsid w:val="002C0BD4"/>
    <w:rsid w:val="002C0BFC"/>
    <w:rsid w:val="002C0E4E"/>
    <w:rsid w:val="002C0FB9"/>
    <w:rsid w:val="002C10DA"/>
    <w:rsid w:val="002C1174"/>
    <w:rsid w:val="002C11C7"/>
    <w:rsid w:val="002C11EA"/>
    <w:rsid w:val="002C128C"/>
    <w:rsid w:val="002C131F"/>
    <w:rsid w:val="002C1324"/>
    <w:rsid w:val="002C1487"/>
    <w:rsid w:val="002C14C7"/>
    <w:rsid w:val="002C14C9"/>
    <w:rsid w:val="002C1510"/>
    <w:rsid w:val="002C1641"/>
    <w:rsid w:val="002C16FE"/>
    <w:rsid w:val="002C1972"/>
    <w:rsid w:val="002C19F7"/>
    <w:rsid w:val="002C1ADE"/>
    <w:rsid w:val="002C1B86"/>
    <w:rsid w:val="002C1C42"/>
    <w:rsid w:val="002C1D03"/>
    <w:rsid w:val="002C1D22"/>
    <w:rsid w:val="002C1DAB"/>
    <w:rsid w:val="002C1DD6"/>
    <w:rsid w:val="002C1E52"/>
    <w:rsid w:val="002C1E91"/>
    <w:rsid w:val="002C1E9B"/>
    <w:rsid w:val="002C1ED1"/>
    <w:rsid w:val="002C1F02"/>
    <w:rsid w:val="002C1F64"/>
    <w:rsid w:val="002C2004"/>
    <w:rsid w:val="002C2024"/>
    <w:rsid w:val="002C2068"/>
    <w:rsid w:val="002C21BC"/>
    <w:rsid w:val="002C22C1"/>
    <w:rsid w:val="002C2314"/>
    <w:rsid w:val="002C2325"/>
    <w:rsid w:val="002C232F"/>
    <w:rsid w:val="002C245F"/>
    <w:rsid w:val="002C2462"/>
    <w:rsid w:val="002C2574"/>
    <w:rsid w:val="002C2587"/>
    <w:rsid w:val="002C25DC"/>
    <w:rsid w:val="002C25E8"/>
    <w:rsid w:val="002C2640"/>
    <w:rsid w:val="002C2647"/>
    <w:rsid w:val="002C26A4"/>
    <w:rsid w:val="002C2891"/>
    <w:rsid w:val="002C28BC"/>
    <w:rsid w:val="002C29B8"/>
    <w:rsid w:val="002C2A64"/>
    <w:rsid w:val="002C2A7B"/>
    <w:rsid w:val="002C2B65"/>
    <w:rsid w:val="002C2BC6"/>
    <w:rsid w:val="002C2BD1"/>
    <w:rsid w:val="002C2C4D"/>
    <w:rsid w:val="002C2CD2"/>
    <w:rsid w:val="002C2CE9"/>
    <w:rsid w:val="002C2DA6"/>
    <w:rsid w:val="002C2DD5"/>
    <w:rsid w:val="002C2EBE"/>
    <w:rsid w:val="002C2EFA"/>
    <w:rsid w:val="002C2F22"/>
    <w:rsid w:val="002C2F73"/>
    <w:rsid w:val="002C3027"/>
    <w:rsid w:val="002C3118"/>
    <w:rsid w:val="002C3159"/>
    <w:rsid w:val="002C3250"/>
    <w:rsid w:val="002C3275"/>
    <w:rsid w:val="002C337A"/>
    <w:rsid w:val="002C3449"/>
    <w:rsid w:val="002C3451"/>
    <w:rsid w:val="002C34E9"/>
    <w:rsid w:val="002C3720"/>
    <w:rsid w:val="002C374A"/>
    <w:rsid w:val="002C381B"/>
    <w:rsid w:val="002C3878"/>
    <w:rsid w:val="002C38B8"/>
    <w:rsid w:val="002C3903"/>
    <w:rsid w:val="002C3A08"/>
    <w:rsid w:val="002C3A48"/>
    <w:rsid w:val="002C3A82"/>
    <w:rsid w:val="002C3A8C"/>
    <w:rsid w:val="002C3AE1"/>
    <w:rsid w:val="002C3AEA"/>
    <w:rsid w:val="002C3AF5"/>
    <w:rsid w:val="002C3B4B"/>
    <w:rsid w:val="002C3BAA"/>
    <w:rsid w:val="002C3D5B"/>
    <w:rsid w:val="002C3E40"/>
    <w:rsid w:val="002C3ED1"/>
    <w:rsid w:val="002C3FD1"/>
    <w:rsid w:val="002C3FDB"/>
    <w:rsid w:val="002C3FEB"/>
    <w:rsid w:val="002C3FFC"/>
    <w:rsid w:val="002C402E"/>
    <w:rsid w:val="002C4063"/>
    <w:rsid w:val="002C4135"/>
    <w:rsid w:val="002C4191"/>
    <w:rsid w:val="002C428A"/>
    <w:rsid w:val="002C4350"/>
    <w:rsid w:val="002C438A"/>
    <w:rsid w:val="002C43F9"/>
    <w:rsid w:val="002C453C"/>
    <w:rsid w:val="002C4606"/>
    <w:rsid w:val="002C464F"/>
    <w:rsid w:val="002C469B"/>
    <w:rsid w:val="002C4706"/>
    <w:rsid w:val="002C4839"/>
    <w:rsid w:val="002C48D4"/>
    <w:rsid w:val="002C491B"/>
    <w:rsid w:val="002C4A1A"/>
    <w:rsid w:val="002C4A59"/>
    <w:rsid w:val="002C4AC8"/>
    <w:rsid w:val="002C4B83"/>
    <w:rsid w:val="002C4BEC"/>
    <w:rsid w:val="002C4C19"/>
    <w:rsid w:val="002C4C60"/>
    <w:rsid w:val="002C4CA4"/>
    <w:rsid w:val="002C4D74"/>
    <w:rsid w:val="002C4E02"/>
    <w:rsid w:val="002C4E62"/>
    <w:rsid w:val="002C4E64"/>
    <w:rsid w:val="002C4EC4"/>
    <w:rsid w:val="002C4F60"/>
    <w:rsid w:val="002C5384"/>
    <w:rsid w:val="002C5445"/>
    <w:rsid w:val="002C54C7"/>
    <w:rsid w:val="002C54EB"/>
    <w:rsid w:val="002C552B"/>
    <w:rsid w:val="002C5538"/>
    <w:rsid w:val="002C55D0"/>
    <w:rsid w:val="002C563A"/>
    <w:rsid w:val="002C567C"/>
    <w:rsid w:val="002C572A"/>
    <w:rsid w:val="002C5756"/>
    <w:rsid w:val="002C57A4"/>
    <w:rsid w:val="002C57A8"/>
    <w:rsid w:val="002C585E"/>
    <w:rsid w:val="002C59CB"/>
    <w:rsid w:val="002C5A84"/>
    <w:rsid w:val="002C5BBB"/>
    <w:rsid w:val="002C5BD4"/>
    <w:rsid w:val="002C5BDD"/>
    <w:rsid w:val="002C5CB3"/>
    <w:rsid w:val="002C5E2B"/>
    <w:rsid w:val="002C5F81"/>
    <w:rsid w:val="002C5FA1"/>
    <w:rsid w:val="002C5FAB"/>
    <w:rsid w:val="002C6201"/>
    <w:rsid w:val="002C6291"/>
    <w:rsid w:val="002C62DC"/>
    <w:rsid w:val="002C6312"/>
    <w:rsid w:val="002C63F3"/>
    <w:rsid w:val="002C65D6"/>
    <w:rsid w:val="002C6694"/>
    <w:rsid w:val="002C6701"/>
    <w:rsid w:val="002C6886"/>
    <w:rsid w:val="002C6949"/>
    <w:rsid w:val="002C69F1"/>
    <w:rsid w:val="002C6A9B"/>
    <w:rsid w:val="002C6ACF"/>
    <w:rsid w:val="002C6AFC"/>
    <w:rsid w:val="002C6B2F"/>
    <w:rsid w:val="002C6B3B"/>
    <w:rsid w:val="002C6B61"/>
    <w:rsid w:val="002C6CE0"/>
    <w:rsid w:val="002C6D15"/>
    <w:rsid w:val="002C6ED7"/>
    <w:rsid w:val="002C6FD6"/>
    <w:rsid w:val="002C7204"/>
    <w:rsid w:val="002C720E"/>
    <w:rsid w:val="002C7262"/>
    <w:rsid w:val="002C729F"/>
    <w:rsid w:val="002C73EE"/>
    <w:rsid w:val="002C744B"/>
    <w:rsid w:val="002C744D"/>
    <w:rsid w:val="002C7482"/>
    <w:rsid w:val="002C74CB"/>
    <w:rsid w:val="002C74D3"/>
    <w:rsid w:val="002C7534"/>
    <w:rsid w:val="002C75EB"/>
    <w:rsid w:val="002C77E0"/>
    <w:rsid w:val="002C7971"/>
    <w:rsid w:val="002C7A7E"/>
    <w:rsid w:val="002C7AC8"/>
    <w:rsid w:val="002C7BA1"/>
    <w:rsid w:val="002C7C53"/>
    <w:rsid w:val="002C7C76"/>
    <w:rsid w:val="002C7CB8"/>
    <w:rsid w:val="002C7D78"/>
    <w:rsid w:val="002C7E26"/>
    <w:rsid w:val="002C7E57"/>
    <w:rsid w:val="002C7F80"/>
    <w:rsid w:val="002CA004"/>
    <w:rsid w:val="002D0013"/>
    <w:rsid w:val="002D0039"/>
    <w:rsid w:val="002D0043"/>
    <w:rsid w:val="002D019F"/>
    <w:rsid w:val="002D0241"/>
    <w:rsid w:val="002D031A"/>
    <w:rsid w:val="002D0386"/>
    <w:rsid w:val="002D03AC"/>
    <w:rsid w:val="002D04AB"/>
    <w:rsid w:val="002D0511"/>
    <w:rsid w:val="002D0589"/>
    <w:rsid w:val="002D062D"/>
    <w:rsid w:val="002D0638"/>
    <w:rsid w:val="002D0678"/>
    <w:rsid w:val="002D069F"/>
    <w:rsid w:val="002D06F4"/>
    <w:rsid w:val="002D07A9"/>
    <w:rsid w:val="002D07D7"/>
    <w:rsid w:val="002D098F"/>
    <w:rsid w:val="002D09CD"/>
    <w:rsid w:val="002D0ADE"/>
    <w:rsid w:val="002D0B85"/>
    <w:rsid w:val="002D0CA0"/>
    <w:rsid w:val="002D0CDC"/>
    <w:rsid w:val="002D0D09"/>
    <w:rsid w:val="002D0D1E"/>
    <w:rsid w:val="002D0D23"/>
    <w:rsid w:val="002D0D26"/>
    <w:rsid w:val="002D0DCB"/>
    <w:rsid w:val="002D0E2B"/>
    <w:rsid w:val="002D0E9C"/>
    <w:rsid w:val="002D0F26"/>
    <w:rsid w:val="002D101B"/>
    <w:rsid w:val="002D1020"/>
    <w:rsid w:val="002D1056"/>
    <w:rsid w:val="002D10E8"/>
    <w:rsid w:val="002D10F9"/>
    <w:rsid w:val="002D10FE"/>
    <w:rsid w:val="002D11B7"/>
    <w:rsid w:val="002D1258"/>
    <w:rsid w:val="002D1269"/>
    <w:rsid w:val="002D1328"/>
    <w:rsid w:val="002D132F"/>
    <w:rsid w:val="002D13B8"/>
    <w:rsid w:val="002D13CE"/>
    <w:rsid w:val="002D14B8"/>
    <w:rsid w:val="002D1570"/>
    <w:rsid w:val="002D1640"/>
    <w:rsid w:val="002D1657"/>
    <w:rsid w:val="002D16FA"/>
    <w:rsid w:val="002D17A5"/>
    <w:rsid w:val="002D17C5"/>
    <w:rsid w:val="002D1801"/>
    <w:rsid w:val="002D18BE"/>
    <w:rsid w:val="002D18C2"/>
    <w:rsid w:val="002D1944"/>
    <w:rsid w:val="002D19BA"/>
    <w:rsid w:val="002D1BDF"/>
    <w:rsid w:val="002D1C70"/>
    <w:rsid w:val="002D1D5F"/>
    <w:rsid w:val="002D1D99"/>
    <w:rsid w:val="002D1E86"/>
    <w:rsid w:val="002D1EE3"/>
    <w:rsid w:val="002D1F06"/>
    <w:rsid w:val="002D1FDF"/>
    <w:rsid w:val="002D21AF"/>
    <w:rsid w:val="002D244D"/>
    <w:rsid w:val="002D2466"/>
    <w:rsid w:val="002D24C5"/>
    <w:rsid w:val="002D253F"/>
    <w:rsid w:val="002D2607"/>
    <w:rsid w:val="002D276C"/>
    <w:rsid w:val="002D27A2"/>
    <w:rsid w:val="002D27B9"/>
    <w:rsid w:val="002D27D5"/>
    <w:rsid w:val="002D2824"/>
    <w:rsid w:val="002D290A"/>
    <w:rsid w:val="002D2916"/>
    <w:rsid w:val="002D29F2"/>
    <w:rsid w:val="002D2A8A"/>
    <w:rsid w:val="002D2A8F"/>
    <w:rsid w:val="002D2C96"/>
    <w:rsid w:val="002D2D34"/>
    <w:rsid w:val="002D2E59"/>
    <w:rsid w:val="002D2EB6"/>
    <w:rsid w:val="002D3024"/>
    <w:rsid w:val="002D304E"/>
    <w:rsid w:val="002D311E"/>
    <w:rsid w:val="002D318B"/>
    <w:rsid w:val="002D31FE"/>
    <w:rsid w:val="002D333E"/>
    <w:rsid w:val="002D33DC"/>
    <w:rsid w:val="002D358D"/>
    <w:rsid w:val="002D3695"/>
    <w:rsid w:val="002D369F"/>
    <w:rsid w:val="002D36F9"/>
    <w:rsid w:val="002D3723"/>
    <w:rsid w:val="002D3731"/>
    <w:rsid w:val="002D37F2"/>
    <w:rsid w:val="002D3963"/>
    <w:rsid w:val="002D39E1"/>
    <w:rsid w:val="002D3AAB"/>
    <w:rsid w:val="002D3AFE"/>
    <w:rsid w:val="002D3B00"/>
    <w:rsid w:val="002D3B77"/>
    <w:rsid w:val="002D3C6F"/>
    <w:rsid w:val="002D3C92"/>
    <w:rsid w:val="002D3CDC"/>
    <w:rsid w:val="002D3EC7"/>
    <w:rsid w:val="002D3ED9"/>
    <w:rsid w:val="002D3FA2"/>
    <w:rsid w:val="002D407B"/>
    <w:rsid w:val="002D4203"/>
    <w:rsid w:val="002D4217"/>
    <w:rsid w:val="002D4305"/>
    <w:rsid w:val="002D434A"/>
    <w:rsid w:val="002D43A2"/>
    <w:rsid w:val="002D447F"/>
    <w:rsid w:val="002D44E8"/>
    <w:rsid w:val="002D4621"/>
    <w:rsid w:val="002D4671"/>
    <w:rsid w:val="002D4678"/>
    <w:rsid w:val="002D46C7"/>
    <w:rsid w:val="002D471D"/>
    <w:rsid w:val="002D479D"/>
    <w:rsid w:val="002D47A0"/>
    <w:rsid w:val="002D4A20"/>
    <w:rsid w:val="002D4C5D"/>
    <w:rsid w:val="002D4CF2"/>
    <w:rsid w:val="002D4D85"/>
    <w:rsid w:val="002D4DC8"/>
    <w:rsid w:val="002D4EEB"/>
    <w:rsid w:val="002D4F5D"/>
    <w:rsid w:val="002D51CE"/>
    <w:rsid w:val="002D525C"/>
    <w:rsid w:val="002D529C"/>
    <w:rsid w:val="002D52D7"/>
    <w:rsid w:val="002D5326"/>
    <w:rsid w:val="002D5350"/>
    <w:rsid w:val="002D5366"/>
    <w:rsid w:val="002D53B1"/>
    <w:rsid w:val="002D549E"/>
    <w:rsid w:val="002D54C4"/>
    <w:rsid w:val="002D5528"/>
    <w:rsid w:val="002D5602"/>
    <w:rsid w:val="002D56A5"/>
    <w:rsid w:val="002D56CE"/>
    <w:rsid w:val="002D56F4"/>
    <w:rsid w:val="002D577B"/>
    <w:rsid w:val="002D5784"/>
    <w:rsid w:val="002D582C"/>
    <w:rsid w:val="002D58A5"/>
    <w:rsid w:val="002D593D"/>
    <w:rsid w:val="002D5945"/>
    <w:rsid w:val="002D596D"/>
    <w:rsid w:val="002D5980"/>
    <w:rsid w:val="002D59AC"/>
    <w:rsid w:val="002D5A0C"/>
    <w:rsid w:val="002D5F1A"/>
    <w:rsid w:val="002D5F31"/>
    <w:rsid w:val="002D608E"/>
    <w:rsid w:val="002D60E5"/>
    <w:rsid w:val="002D60F3"/>
    <w:rsid w:val="002D615D"/>
    <w:rsid w:val="002D61F7"/>
    <w:rsid w:val="002D6252"/>
    <w:rsid w:val="002D6271"/>
    <w:rsid w:val="002D62D5"/>
    <w:rsid w:val="002D63AF"/>
    <w:rsid w:val="002D6477"/>
    <w:rsid w:val="002D6485"/>
    <w:rsid w:val="002D64B7"/>
    <w:rsid w:val="002D64C3"/>
    <w:rsid w:val="002D64C8"/>
    <w:rsid w:val="002D64C9"/>
    <w:rsid w:val="002D652D"/>
    <w:rsid w:val="002D670E"/>
    <w:rsid w:val="002D6712"/>
    <w:rsid w:val="002D6764"/>
    <w:rsid w:val="002D686C"/>
    <w:rsid w:val="002D6946"/>
    <w:rsid w:val="002D69D3"/>
    <w:rsid w:val="002D6A1A"/>
    <w:rsid w:val="002D6B78"/>
    <w:rsid w:val="002D6BB8"/>
    <w:rsid w:val="002D6CA9"/>
    <w:rsid w:val="002D6CD4"/>
    <w:rsid w:val="002D6D25"/>
    <w:rsid w:val="002D6E0C"/>
    <w:rsid w:val="002D6E20"/>
    <w:rsid w:val="002D6E59"/>
    <w:rsid w:val="002D6E77"/>
    <w:rsid w:val="002D7099"/>
    <w:rsid w:val="002D7151"/>
    <w:rsid w:val="002D7166"/>
    <w:rsid w:val="002D7200"/>
    <w:rsid w:val="002D72E2"/>
    <w:rsid w:val="002D73A2"/>
    <w:rsid w:val="002D7487"/>
    <w:rsid w:val="002D75BB"/>
    <w:rsid w:val="002D76B2"/>
    <w:rsid w:val="002D779F"/>
    <w:rsid w:val="002D7834"/>
    <w:rsid w:val="002D78A0"/>
    <w:rsid w:val="002D78DD"/>
    <w:rsid w:val="002D7980"/>
    <w:rsid w:val="002D7A45"/>
    <w:rsid w:val="002D7A56"/>
    <w:rsid w:val="002D7C36"/>
    <w:rsid w:val="002D7C7B"/>
    <w:rsid w:val="002D7CC2"/>
    <w:rsid w:val="002D7F00"/>
    <w:rsid w:val="002D7F0C"/>
    <w:rsid w:val="002D7F73"/>
    <w:rsid w:val="002D7F92"/>
    <w:rsid w:val="002D7FFC"/>
    <w:rsid w:val="002D89C6"/>
    <w:rsid w:val="002E0148"/>
    <w:rsid w:val="002E018B"/>
    <w:rsid w:val="002E02C2"/>
    <w:rsid w:val="002E02C5"/>
    <w:rsid w:val="002E02CE"/>
    <w:rsid w:val="002E0305"/>
    <w:rsid w:val="002E03C6"/>
    <w:rsid w:val="002E0468"/>
    <w:rsid w:val="002E04FD"/>
    <w:rsid w:val="002E051E"/>
    <w:rsid w:val="002E058F"/>
    <w:rsid w:val="002E06F3"/>
    <w:rsid w:val="002E081C"/>
    <w:rsid w:val="002E0887"/>
    <w:rsid w:val="002E0A02"/>
    <w:rsid w:val="002E0A3A"/>
    <w:rsid w:val="002E0ACE"/>
    <w:rsid w:val="002E0ADC"/>
    <w:rsid w:val="002E0DBC"/>
    <w:rsid w:val="002E0DF5"/>
    <w:rsid w:val="002E0E13"/>
    <w:rsid w:val="002E0E37"/>
    <w:rsid w:val="002E0E93"/>
    <w:rsid w:val="002E0ED5"/>
    <w:rsid w:val="002E0F48"/>
    <w:rsid w:val="002E0FE2"/>
    <w:rsid w:val="002E0FE6"/>
    <w:rsid w:val="002E1069"/>
    <w:rsid w:val="002E10A3"/>
    <w:rsid w:val="002E135C"/>
    <w:rsid w:val="002E1392"/>
    <w:rsid w:val="002E13AF"/>
    <w:rsid w:val="002E145A"/>
    <w:rsid w:val="002E1552"/>
    <w:rsid w:val="002E15C4"/>
    <w:rsid w:val="002E15E4"/>
    <w:rsid w:val="002E17F4"/>
    <w:rsid w:val="002E184D"/>
    <w:rsid w:val="002E1863"/>
    <w:rsid w:val="002E186A"/>
    <w:rsid w:val="002E187F"/>
    <w:rsid w:val="002E18F3"/>
    <w:rsid w:val="002E1A0D"/>
    <w:rsid w:val="002E1A1D"/>
    <w:rsid w:val="002E1B19"/>
    <w:rsid w:val="002E1BCC"/>
    <w:rsid w:val="002E1D09"/>
    <w:rsid w:val="002E1D62"/>
    <w:rsid w:val="002E1DE0"/>
    <w:rsid w:val="002E1EEC"/>
    <w:rsid w:val="002E1F62"/>
    <w:rsid w:val="002E1FF1"/>
    <w:rsid w:val="002E2080"/>
    <w:rsid w:val="002E211C"/>
    <w:rsid w:val="002E2126"/>
    <w:rsid w:val="002E2134"/>
    <w:rsid w:val="002E21E5"/>
    <w:rsid w:val="002E2288"/>
    <w:rsid w:val="002E234D"/>
    <w:rsid w:val="002E2541"/>
    <w:rsid w:val="002E2561"/>
    <w:rsid w:val="002E2861"/>
    <w:rsid w:val="002E28EE"/>
    <w:rsid w:val="002E2983"/>
    <w:rsid w:val="002E2AF4"/>
    <w:rsid w:val="002E2B12"/>
    <w:rsid w:val="002E2C05"/>
    <w:rsid w:val="002E2D5A"/>
    <w:rsid w:val="002E2D62"/>
    <w:rsid w:val="002E2D99"/>
    <w:rsid w:val="002E2DCB"/>
    <w:rsid w:val="002E2E03"/>
    <w:rsid w:val="002E2E71"/>
    <w:rsid w:val="002E2FAF"/>
    <w:rsid w:val="002E2FE3"/>
    <w:rsid w:val="002E3121"/>
    <w:rsid w:val="002E318E"/>
    <w:rsid w:val="002E31E5"/>
    <w:rsid w:val="002E3202"/>
    <w:rsid w:val="002E321B"/>
    <w:rsid w:val="002E3272"/>
    <w:rsid w:val="002E3278"/>
    <w:rsid w:val="002E3368"/>
    <w:rsid w:val="002E3432"/>
    <w:rsid w:val="002E3582"/>
    <w:rsid w:val="002E3772"/>
    <w:rsid w:val="002E3819"/>
    <w:rsid w:val="002E3A8C"/>
    <w:rsid w:val="002E3AF5"/>
    <w:rsid w:val="002E3C65"/>
    <w:rsid w:val="002E3C94"/>
    <w:rsid w:val="002E3D36"/>
    <w:rsid w:val="002E3DD9"/>
    <w:rsid w:val="002E3E4C"/>
    <w:rsid w:val="002E3E76"/>
    <w:rsid w:val="002E3F72"/>
    <w:rsid w:val="002E40F9"/>
    <w:rsid w:val="002E42A4"/>
    <w:rsid w:val="002E430D"/>
    <w:rsid w:val="002E4353"/>
    <w:rsid w:val="002E438D"/>
    <w:rsid w:val="002E46B0"/>
    <w:rsid w:val="002E47E9"/>
    <w:rsid w:val="002E4875"/>
    <w:rsid w:val="002E4987"/>
    <w:rsid w:val="002E4A79"/>
    <w:rsid w:val="002E4C19"/>
    <w:rsid w:val="002E4C34"/>
    <w:rsid w:val="002E4C51"/>
    <w:rsid w:val="002E4CC6"/>
    <w:rsid w:val="002E4D41"/>
    <w:rsid w:val="002E4D51"/>
    <w:rsid w:val="002E4E02"/>
    <w:rsid w:val="002E4E7C"/>
    <w:rsid w:val="002E4ED8"/>
    <w:rsid w:val="002E506B"/>
    <w:rsid w:val="002E5162"/>
    <w:rsid w:val="002E5336"/>
    <w:rsid w:val="002E548C"/>
    <w:rsid w:val="002E54CB"/>
    <w:rsid w:val="002E5555"/>
    <w:rsid w:val="002E55DA"/>
    <w:rsid w:val="002E5618"/>
    <w:rsid w:val="002E57A0"/>
    <w:rsid w:val="002E587F"/>
    <w:rsid w:val="002E5A88"/>
    <w:rsid w:val="002E5C62"/>
    <w:rsid w:val="002E5D80"/>
    <w:rsid w:val="002E5F5C"/>
    <w:rsid w:val="002E5F5F"/>
    <w:rsid w:val="002E60A1"/>
    <w:rsid w:val="002E60A2"/>
    <w:rsid w:val="002E6182"/>
    <w:rsid w:val="002E61A0"/>
    <w:rsid w:val="002E61A9"/>
    <w:rsid w:val="002E61EC"/>
    <w:rsid w:val="002E61F2"/>
    <w:rsid w:val="002E6224"/>
    <w:rsid w:val="002E632B"/>
    <w:rsid w:val="002E639B"/>
    <w:rsid w:val="002E6420"/>
    <w:rsid w:val="002E64C9"/>
    <w:rsid w:val="002E655D"/>
    <w:rsid w:val="002E6575"/>
    <w:rsid w:val="002E6695"/>
    <w:rsid w:val="002E6780"/>
    <w:rsid w:val="002E68C6"/>
    <w:rsid w:val="002E68F2"/>
    <w:rsid w:val="002E6954"/>
    <w:rsid w:val="002E696D"/>
    <w:rsid w:val="002E69C2"/>
    <w:rsid w:val="002E6A02"/>
    <w:rsid w:val="002E6A70"/>
    <w:rsid w:val="002E6A97"/>
    <w:rsid w:val="002E6B2C"/>
    <w:rsid w:val="002E6B86"/>
    <w:rsid w:val="002E6C49"/>
    <w:rsid w:val="002E6CFA"/>
    <w:rsid w:val="002E6D13"/>
    <w:rsid w:val="002E6E13"/>
    <w:rsid w:val="002E6E4C"/>
    <w:rsid w:val="002E6EDB"/>
    <w:rsid w:val="002E702E"/>
    <w:rsid w:val="002E7048"/>
    <w:rsid w:val="002E70ED"/>
    <w:rsid w:val="002E70F2"/>
    <w:rsid w:val="002E7149"/>
    <w:rsid w:val="002E71C6"/>
    <w:rsid w:val="002E72BA"/>
    <w:rsid w:val="002E74DB"/>
    <w:rsid w:val="002E750B"/>
    <w:rsid w:val="002E764C"/>
    <w:rsid w:val="002E7688"/>
    <w:rsid w:val="002E769B"/>
    <w:rsid w:val="002E7758"/>
    <w:rsid w:val="002E77AD"/>
    <w:rsid w:val="002E78F7"/>
    <w:rsid w:val="002E792F"/>
    <w:rsid w:val="002E798A"/>
    <w:rsid w:val="002E79E8"/>
    <w:rsid w:val="002E7BBB"/>
    <w:rsid w:val="002E7C4A"/>
    <w:rsid w:val="002E7DF3"/>
    <w:rsid w:val="002E7E9A"/>
    <w:rsid w:val="002E7EBC"/>
    <w:rsid w:val="002E7EE6"/>
    <w:rsid w:val="002E7F59"/>
    <w:rsid w:val="002E7F8D"/>
    <w:rsid w:val="002F0020"/>
    <w:rsid w:val="002F0068"/>
    <w:rsid w:val="002F0125"/>
    <w:rsid w:val="002F016A"/>
    <w:rsid w:val="002F0178"/>
    <w:rsid w:val="002F01AB"/>
    <w:rsid w:val="002F02F1"/>
    <w:rsid w:val="002F034C"/>
    <w:rsid w:val="002F036E"/>
    <w:rsid w:val="002F046D"/>
    <w:rsid w:val="002F04A5"/>
    <w:rsid w:val="002F04E4"/>
    <w:rsid w:val="002F05F5"/>
    <w:rsid w:val="002F0605"/>
    <w:rsid w:val="002F0619"/>
    <w:rsid w:val="002F0636"/>
    <w:rsid w:val="002F067A"/>
    <w:rsid w:val="002F0686"/>
    <w:rsid w:val="002F06DC"/>
    <w:rsid w:val="002F0708"/>
    <w:rsid w:val="002F0733"/>
    <w:rsid w:val="002F07B8"/>
    <w:rsid w:val="002F080C"/>
    <w:rsid w:val="002F086E"/>
    <w:rsid w:val="002F09B8"/>
    <w:rsid w:val="002F0A5A"/>
    <w:rsid w:val="002F0ADD"/>
    <w:rsid w:val="002F0BFC"/>
    <w:rsid w:val="002F0CBE"/>
    <w:rsid w:val="002F0E67"/>
    <w:rsid w:val="002F0E7F"/>
    <w:rsid w:val="002F0EC7"/>
    <w:rsid w:val="002F0ED9"/>
    <w:rsid w:val="002F114B"/>
    <w:rsid w:val="002F122E"/>
    <w:rsid w:val="002F1301"/>
    <w:rsid w:val="002F132A"/>
    <w:rsid w:val="002F13E4"/>
    <w:rsid w:val="002F1557"/>
    <w:rsid w:val="002F1661"/>
    <w:rsid w:val="002F1702"/>
    <w:rsid w:val="002F1721"/>
    <w:rsid w:val="002F174D"/>
    <w:rsid w:val="002F192D"/>
    <w:rsid w:val="002F1A18"/>
    <w:rsid w:val="002F1B98"/>
    <w:rsid w:val="002F1B9B"/>
    <w:rsid w:val="002F1C25"/>
    <w:rsid w:val="002F1D78"/>
    <w:rsid w:val="002F1F05"/>
    <w:rsid w:val="002F1F27"/>
    <w:rsid w:val="002F1F67"/>
    <w:rsid w:val="002F1FCB"/>
    <w:rsid w:val="002F2239"/>
    <w:rsid w:val="002F23BB"/>
    <w:rsid w:val="002F2411"/>
    <w:rsid w:val="002F24B3"/>
    <w:rsid w:val="002F2549"/>
    <w:rsid w:val="002F262C"/>
    <w:rsid w:val="002F263E"/>
    <w:rsid w:val="002F2671"/>
    <w:rsid w:val="002F2697"/>
    <w:rsid w:val="002F274F"/>
    <w:rsid w:val="002F27B9"/>
    <w:rsid w:val="002F286D"/>
    <w:rsid w:val="002F2894"/>
    <w:rsid w:val="002F28AE"/>
    <w:rsid w:val="002F28D9"/>
    <w:rsid w:val="002F2949"/>
    <w:rsid w:val="002F299F"/>
    <w:rsid w:val="002F2A3C"/>
    <w:rsid w:val="002F2A47"/>
    <w:rsid w:val="002F2A62"/>
    <w:rsid w:val="002F2A8E"/>
    <w:rsid w:val="002F2AFC"/>
    <w:rsid w:val="002F2BFD"/>
    <w:rsid w:val="002F2CBD"/>
    <w:rsid w:val="002F2D97"/>
    <w:rsid w:val="002F2EEA"/>
    <w:rsid w:val="002F2F2C"/>
    <w:rsid w:val="002F2F75"/>
    <w:rsid w:val="002F3019"/>
    <w:rsid w:val="002F30DE"/>
    <w:rsid w:val="002F3103"/>
    <w:rsid w:val="002F3114"/>
    <w:rsid w:val="002F31AD"/>
    <w:rsid w:val="002F3221"/>
    <w:rsid w:val="002F3257"/>
    <w:rsid w:val="002F328B"/>
    <w:rsid w:val="002F3392"/>
    <w:rsid w:val="002F343E"/>
    <w:rsid w:val="002F349C"/>
    <w:rsid w:val="002F34E8"/>
    <w:rsid w:val="002F3518"/>
    <w:rsid w:val="002F35D2"/>
    <w:rsid w:val="002F35F8"/>
    <w:rsid w:val="002F362C"/>
    <w:rsid w:val="002F3673"/>
    <w:rsid w:val="002F3790"/>
    <w:rsid w:val="002F37A3"/>
    <w:rsid w:val="002F380B"/>
    <w:rsid w:val="002F3881"/>
    <w:rsid w:val="002F38B4"/>
    <w:rsid w:val="002F3962"/>
    <w:rsid w:val="002F3A25"/>
    <w:rsid w:val="002F3A36"/>
    <w:rsid w:val="002F3A66"/>
    <w:rsid w:val="002F3BAE"/>
    <w:rsid w:val="002F3C50"/>
    <w:rsid w:val="002F3D42"/>
    <w:rsid w:val="002F3DAF"/>
    <w:rsid w:val="002F3E6C"/>
    <w:rsid w:val="002F3FA1"/>
    <w:rsid w:val="002F40B4"/>
    <w:rsid w:val="002F40D9"/>
    <w:rsid w:val="002F40EE"/>
    <w:rsid w:val="002F40FE"/>
    <w:rsid w:val="002F41C1"/>
    <w:rsid w:val="002F41E5"/>
    <w:rsid w:val="002F422B"/>
    <w:rsid w:val="002F442A"/>
    <w:rsid w:val="002F44C9"/>
    <w:rsid w:val="002F44D8"/>
    <w:rsid w:val="002F4642"/>
    <w:rsid w:val="002F4689"/>
    <w:rsid w:val="002F46E4"/>
    <w:rsid w:val="002F4722"/>
    <w:rsid w:val="002F478F"/>
    <w:rsid w:val="002F484E"/>
    <w:rsid w:val="002F48C1"/>
    <w:rsid w:val="002F4979"/>
    <w:rsid w:val="002F499E"/>
    <w:rsid w:val="002F4A03"/>
    <w:rsid w:val="002F4A1F"/>
    <w:rsid w:val="002F4B7F"/>
    <w:rsid w:val="002F4C81"/>
    <w:rsid w:val="002F4E20"/>
    <w:rsid w:val="002F4F10"/>
    <w:rsid w:val="002F5185"/>
    <w:rsid w:val="002F5293"/>
    <w:rsid w:val="002F54A6"/>
    <w:rsid w:val="002F54CB"/>
    <w:rsid w:val="002F54E7"/>
    <w:rsid w:val="002F54F1"/>
    <w:rsid w:val="002F5517"/>
    <w:rsid w:val="002F5568"/>
    <w:rsid w:val="002F559E"/>
    <w:rsid w:val="002F55B6"/>
    <w:rsid w:val="002F55BE"/>
    <w:rsid w:val="002F55D2"/>
    <w:rsid w:val="002F5A24"/>
    <w:rsid w:val="002F5A9D"/>
    <w:rsid w:val="002F5ACD"/>
    <w:rsid w:val="002F5B06"/>
    <w:rsid w:val="002F5B25"/>
    <w:rsid w:val="002F5B28"/>
    <w:rsid w:val="002F5B41"/>
    <w:rsid w:val="002F5B94"/>
    <w:rsid w:val="002F5C4D"/>
    <w:rsid w:val="002F5C88"/>
    <w:rsid w:val="002F5D3C"/>
    <w:rsid w:val="002F5D47"/>
    <w:rsid w:val="002F5DE9"/>
    <w:rsid w:val="002F5E43"/>
    <w:rsid w:val="002F601F"/>
    <w:rsid w:val="002F6138"/>
    <w:rsid w:val="002F6163"/>
    <w:rsid w:val="002F64A0"/>
    <w:rsid w:val="002F64FF"/>
    <w:rsid w:val="002F6523"/>
    <w:rsid w:val="002F656C"/>
    <w:rsid w:val="002F6684"/>
    <w:rsid w:val="002F6693"/>
    <w:rsid w:val="002F680C"/>
    <w:rsid w:val="002F6872"/>
    <w:rsid w:val="002F68BE"/>
    <w:rsid w:val="002F68FE"/>
    <w:rsid w:val="002F69D1"/>
    <w:rsid w:val="002F6A24"/>
    <w:rsid w:val="002F6A3B"/>
    <w:rsid w:val="002F6AF7"/>
    <w:rsid w:val="002F6B1C"/>
    <w:rsid w:val="002F6BF9"/>
    <w:rsid w:val="002F6CCE"/>
    <w:rsid w:val="002F6E49"/>
    <w:rsid w:val="002F6F5C"/>
    <w:rsid w:val="002F6F9C"/>
    <w:rsid w:val="002F705B"/>
    <w:rsid w:val="002F7136"/>
    <w:rsid w:val="002F7151"/>
    <w:rsid w:val="002F71B6"/>
    <w:rsid w:val="002F7254"/>
    <w:rsid w:val="002F72D5"/>
    <w:rsid w:val="002F734A"/>
    <w:rsid w:val="002F73DE"/>
    <w:rsid w:val="002F745A"/>
    <w:rsid w:val="002F74A7"/>
    <w:rsid w:val="002F74AB"/>
    <w:rsid w:val="002F74D4"/>
    <w:rsid w:val="002F74F7"/>
    <w:rsid w:val="002F75C1"/>
    <w:rsid w:val="002F7702"/>
    <w:rsid w:val="002F7784"/>
    <w:rsid w:val="002F77E8"/>
    <w:rsid w:val="002F78BF"/>
    <w:rsid w:val="002F79A6"/>
    <w:rsid w:val="002F7A16"/>
    <w:rsid w:val="002F7B0E"/>
    <w:rsid w:val="002F7CEF"/>
    <w:rsid w:val="002F7D25"/>
    <w:rsid w:val="002F7D5F"/>
    <w:rsid w:val="002F7D6D"/>
    <w:rsid w:val="002F7F41"/>
    <w:rsid w:val="002F7F91"/>
    <w:rsid w:val="00300019"/>
    <w:rsid w:val="00300030"/>
    <w:rsid w:val="0030022F"/>
    <w:rsid w:val="0030024A"/>
    <w:rsid w:val="003002CA"/>
    <w:rsid w:val="00300350"/>
    <w:rsid w:val="0030037C"/>
    <w:rsid w:val="00300455"/>
    <w:rsid w:val="0030045A"/>
    <w:rsid w:val="003004FD"/>
    <w:rsid w:val="003004FF"/>
    <w:rsid w:val="00300502"/>
    <w:rsid w:val="00300503"/>
    <w:rsid w:val="0030053C"/>
    <w:rsid w:val="0030060A"/>
    <w:rsid w:val="0030069B"/>
    <w:rsid w:val="003006A7"/>
    <w:rsid w:val="003006B4"/>
    <w:rsid w:val="00300733"/>
    <w:rsid w:val="00300766"/>
    <w:rsid w:val="00300887"/>
    <w:rsid w:val="0030088E"/>
    <w:rsid w:val="003008BE"/>
    <w:rsid w:val="003009E6"/>
    <w:rsid w:val="00300A23"/>
    <w:rsid w:val="00300AEF"/>
    <w:rsid w:val="00300B9D"/>
    <w:rsid w:val="00300BBE"/>
    <w:rsid w:val="00300C2F"/>
    <w:rsid w:val="00300C48"/>
    <w:rsid w:val="00300CA7"/>
    <w:rsid w:val="00300CBA"/>
    <w:rsid w:val="00300EA0"/>
    <w:rsid w:val="00300EE2"/>
    <w:rsid w:val="00301065"/>
    <w:rsid w:val="00301076"/>
    <w:rsid w:val="0030112D"/>
    <w:rsid w:val="00301136"/>
    <w:rsid w:val="003011C2"/>
    <w:rsid w:val="0030130C"/>
    <w:rsid w:val="003013C8"/>
    <w:rsid w:val="00301496"/>
    <w:rsid w:val="0030160F"/>
    <w:rsid w:val="0030172E"/>
    <w:rsid w:val="00301844"/>
    <w:rsid w:val="003018CB"/>
    <w:rsid w:val="0030190B"/>
    <w:rsid w:val="00301C49"/>
    <w:rsid w:val="00301C5A"/>
    <w:rsid w:val="00301D9C"/>
    <w:rsid w:val="00301E03"/>
    <w:rsid w:val="00301FA4"/>
    <w:rsid w:val="003020EF"/>
    <w:rsid w:val="00302144"/>
    <w:rsid w:val="00302174"/>
    <w:rsid w:val="00302201"/>
    <w:rsid w:val="00302352"/>
    <w:rsid w:val="0030242E"/>
    <w:rsid w:val="00302521"/>
    <w:rsid w:val="0030258F"/>
    <w:rsid w:val="003025CC"/>
    <w:rsid w:val="003026BB"/>
    <w:rsid w:val="003026EB"/>
    <w:rsid w:val="00302757"/>
    <w:rsid w:val="003027C4"/>
    <w:rsid w:val="003027CD"/>
    <w:rsid w:val="003028F4"/>
    <w:rsid w:val="003029EB"/>
    <w:rsid w:val="00302A13"/>
    <w:rsid w:val="00302ABF"/>
    <w:rsid w:val="00302B48"/>
    <w:rsid w:val="00302C6B"/>
    <w:rsid w:val="00302CE6"/>
    <w:rsid w:val="00302D05"/>
    <w:rsid w:val="00302D24"/>
    <w:rsid w:val="00302D94"/>
    <w:rsid w:val="00302ECE"/>
    <w:rsid w:val="00302F43"/>
    <w:rsid w:val="00302F90"/>
    <w:rsid w:val="00303017"/>
    <w:rsid w:val="0030302E"/>
    <w:rsid w:val="00303030"/>
    <w:rsid w:val="00303087"/>
    <w:rsid w:val="00303144"/>
    <w:rsid w:val="00303237"/>
    <w:rsid w:val="00303240"/>
    <w:rsid w:val="0030346F"/>
    <w:rsid w:val="0030354B"/>
    <w:rsid w:val="00303595"/>
    <w:rsid w:val="003035D9"/>
    <w:rsid w:val="003036CA"/>
    <w:rsid w:val="003036E0"/>
    <w:rsid w:val="00303794"/>
    <w:rsid w:val="003037F6"/>
    <w:rsid w:val="0030380C"/>
    <w:rsid w:val="00303827"/>
    <w:rsid w:val="0030384E"/>
    <w:rsid w:val="00303889"/>
    <w:rsid w:val="00303963"/>
    <w:rsid w:val="00303983"/>
    <w:rsid w:val="003039A3"/>
    <w:rsid w:val="003039B9"/>
    <w:rsid w:val="00303A5E"/>
    <w:rsid w:val="00303B28"/>
    <w:rsid w:val="00303B7A"/>
    <w:rsid w:val="00303D35"/>
    <w:rsid w:val="00303D68"/>
    <w:rsid w:val="00303E55"/>
    <w:rsid w:val="00303E5D"/>
    <w:rsid w:val="00303EAC"/>
    <w:rsid w:val="00303F3D"/>
    <w:rsid w:val="00303F68"/>
    <w:rsid w:val="00303FAA"/>
    <w:rsid w:val="00303FE6"/>
    <w:rsid w:val="0030402D"/>
    <w:rsid w:val="00304055"/>
    <w:rsid w:val="0030421E"/>
    <w:rsid w:val="00304316"/>
    <w:rsid w:val="00304427"/>
    <w:rsid w:val="003044FF"/>
    <w:rsid w:val="003046C3"/>
    <w:rsid w:val="003046C9"/>
    <w:rsid w:val="00304753"/>
    <w:rsid w:val="00304812"/>
    <w:rsid w:val="0030488E"/>
    <w:rsid w:val="003049B6"/>
    <w:rsid w:val="00304A39"/>
    <w:rsid w:val="00304A41"/>
    <w:rsid w:val="00304A63"/>
    <w:rsid w:val="00304A90"/>
    <w:rsid w:val="00304C1E"/>
    <w:rsid w:val="00304C8B"/>
    <w:rsid w:val="00304CC0"/>
    <w:rsid w:val="00304D39"/>
    <w:rsid w:val="00304DB6"/>
    <w:rsid w:val="00304F1B"/>
    <w:rsid w:val="00304F5D"/>
    <w:rsid w:val="00304F89"/>
    <w:rsid w:val="00304FE8"/>
    <w:rsid w:val="00305082"/>
    <w:rsid w:val="00305236"/>
    <w:rsid w:val="0030538D"/>
    <w:rsid w:val="00305396"/>
    <w:rsid w:val="0030544A"/>
    <w:rsid w:val="00305458"/>
    <w:rsid w:val="00305497"/>
    <w:rsid w:val="003055A1"/>
    <w:rsid w:val="0030569D"/>
    <w:rsid w:val="00305702"/>
    <w:rsid w:val="0030570C"/>
    <w:rsid w:val="00305779"/>
    <w:rsid w:val="003057B8"/>
    <w:rsid w:val="003059AB"/>
    <w:rsid w:val="003059FB"/>
    <w:rsid w:val="00305A19"/>
    <w:rsid w:val="00305A1A"/>
    <w:rsid w:val="00305BBA"/>
    <w:rsid w:val="00305C1C"/>
    <w:rsid w:val="00305CC9"/>
    <w:rsid w:val="00305D05"/>
    <w:rsid w:val="00305D22"/>
    <w:rsid w:val="00305D5B"/>
    <w:rsid w:val="00305DE8"/>
    <w:rsid w:val="00305E25"/>
    <w:rsid w:val="00305E31"/>
    <w:rsid w:val="00305E53"/>
    <w:rsid w:val="00305F00"/>
    <w:rsid w:val="00305F75"/>
    <w:rsid w:val="003060D6"/>
    <w:rsid w:val="003060E0"/>
    <w:rsid w:val="003060E2"/>
    <w:rsid w:val="00306136"/>
    <w:rsid w:val="00306157"/>
    <w:rsid w:val="00306307"/>
    <w:rsid w:val="00306354"/>
    <w:rsid w:val="00306392"/>
    <w:rsid w:val="003063DE"/>
    <w:rsid w:val="003063FA"/>
    <w:rsid w:val="0030661E"/>
    <w:rsid w:val="00306694"/>
    <w:rsid w:val="0030672A"/>
    <w:rsid w:val="0030672F"/>
    <w:rsid w:val="003067DA"/>
    <w:rsid w:val="00306874"/>
    <w:rsid w:val="003068E9"/>
    <w:rsid w:val="00306921"/>
    <w:rsid w:val="003069A7"/>
    <w:rsid w:val="00306A01"/>
    <w:rsid w:val="00306AA3"/>
    <w:rsid w:val="00306AF6"/>
    <w:rsid w:val="00306B73"/>
    <w:rsid w:val="00306BAE"/>
    <w:rsid w:val="00306BB1"/>
    <w:rsid w:val="00306BD1"/>
    <w:rsid w:val="00306CC1"/>
    <w:rsid w:val="00306EBC"/>
    <w:rsid w:val="00307084"/>
    <w:rsid w:val="003070F9"/>
    <w:rsid w:val="003071A6"/>
    <w:rsid w:val="003071EE"/>
    <w:rsid w:val="00307214"/>
    <w:rsid w:val="003072AD"/>
    <w:rsid w:val="00307549"/>
    <w:rsid w:val="003075B9"/>
    <w:rsid w:val="003076B6"/>
    <w:rsid w:val="003076E7"/>
    <w:rsid w:val="00307852"/>
    <w:rsid w:val="0030787A"/>
    <w:rsid w:val="0030797C"/>
    <w:rsid w:val="00307B04"/>
    <w:rsid w:val="00307BE1"/>
    <w:rsid w:val="00307C7C"/>
    <w:rsid w:val="00307CCB"/>
    <w:rsid w:val="00307D85"/>
    <w:rsid w:val="00307D86"/>
    <w:rsid w:val="00307DB4"/>
    <w:rsid w:val="00310044"/>
    <w:rsid w:val="00310048"/>
    <w:rsid w:val="00310082"/>
    <w:rsid w:val="00310095"/>
    <w:rsid w:val="003100D5"/>
    <w:rsid w:val="00310156"/>
    <w:rsid w:val="0031018C"/>
    <w:rsid w:val="00310210"/>
    <w:rsid w:val="003103D1"/>
    <w:rsid w:val="003104AC"/>
    <w:rsid w:val="00310636"/>
    <w:rsid w:val="00310704"/>
    <w:rsid w:val="00310729"/>
    <w:rsid w:val="003107EA"/>
    <w:rsid w:val="003108E5"/>
    <w:rsid w:val="00310A22"/>
    <w:rsid w:val="00310AF6"/>
    <w:rsid w:val="00310C3A"/>
    <w:rsid w:val="00310C72"/>
    <w:rsid w:val="00310C7A"/>
    <w:rsid w:val="00310DB6"/>
    <w:rsid w:val="00310DBD"/>
    <w:rsid w:val="00310E2B"/>
    <w:rsid w:val="00310F5A"/>
    <w:rsid w:val="00310F82"/>
    <w:rsid w:val="00310FA0"/>
    <w:rsid w:val="00310FBC"/>
    <w:rsid w:val="00310FD2"/>
    <w:rsid w:val="00311026"/>
    <w:rsid w:val="00311070"/>
    <w:rsid w:val="00311092"/>
    <w:rsid w:val="003110BE"/>
    <w:rsid w:val="003110E7"/>
    <w:rsid w:val="00311143"/>
    <w:rsid w:val="00311166"/>
    <w:rsid w:val="003111C0"/>
    <w:rsid w:val="00311425"/>
    <w:rsid w:val="00311446"/>
    <w:rsid w:val="003114E4"/>
    <w:rsid w:val="003117BF"/>
    <w:rsid w:val="00311831"/>
    <w:rsid w:val="0031184D"/>
    <w:rsid w:val="003118C0"/>
    <w:rsid w:val="0031198D"/>
    <w:rsid w:val="00311B04"/>
    <w:rsid w:val="00311B82"/>
    <w:rsid w:val="00311B89"/>
    <w:rsid w:val="00311DB9"/>
    <w:rsid w:val="00311DF5"/>
    <w:rsid w:val="00311E1F"/>
    <w:rsid w:val="00311E6E"/>
    <w:rsid w:val="00311EFF"/>
    <w:rsid w:val="003120C9"/>
    <w:rsid w:val="003121E2"/>
    <w:rsid w:val="003121F1"/>
    <w:rsid w:val="0031220F"/>
    <w:rsid w:val="003122D6"/>
    <w:rsid w:val="0031230F"/>
    <w:rsid w:val="0031242C"/>
    <w:rsid w:val="003124A2"/>
    <w:rsid w:val="003124C1"/>
    <w:rsid w:val="0031267D"/>
    <w:rsid w:val="003126B9"/>
    <w:rsid w:val="00312771"/>
    <w:rsid w:val="00312776"/>
    <w:rsid w:val="003127BE"/>
    <w:rsid w:val="003127D0"/>
    <w:rsid w:val="00312888"/>
    <w:rsid w:val="003128E4"/>
    <w:rsid w:val="00312961"/>
    <w:rsid w:val="00312984"/>
    <w:rsid w:val="003129A0"/>
    <w:rsid w:val="003129DB"/>
    <w:rsid w:val="00312AF0"/>
    <w:rsid w:val="00312B14"/>
    <w:rsid w:val="00312B37"/>
    <w:rsid w:val="00312B45"/>
    <w:rsid w:val="00312B64"/>
    <w:rsid w:val="00312B88"/>
    <w:rsid w:val="00312B90"/>
    <w:rsid w:val="00312BA7"/>
    <w:rsid w:val="00312CB3"/>
    <w:rsid w:val="00312D3B"/>
    <w:rsid w:val="00312DC5"/>
    <w:rsid w:val="00312E3E"/>
    <w:rsid w:val="00312E7D"/>
    <w:rsid w:val="00312F0F"/>
    <w:rsid w:val="00312F5B"/>
    <w:rsid w:val="00313008"/>
    <w:rsid w:val="0031306B"/>
    <w:rsid w:val="003132AE"/>
    <w:rsid w:val="0031342B"/>
    <w:rsid w:val="00313573"/>
    <w:rsid w:val="00313661"/>
    <w:rsid w:val="003136BE"/>
    <w:rsid w:val="003136F8"/>
    <w:rsid w:val="003136FC"/>
    <w:rsid w:val="00313994"/>
    <w:rsid w:val="003139FE"/>
    <w:rsid w:val="00313A27"/>
    <w:rsid w:val="00313C01"/>
    <w:rsid w:val="00313C04"/>
    <w:rsid w:val="00313CB3"/>
    <w:rsid w:val="00313CD2"/>
    <w:rsid w:val="00313E43"/>
    <w:rsid w:val="00313E64"/>
    <w:rsid w:val="00313F5D"/>
    <w:rsid w:val="00314153"/>
    <w:rsid w:val="0031439C"/>
    <w:rsid w:val="00314429"/>
    <w:rsid w:val="00314614"/>
    <w:rsid w:val="00314616"/>
    <w:rsid w:val="00314685"/>
    <w:rsid w:val="003146F2"/>
    <w:rsid w:val="003147B4"/>
    <w:rsid w:val="0031481C"/>
    <w:rsid w:val="00314930"/>
    <w:rsid w:val="003149EE"/>
    <w:rsid w:val="00314A35"/>
    <w:rsid w:val="00314B60"/>
    <w:rsid w:val="00314BBE"/>
    <w:rsid w:val="00314D52"/>
    <w:rsid w:val="00314D84"/>
    <w:rsid w:val="00314F05"/>
    <w:rsid w:val="00314FDA"/>
    <w:rsid w:val="0031508E"/>
    <w:rsid w:val="00315150"/>
    <w:rsid w:val="00315181"/>
    <w:rsid w:val="003151A7"/>
    <w:rsid w:val="00315286"/>
    <w:rsid w:val="003152D5"/>
    <w:rsid w:val="0031531C"/>
    <w:rsid w:val="00315338"/>
    <w:rsid w:val="0031539B"/>
    <w:rsid w:val="003153D9"/>
    <w:rsid w:val="003154CF"/>
    <w:rsid w:val="003155F1"/>
    <w:rsid w:val="0031565D"/>
    <w:rsid w:val="0031567A"/>
    <w:rsid w:val="00315749"/>
    <w:rsid w:val="0031579A"/>
    <w:rsid w:val="0031580B"/>
    <w:rsid w:val="0031591C"/>
    <w:rsid w:val="00315922"/>
    <w:rsid w:val="003159C1"/>
    <w:rsid w:val="003159C2"/>
    <w:rsid w:val="00315A6B"/>
    <w:rsid w:val="00315BE2"/>
    <w:rsid w:val="00315CED"/>
    <w:rsid w:val="00315D80"/>
    <w:rsid w:val="00315DB8"/>
    <w:rsid w:val="00315DC8"/>
    <w:rsid w:val="00315EE1"/>
    <w:rsid w:val="00315EED"/>
    <w:rsid w:val="00315FBE"/>
    <w:rsid w:val="0031608C"/>
    <w:rsid w:val="00316096"/>
    <w:rsid w:val="00316100"/>
    <w:rsid w:val="00316107"/>
    <w:rsid w:val="00316299"/>
    <w:rsid w:val="003162DD"/>
    <w:rsid w:val="00316318"/>
    <w:rsid w:val="00316341"/>
    <w:rsid w:val="00316364"/>
    <w:rsid w:val="0031654C"/>
    <w:rsid w:val="00316594"/>
    <w:rsid w:val="00316616"/>
    <w:rsid w:val="00316709"/>
    <w:rsid w:val="003167BE"/>
    <w:rsid w:val="00316852"/>
    <w:rsid w:val="003168FB"/>
    <w:rsid w:val="00316A00"/>
    <w:rsid w:val="00316B3F"/>
    <w:rsid w:val="00316B5E"/>
    <w:rsid w:val="00316C63"/>
    <w:rsid w:val="00316D15"/>
    <w:rsid w:val="00316D24"/>
    <w:rsid w:val="00316D4B"/>
    <w:rsid w:val="00316DC1"/>
    <w:rsid w:val="00316E14"/>
    <w:rsid w:val="00316E21"/>
    <w:rsid w:val="00316E58"/>
    <w:rsid w:val="00316F13"/>
    <w:rsid w:val="00316F6F"/>
    <w:rsid w:val="00316FCF"/>
    <w:rsid w:val="00317251"/>
    <w:rsid w:val="00317406"/>
    <w:rsid w:val="00317563"/>
    <w:rsid w:val="003176B1"/>
    <w:rsid w:val="003177BC"/>
    <w:rsid w:val="00317831"/>
    <w:rsid w:val="00317890"/>
    <w:rsid w:val="003178E4"/>
    <w:rsid w:val="0031791C"/>
    <w:rsid w:val="003179F3"/>
    <w:rsid w:val="003179FB"/>
    <w:rsid w:val="00317A5B"/>
    <w:rsid w:val="00317ADE"/>
    <w:rsid w:val="00317B9B"/>
    <w:rsid w:val="00317BCD"/>
    <w:rsid w:val="00317D8B"/>
    <w:rsid w:val="00317E52"/>
    <w:rsid w:val="00317E72"/>
    <w:rsid w:val="00317EA2"/>
    <w:rsid w:val="00317F8A"/>
    <w:rsid w:val="003200B4"/>
    <w:rsid w:val="003200DA"/>
    <w:rsid w:val="00320132"/>
    <w:rsid w:val="0032027C"/>
    <w:rsid w:val="00320343"/>
    <w:rsid w:val="0032039E"/>
    <w:rsid w:val="00320430"/>
    <w:rsid w:val="003205F9"/>
    <w:rsid w:val="003206F6"/>
    <w:rsid w:val="003208E6"/>
    <w:rsid w:val="00320972"/>
    <w:rsid w:val="00320988"/>
    <w:rsid w:val="00320A74"/>
    <w:rsid w:val="00320B09"/>
    <w:rsid w:val="00320CC9"/>
    <w:rsid w:val="00320CDD"/>
    <w:rsid w:val="00320D43"/>
    <w:rsid w:val="00320D6A"/>
    <w:rsid w:val="00320DC6"/>
    <w:rsid w:val="00320DDB"/>
    <w:rsid w:val="00320E2E"/>
    <w:rsid w:val="00320E65"/>
    <w:rsid w:val="00321065"/>
    <w:rsid w:val="0032110A"/>
    <w:rsid w:val="00321253"/>
    <w:rsid w:val="00321298"/>
    <w:rsid w:val="0032135A"/>
    <w:rsid w:val="003213E7"/>
    <w:rsid w:val="003214CC"/>
    <w:rsid w:val="003214CF"/>
    <w:rsid w:val="0032159E"/>
    <w:rsid w:val="003215AB"/>
    <w:rsid w:val="003215E3"/>
    <w:rsid w:val="00321715"/>
    <w:rsid w:val="00321773"/>
    <w:rsid w:val="003217E7"/>
    <w:rsid w:val="00321815"/>
    <w:rsid w:val="00321851"/>
    <w:rsid w:val="00321A59"/>
    <w:rsid w:val="00321A68"/>
    <w:rsid w:val="00321AB3"/>
    <w:rsid w:val="00321AF1"/>
    <w:rsid w:val="00321B83"/>
    <w:rsid w:val="00321C4D"/>
    <w:rsid w:val="00321CBA"/>
    <w:rsid w:val="00321D54"/>
    <w:rsid w:val="00321D63"/>
    <w:rsid w:val="00321D7C"/>
    <w:rsid w:val="00321D85"/>
    <w:rsid w:val="00321E5C"/>
    <w:rsid w:val="00321EA8"/>
    <w:rsid w:val="00321FC9"/>
    <w:rsid w:val="00322046"/>
    <w:rsid w:val="003220FE"/>
    <w:rsid w:val="00322160"/>
    <w:rsid w:val="003222E4"/>
    <w:rsid w:val="00322369"/>
    <w:rsid w:val="003223DB"/>
    <w:rsid w:val="0032249A"/>
    <w:rsid w:val="003224EA"/>
    <w:rsid w:val="003225AF"/>
    <w:rsid w:val="00322744"/>
    <w:rsid w:val="00322784"/>
    <w:rsid w:val="003228B6"/>
    <w:rsid w:val="00322977"/>
    <w:rsid w:val="003229A8"/>
    <w:rsid w:val="00322A3D"/>
    <w:rsid w:val="00322A68"/>
    <w:rsid w:val="00322B1C"/>
    <w:rsid w:val="00322B60"/>
    <w:rsid w:val="00322BF7"/>
    <w:rsid w:val="00322D47"/>
    <w:rsid w:val="00322E26"/>
    <w:rsid w:val="00322F26"/>
    <w:rsid w:val="00322F9D"/>
    <w:rsid w:val="00322FB3"/>
    <w:rsid w:val="00322FD8"/>
    <w:rsid w:val="0032321A"/>
    <w:rsid w:val="003233A8"/>
    <w:rsid w:val="003233BF"/>
    <w:rsid w:val="003235DB"/>
    <w:rsid w:val="0032383A"/>
    <w:rsid w:val="003238BC"/>
    <w:rsid w:val="00323B23"/>
    <w:rsid w:val="00323B38"/>
    <w:rsid w:val="00323B4C"/>
    <w:rsid w:val="00323C12"/>
    <w:rsid w:val="00323C2B"/>
    <w:rsid w:val="00323E36"/>
    <w:rsid w:val="00323EC3"/>
    <w:rsid w:val="00323EE6"/>
    <w:rsid w:val="003240C5"/>
    <w:rsid w:val="00324403"/>
    <w:rsid w:val="00324486"/>
    <w:rsid w:val="0032459D"/>
    <w:rsid w:val="00324632"/>
    <w:rsid w:val="00324685"/>
    <w:rsid w:val="003247A5"/>
    <w:rsid w:val="00324836"/>
    <w:rsid w:val="0032489C"/>
    <w:rsid w:val="003249C9"/>
    <w:rsid w:val="00324AA0"/>
    <w:rsid w:val="00324BD6"/>
    <w:rsid w:val="00324D28"/>
    <w:rsid w:val="00324DD5"/>
    <w:rsid w:val="00324DFE"/>
    <w:rsid w:val="0032511E"/>
    <w:rsid w:val="00325122"/>
    <w:rsid w:val="003251CB"/>
    <w:rsid w:val="00325282"/>
    <w:rsid w:val="003252FA"/>
    <w:rsid w:val="00325424"/>
    <w:rsid w:val="00325468"/>
    <w:rsid w:val="003254A9"/>
    <w:rsid w:val="003254B8"/>
    <w:rsid w:val="003254D6"/>
    <w:rsid w:val="00325696"/>
    <w:rsid w:val="0032569E"/>
    <w:rsid w:val="003256B2"/>
    <w:rsid w:val="00325728"/>
    <w:rsid w:val="00325799"/>
    <w:rsid w:val="00325807"/>
    <w:rsid w:val="00325891"/>
    <w:rsid w:val="003259A6"/>
    <w:rsid w:val="00325B4E"/>
    <w:rsid w:val="00325C86"/>
    <w:rsid w:val="00325D1E"/>
    <w:rsid w:val="00325E01"/>
    <w:rsid w:val="00325E9D"/>
    <w:rsid w:val="00325EB4"/>
    <w:rsid w:val="00325F1C"/>
    <w:rsid w:val="00326018"/>
    <w:rsid w:val="0032608C"/>
    <w:rsid w:val="0032612C"/>
    <w:rsid w:val="00326221"/>
    <w:rsid w:val="003264EE"/>
    <w:rsid w:val="00326576"/>
    <w:rsid w:val="0032660A"/>
    <w:rsid w:val="0032674A"/>
    <w:rsid w:val="003267CB"/>
    <w:rsid w:val="00326877"/>
    <w:rsid w:val="003268BF"/>
    <w:rsid w:val="0032691F"/>
    <w:rsid w:val="00326950"/>
    <w:rsid w:val="00326ABC"/>
    <w:rsid w:val="00326BA1"/>
    <w:rsid w:val="00326C43"/>
    <w:rsid w:val="00326D6A"/>
    <w:rsid w:val="00326DCF"/>
    <w:rsid w:val="00326F83"/>
    <w:rsid w:val="00326FB6"/>
    <w:rsid w:val="00327154"/>
    <w:rsid w:val="00327195"/>
    <w:rsid w:val="0032722F"/>
    <w:rsid w:val="00327279"/>
    <w:rsid w:val="00327326"/>
    <w:rsid w:val="003273B2"/>
    <w:rsid w:val="0032751F"/>
    <w:rsid w:val="003275E8"/>
    <w:rsid w:val="003275EC"/>
    <w:rsid w:val="003278FC"/>
    <w:rsid w:val="00327910"/>
    <w:rsid w:val="00327946"/>
    <w:rsid w:val="00327957"/>
    <w:rsid w:val="0032795D"/>
    <w:rsid w:val="00327A21"/>
    <w:rsid w:val="00327B48"/>
    <w:rsid w:val="00327B7D"/>
    <w:rsid w:val="00327C19"/>
    <w:rsid w:val="00327C41"/>
    <w:rsid w:val="00327C53"/>
    <w:rsid w:val="00327CD8"/>
    <w:rsid w:val="00327CF2"/>
    <w:rsid w:val="00327D29"/>
    <w:rsid w:val="00327D80"/>
    <w:rsid w:val="00327D9E"/>
    <w:rsid w:val="00327DE6"/>
    <w:rsid w:val="00327DF8"/>
    <w:rsid w:val="00327EA3"/>
    <w:rsid w:val="00327FE5"/>
    <w:rsid w:val="00330042"/>
    <w:rsid w:val="0033017D"/>
    <w:rsid w:val="0033028E"/>
    <w:rsid w:val="003302CD"/>
    <w:rsid w:val="00330349"/>
    <w:rsid w:val="0033048D"/>
    <w:rsid w:val="003304EF"/>
    <w:rsid w:val="00330676"/>
    <w:rsid w:val="003306D3"/>
    <w:rsid w:val="003307C3"/>
    <w:rsid w:val="0033084A"/>
    <w:rsid w:val="003308F4"/>
    <w:rsid w:val="0033091F"/>
    <w:rsid w:val="00330A57"/>
    <w:rsid w:val="00330A59"/>
    <w:rsid w:val="00330BDB"/>
    <w:rsid w:val="00330CB9"/>
    <w:rsid w:val="00330CED"/>
    <w:rsid w:val="00330CF3"/>
    <w:rsid w:val="00330D1C"/>
    <w:rsid w:val="00330D75"/>
    <w:rsid w:val="00330D95"/>
    <w:rsid w:val="00330F41"/>
    <w:rsid w:val="00330FE6"/>
    <w:rsid w:val="00331049"/>
    <w:rsid w:val="00331050"/>
    <w:rsid w:val="003310D6"/>
    <w:rsid w:val="003310D9"/>
    <w:rsid w:val="00331137"/>
    <w:rsid w:val="00331148"/>
    <w:rsid w:val="00331295"/>
    <w:rsid w:val="003312C6"/>
    <w:rsid w:val="00331348"/>
    <w:rsid w:val="003313DF"/>
    <w:rsid w:val="003315E3"/>
    <w:rsid w:val="0033167C"/>
    <w:rsid w:val="00331700"/>
    <w:rsid w:val="00331734"/>
    <w:rsid w:val="003317D2"/>
    <w:rsid w:val="00331860"/>
    <w:rsid w:val="003318A0"/>
    <w:rsid w:val="003318E0"/>
    <w:rsid w:val="00331A34"/>
    <w:rsid w:val="00331B78"/>
    <w:rsid w:val="00331BA1"/>
    <w:rsid w:val="00331BE9"/>
    <w:rsid w:val="00331CF0"/>
    <w:rsid w:val="00331D2A"/>
    <w:rsid w:val="00331D3F"/>
    <w:rsid w:val="00331EAD"/>
    <w:rsid w:val="00331F9E"/>
    <w:rsid w:val="00331FD8"/>
    <w:rsid w:val="00331FEC"/>
    <w:rsid w:val="003320F2"/>
    <w:rsid w:val="00332145"/>
    <w:rsid w:val="0033220C"/>
    <w:rsid w:val="003322F4"/>
    <w:rsid w:val="0033230B"/>
    <w:rsid w:val="00332367"/>
    <w:rsid w:val="003323FD"/>
    <w:rsid w:val="00332468"/>
    <w:rsid w:val="0033249A"/>
    <w:rsid w:val="003324E9"/>
    <w:rsid w:val="0033254C"/>
    <w:rsid w:val="003326C1"/>
    <w:rsid w:val="0033277C"/>
    <w:rsid w:val="003327B4"/>
    <w:rsid w:val="00332880"/>
    <w:rsid w:val="00332942"/>
    <w:rsid w:val="00332984"/>
    <w:rsid w:val="00332995"/>
    <w:rsid w:val="00332B62"/>
    <w:rsid w:val="00332B80"/>
    <w:rsid w:val="00332CB0"/>
    <w:rsid w:val="00332CCB"/>
    <w:rsid w:val="00332CED"/>
    <w:rsid w:val="00332D27"/>
    <w:rsid w:val="00332DCA"/>
    <w:rsid w:val="00332F27"/>
    <w:rsid w:val="00332F7A"/>
    <w:rsid w:val="00332FEB"/>
    <w:rsid w:val="00333003"/>
    <w:rsid w:val="00333049"/>
    <w:rsid w:val="003330F4"/>
    <w:rsid w:val="003333FB"/>
    <w:rsid w:val="0033344D"/>
    <w:rsid w:val="003334B2"/>
    <w:rsid w:val="0033350A"/>
    <w:rsid w:val="0033359C"/>
    <w:rsid w:val="003335BD"/>
    <w:rsid w:val="0033366A"/>
    <w:rsid w:val="003336C7"/>
    <w:rsid w:val="00333701"/>
    <w:rsid w:val="0033371A"/>
    <w:rsid w:val="00333757"/>
    <w:rsid w:val="003337CE"/>
    <w:rsid w:val="003337E0"/>
    <w:rsid w:val="00333836"/>
    <w:rsid w:val="00333A11"/>
    <w:rsid w:val="00333A70"/>
    <w:rsid w:val="00333BC3"/>
    <w:rsid w:val="00333C56"/>
    <w:rsid w:val="00333C67"/>
    <w:rsid w:val="00333C72"/>
    <w:rsid w:val="00333D2F"/>
    <w:rsid w:val="00333DF1"/>
    <w:rsid w:val="00333E04"/>
    <w:rsid w:val="00333E1D"/>
    <w:rsid w:val="00333EDE"/>
    <w:rsid w:val="00334067"/>
    <w:rsid w:val="00334198"/>
    <w:rsid w:val="00334258"/>
    <w:rsid w:val="00334270"/>
    <w:rsid w:val="003342B6"/>
    <w:rsid w:val="00334415"/>
    <w:rsid w:val="00334484"/>
    <w:rsid w:val="0033453F"/>
    <w:rsid w:val="003347E5"/>
    <w:rsid w:val="00334831"/>
    <w:rsid w:val="00334848"/>
    <w:rsid w:val="003348F7"/>
    <w:rsid w:val="00334A89"/>
    <w:rsid w:val="00334A9C"/>
    <w:rsid w:val="00334B56"/>
    <w:rsid w:val="00334B88"/>
    <w:rsid w:val="00334CEA"/>
    <w:rsid w:val="00334DB0"/>
    <w:rsid w:val="00334E64"/>
    <w:rsid w:val="00334ECD"/>
    <w:rsid w:val="00335058"/>
    <w:rsid w:val="0033527B"/>
    <w:rsid w:val="00335391"/>
    <w:rsid w:val="003354DB"/>
    <w:rsid w:val="0033550A"/>
    <w:rsid w:val="00335595"/>
    <w:rsid w:val="00335785"/>
    <w:rsid w:val="003357B5"/>
    <w:rsid w:val="00335953"/>
    <w:rsid w:val="00335AFC"/>
    <w:rsid w:val="00335B0D"/>
    <w:rsid w:val="00335B6C"/>
    <w:rsid w:val="00335B91"/>
    <w:rsid w:val="00335B93"/>
    <w:rsid w:val="00335BEF"/>
    <w:rsid w:val="00335E85"/>
    <w:rsid w:val="00335EB0"/>
    <w:rsid w:val="00335ED2"/>
    <w:rsid w:val="00335FB9"/>
    <w:rsid w:val="0033615A"/>
    <w:rsid w:val="003361C6"/>
    <w:rsid w:val="0033623D"/>
    <w:rsid w:val="00336303"/>
    <w:rsid w:val="003363F5"/>
    <w:rsid w:val="00336498"/>
    <w:rsid w:val="003364C9"/>
    <w:rsid w:val="003364FC"/>
    <w:rsid w:val="00336565"/>
    <w:rsid w:val="003365E7"/>
    <w:rsid w:val="00336A25"/>
    <w:rsid w:val="00336A97"/>
    <w:rsid w:val="00336B3A"/>
    <w:rsid w:val="00336B3E"/>
    <w:rsid w:val="00336B51"/>
    <w:rsid w:val="00336BEB"/>
    <w:rsid w:val="00336C5E"/>
    <w:rsid w:val="00336D17"/>
    <w:rsid w:val="00336D4A"/>
    <w:rsid w:val="00336DD5"/>
    <w:rsid w:val="00336F4E"/>
    <w:rsid w:val="00337064"/>
    <w:rsid w:val="003370D2"/>
    <w:rsid w:val="00337228"/>
    <w:rsid w:val="003372C3"/>
    <w:rsid w:val="0033732A"/>
    <w:rsid w:val="003373E5"/>
    <w:rsid w:val="00337476"/>
    <w:rsid w:val="003374F3"/>
    <w:rsid w:val="00337610"/>
    <w:rsid w:val="003376B0"/>
    <w:rsid w:val="0033773C"/>
    <w:rsid w:val="0033779B"/>
    <w:rsid w:val="00337849"/>
    <w:rsid w:val="00337C22"/>
    <w:rsid w:val="00337C35"/>
    <w:rsid w:val="00337D00"/>
    <w:rsid w:val="00337D37"/>
    <w:rsid w:val="00337D84"/>
    <w:rsid w:val="00337DD3"/>
    <w:rsid w:val="00337E0B"/>
    <w:rsid w:val="00337F79"/>
    <w:rsid w:val="00340051"/>
    <w:rsid w:val="003400A7"/>
    <w:rsid w:val="003400B6"/>
    <w:rsid w:val="0034036C"/>
    <w:rsid w:val="00340550"/>
    <w:rsid w:val="00340583"/>
    <w:rsid w:val="003405C6"/>
    <w:rsid w:val="003406E4"/>
    <w:rsid w:val="0034080A"/>
    <w:rsid w:val="003408DC"/>
    <w:rsid w:val="003408E8"/>
    <w:rsid w:val="00340A07"/>
    <w:rsid w:val="00340A59"/>
    <w:rsid w:val="00340AC8"/>
    <w:rsid w:val="00340B49"/>
    <w:rsid w:val="00340B4C"/>
    <w:rsid w:val="00340E7B"/>
    <w:rsid w:val="00340EC5"/>
    <w:rsid w:val="00340F36"/>
    <w:rsid w:val="00341016"/>
    <w:rsid w:val="0034106B"/>
    <w:rsid w:val="003411F8"/>
    <w:rsid w:val="003412C6"/>
    <w:rsid w:val="003412EC"/>
    <w:rsid w:val="00341320"/>
    <w:rsid w:val="00341613"/>
    <w:rsid w:val="0034176D"/>
    <w:rsid w:val="00341779"/>
    <w:rsid w:val="0034189C"/>
    <w:rsid w:val="00341BD1"/>
    <w:rsid w:val="00341BF7"/>
    <w:rsid w:val="00341CF1"/>
    <w:rsid w:val="00341D0C"/>
    <w:rsid w:val="00341DE7"/>
    <w:rsid w:val="00341EA4"/>
    <w:rsid w:val="00341EA5"/>
    <w:rsid w:val="00341F49"/>
    <w:rsid w:val="00341F9C"/>
    <w:rsid w:val="00341FA4"/>
    <w:rsid w:val="0034201F"/>
    <w:rsid w:val="00342030"/>
    <w:rsid w:val="0034208F"/>
    <w:rsid w:val="003422E6"/>
    <w:rsid w:val="00342314"/>
    <w:rsid w:val="0034257B"/>
    <w:rsid w:val="003425FB"/>
    <w:rsid w:val="00342634"/>
    <w:rsid w:val="00342643"/>
    <w:rsid w:val="00342644"/>
    <w:rsid w:val="0034269F"/>
    <w:rsid w:val="003426C4"/>
    <w:rsid w:val="003426F4"/>
    <w:rsid w:val="00342794"/>
    <w:rsid w:val="0034293D"/>
    <w:rsid w:val="00342B02"/>
    <w:rsid w:val="00342B1E"/>
    <w:rsid w:val="00342B5F"/>
    <w:rsid w:val="00342DDD"/>
    <w:rsid w:val="00342F75"/>
    <w:rsid w:val="00342F83"/>
    <w:rsid w:val="003430C1"/>
    <w:rsid w:val="003430DD"/>
    <w:rsid w:val="00343145"/>
    <w:rsid w:val="003431B4"/>
    <w:rsid w:val="003431D8"/>
    <w:rsid w:val="00343243"/>
    <w:rsid w:val="00343327"/>
    <w:rsid w:val="003433B2"/>
    <w:rsid w:val="003434D4"/>
    <w:rsid w:val="00343641"/>
    <w:rsid w:val="003438DB"/>
    <w:rsid w:val="003438F9"/>
    <w:rsid w:val="0034392F"/>
    <w:rsid w:val="00343931"/>
    <w:rsid w:val="003439E8"/>
    <w:rsid w:val="00343A40"/>
    <w:rsid w:val="00343A59"/>
    <w:rsid w:val="00343B22"/>
    <w:rsid w:val="00343D12"/>
    <w:rsid w:val="00343D53"/>
    <w:rsid w:val="00343D76"/>
    <w:rsid w:val="00343DD9"/>
    <w:rsid w:val="00343E2A"/>
    <w:rsid w:val="00343EB1"/>
    <w:rsid w:val="00343F1C"/>
    <w:rsid w:val="00343F72"/>
    <w:rsid w:val="00344008"/>
    <w:rsid w:val="0034406F"/>
    <w:rsid w:val="0034434D"/>
    <w:rsid w:val="00344438"/>
    <w:rsid w:val="00344472"/>
    <w:rsid w:val="00344491"/>
    <w:rsid w:val="003445A9"/>
    <w:rsid w:val="00344663"/>
    <w:rsid w:val="0034466A"/>
    <w:rsid w:val="003446E7"/>
    <w:rsid w:val="003449F6"/>
    <w:rsid w:val="00344A20"/>
    <w:rsid w:val="00344A4E"/>
    <w:rsid w:val="00344C4F"/>
    <w:rsid w:val="00344E5D"/>
    <w:rsid w:val="00344E96"/>
    <w:rsid w:val="00344F82"/>
    <w:rsid w:val="00344F97"/>
    <w:rsid w:val="00345177"/>
    <w:rsid w:val="0034521A"/>
    <w:rsid w:val="0034538A"/>
    <w:rsid w:val="003453D8"/>
    <w:rsid w:val="003453DB"/>
    <w:rsid w:val="0034544B"/>
    <w:rsid w:val="00345484"/>
    <w:rsid w:val="003454ED"/>
    <w:rsid w:val="00345506"/>
    <w:rsid w:val="00345513"/>
    <w:rsid w:val="0034552F"/>
    <w:rsid w:val="0034565B"/>
    <w:rsid w:val="003456D7"/>
    <w:rsid w:val="003456F2"/>
    <w:rsid w:val="003457AB"/>
    <w:rsid w:val="003457C3"/>
    <w:rsid w:val="00345858"/>
    <w:rsid w:val="00345A08"/>
    <w:rsid w:val="00345AB0"/>
    <w:rsid w:val="00345AC5"/>
    <w:rsid w:val="00345AEB"/>
    <w:rsid w:val="00345B10"/>
    <w:rsid w:val="00345B38"/>
    <w:rsid w:val="00345B4E"/>
    <w:rsid w:val="00345BAB"/>
    <w:rsid w:val="00345BE0"/>
    <w:rsid w:val="00345CC1"/>
    <w:rsid w:val="00345D2B"/>
    <w:rsid w:val="00345DCA"/>
    <w:rsid w:val="00345E8D"/>
    <w:rsid w:val="00345F1E"/>
    <w:rsid w:val="00345F93"/>
    <w:rsid w:val="00345FBD"/>
    <w:rsid w:val="00345FD6"/>
    <w:rsid w:val="00346045"/>
    <w:rsid w:val="003460F9"/>
    <w:rsid w:val="0034614E"/>
    <w:rsid w:val="0034617A"/>
    <w:rsid w:val="0034619A"/>
    <w:rsid w:val="003461D7"/>
    <w:rsid w:val="00346286"/>
    <w:rsid w:val="00346314"/>
    <w:rsid w:val="00346376"/>
    <w:rsid w:val="0034637F"/>
    <w:rsid w:val="0034650A"/>
    <w:rsid w:val="00346549"/>
    <w:rsid w:val="00346556"/>
    <w:rsid w:val="00346591"/>
    <w:rsid w:val="00346614"/>
    <w:rsid w:val="00346670"/>
    <w:rsid w:val="00346675"/>
    <w:rsid w:val="0034667A"/>
    <w:rsid w:val="0034668D"/>
    <w:rsid w:val="003468B0"/>
    <w:rsid w:val="00346AC8"/>
    <w:rsid w:val="00346BA6"/>
    <w:rsid w:val="00346BFD"/>
    <w:rsid w:val="00346CCF"/>
    <w:rsid w:val="00346E09"/>
    <w:rsid w:val="00346E0C"/>
    <w:rsid w:val="00346E13"/>
    <w:rsid w:val="00347080"/>
    <w:rsid w:val="00347229"/>
    <w:rsid w:val="00347242"/>
    <w:rsid w:val="00347258"/>
    <w:rsid w:val="003472DC"/>
    <w:rsid w:val="0034739C"/>
    <w:rsid w:val="003473F8"/>
    <w:rsid w:val="0034768C"/>
    <w:rsid w:val="0034771A"/>
    <w:rsid w:val="0034784D"/>
    <w:rsid w:val="00347883"/>
    <w:rsid w:val="003478FB"/>
    <w:rsid w:val="0034791F"/>
    <w:rsid w:val="00347941"/>
    <w:rsid w:val="00347998"/>
    <w:rsid w:val="003479C3"/>
    <w:rsid w:val="00347A65"/>
    <w:rsid w:val="00347AED"/>
    <w:rsid w:val="00347C06"/>
    <w:rsid w:val="00347CB8"/>
    <w:rsid w:val="00347CC3"/>
    <w:rsid w:val="00347D02"/>
    <w:rsid w:val="00347D3F"/>
    <w:rsid w:val="00347DC7"/>
    <w:rsid w:val="00347DE9"/>
    <w:rsid w:val="00347E78"/>
    <w:rsid w:val="00347EEB"/>
    <w:rsid w:val="00347FAA"/>
    <w:rsid w:val="003500CF"/>
    <w:rsid w:val="00350138"/>
    <w:rsid w:val="00350158"/>
    <w:rsid w:val="00350220"/>
    <w:rsid w:val="0035029D"/>
    <w:rsid w:val="00350335"/>
    <w:rsid w:val="0035039A"/>
    <w:rsid w:val="0035046D"/>
    <w:rsid w:val="003504EC"/>
    <w:rsid w:val="003505CE"/>
    <w:rsid w:val="0035060E"/>
    <w:rsid w:val="00350798"/>
    <w:rsid w:val="003508F2"/>
    <w:rsid w:val="0035094F"/>
    <w:rsid w:val="00350A10"/>
    <w:rsid w:val="00350AF5"/>
    <w:rsid w:val="00350B0F"/>
    <w:rsid w:val="00350B9C"/>
    <w:rsid w:val="00350C03"/>
    <w:rsid w:val="00350D33"/>
    <w:rsid w:val="00350D71"/>
    <w:rsid w:val="00350DCE"/>
    <w:rsid w:val="00350EB6"/>
    <w:rsid w:val="00350F77"/>
    <w:rsid w:val="00350FC8"/>
    <w:rsid w:val="003511A9"/>
    <w:rsid w:val="0035146C"/>
    <w:rsid w:val="003515EB"/>
    <w:rsid w:val="00351641"/>
    <w:rsid w:val="0035166B"/>
    <w:rsid w:val="00351686"/>
    <w:rsid w:val="003517F7"/>
    <w:rsid w:val="00351810"/>
    <w:rsid w:val="0035182E"/>
    <w:rsid w:val="00351877"/>
    <w:rsid w:val="00351AF1"/>
    <w:rsid w:val="00351C73"/>
    <w:rsid w:val="00351E01"/>
    <w:rsid w:val="00351EBB"/>
    <w:rsid w:val="00351F5C"/>
    <w:rsid w:val="00351F78"/>
    <w:rsid w:val="00351FA9"/>
    <w:rsid w:val="00352065"/>
    <w:rsid w:val="00352173"/>
    <w:rsid w:val="00352178"/>
    <w:rsid w:val="003521A5"/>
    <w:rsid w:val="003522A6"/>
    <w:rsid w:val="0035251A"/>
    <w:rsid w:val="003525FF"/>
    <w:rsid w:val="00352686"/>
    <w:rsid w:val="0035285E"/>
    <w:rsid w:val="0035295D"/>
    <w:rsid w:val="003529CA"/>
    <w:rsid w:val="00352B4B"/>
    <w:rsid w:val="00352BA3"/>
    <w:rsid w:val="00352BB3"/>
    <w:rsid w:val="00352BF1"/>
    <w:rsid w:val="00352C16"/>
    <w:rsid w:val="00352DA9"/>
    <w:rsid w:val="00352DEA"/>
    <w:rsid w:val="00352DF4"/>
    <w:rsid w:val="00352F4E"/>
    <w:rsid w:val="00352F96"/>
    <w:rsid w:val="00353028"/>
    <w:rsid w:val="00353051"/>
    <w:rsid w:val="003530AD"/>
    <w:rsid w:val="003530E3"/>
    <w:rsid w:val="0035312D"/>
    <w:rsid w:val="00353244"/>
    <w:rsid w:val="00353410"/>
    <w:rsid w:val="0035349B"/>
    <w:rsid w:val="003534D7"/>
    <w:rsid w:val="00353540"/>
    <w:rsid w:val="003535C7"/>
    <w:rsid w:val="0035383D"/>
    <w:rsid w:val="00353884"/>
    <w:rsid w:val="003538AD"/>
    <w:rsid w:val="003538E2"/>
    <w:rsid w:val="003539B1"/>
    <w:rsid w:val="003539F6"/>
    <w:rsid w:val="00353A1F"/>
    <w:rsid w:val="00353B85"/>
    <w:rsid w:val="00353B9B"/>
    <w:rsid w:val="00353C04"/>
    <w:rsid w:val="00353C15"/>
    <w:rsid w:val="00353CDA"/>
    <w:rsid w:val="00353D07"/>
    <w:rsid w:val="00353F01"/>
    <w:rsid w:val="00353F1A"/>
    <w:rsid w:val="00353F2E"/>
    <w:rsid w:val="00353FF8"/>
    <w:rsid w:val="003541B2"/>
    <w:rsid w:val="003541F1"/>
    <w:rsid w:val="00354201"/>
    <w:rsid w:val="00354337"/>
    <w:rsid w:val="003543D9"/>
    <w:rsid w:val="00354454"/>
    <w:rsid w:val="00354488"/>
    <w:rsid w:val="003544C9"/>
    <w:rsid w:val="003545BA"/>
    <w:rsid w:val="00354681"/>
    <w:rsid w:val="003546C0"/>
    <w:rsid w:val="003546F4"/>
    <w:rsid w:val="0035472B"/>
    <w:rsid w:val="0035477A"/>
    <w:rsid w:val="0035482D"/>
    <w:rsid w:val="0035487F"/>
    <w:rsid w:val="003549FC"/>
    <w:rsid w:val="00354B11"/>
    <w:rsid w:val="00354BEC"/>
    <w:rsid w:val="00354C82"/>
    <w:rsid w:val="00354C9B"/>
    <w:rsid w:val="00354CAA"/>
    <w:rsid w:val="00354E55"/>
    <w:rsid w:val="00355002"/>
    <w:rsid w:val="0035502E"/>
    <w:rsid w:val="003550D3"/>
    <w:rsid w:val="00355146"/>
    <w:rsid w:val="003551D1"/>
    <w:rsid w:val="00355232"/>
    <w:rsid w:val="0035529D"/>
    <w:rsid w:val="00355483"/>
    <w:rsid w:val="0035554C"/>
    <w:rsid w:val="003555CD"/>
    <w:rsid w:val="0035562D"/>
    <w:rsid w:val="0035563F"/>
    <w:rsid w:val="003556B8"/>
    <w:rsid w:val="003557BC"/>
    <w:rsid w:val="003559BB"/>
    <w:rsid w:val="00355BE5"/>
    <w:rsid w:val="00355C38"/>
    <w:rsid w:val="00355F24"/>
    <w:rsid w:val="00356012"/>
    <w:rsid w:val="0035614B"/>
    <w:rsid w:val="00356391"/>
    <w:rsid w:val="0035649D"/>
    <w:rsid w:val="003564A9"/>
    <w:rsid w:val="003564AF"/>
    <w:rsid w:val="00356575"/>
    <w:rsid w:val="0035658D"/>
    <w:rsid w:val="003565C4"/>
    <w:rsid w:val="0035663A"/>
    <w:rsid w:val="00356677"/>
    <w:rsid w:val="003568BF"/>
    <w:rsid w:val="00356A03"/>
    <w:rsid w:val="00356A92"/>
    <w:rsid w:val="00356AB0"/>
    <w:rsid w:val="00356BFD"/>
    <w:rsid w:val="00356CF2"/>
    <w:rsid w:val="00356EC8"/>
    <w:rsid w:val="00356FF7"/>
    <w:rsid w:val="00357043"/>
    <w:rsid w:val="0035706D"/>
    <w:rsid w:val="00357160"/>
    <w:rsid w:val="003571B4"/>
    <w:rsid w:val="003572C3"/>
    <w:rsid w:val="0035750E"/>
    <w:rsid w:val="00357642"/>
    <w:rsid w:val="003576EC"/>
    <w:rsid w:val="00357860"/>
    <w:rsid w:val="00357877"/>
    <w:rsid w:val="003578FC"/>
    <w:rsid w:val="00357902"/>
    <w:rsid w:val="003579E5"/>
    <w:rsid w:val="00357BA2"/>
    <w:rsid w:val="00357D7B"/>
    <w:rsid w:val="00357DC9"/>
    <w:rsid w:val="00357E2C"/>
    <w:rsid w:val="00357F19"/>
    <w:rsid w:val="00357F1E"/>
    <w:rsid w:val="00357F4A"/>
    <w:rsid w:val="00360009"/>
    <w:rsid w:val="00360011"/>
    <w:rsid w:val="0036014F"/>
    <w:rsid w:val="00360164"/>
    <w:rsid w:val="003601CF"/>
    <w:rsid w:val="00360402"/>
    <w:rsid w:val="00360414"/>
    <w:rsid w:val="00360511"/>
    <w:rsid w:val="00360565"/>
    <w:rsid w:val="00360569"/>
    <w:rsid w:val="00360705"/>
    <w:rsid w:val="00360708"/>
    <w:rsid w:val="0036070E"/>
    <w:rsid w:val="0036075F"/>
    <w:rsid w:val="00360823"/>
    <w:rsid w:val="0036089A"/>
    <w:rsid w:val="003608E4"/>
    <w:rsid w:val="003609C6"/>
    <w:rsid w:val="00360A6C"/>
    <w:rsid w:val="00360CF8"/>
    <w:rsid w:val="00360D8E"/>
    <w:rsid w:val="00360DEF"/>
    <w:rsid w:val="00360E3F"/>
    <w:rsid w:val="00360F49"/>
    <w:rsid w:val="00360F84"/>
    <w:rsid w:val="00360FDB"/>
    <w:rsid w:val="00361019"/>
    <w:rsid w:val="003611B5"/>
    <w:rsid w:val="00361288"/>
    <w:rsid w:val="0036137B"/>
    <w:rsid w:val="003613DB"/>
    <w:rsid w:val="00361489"/>
    <w:rsid w:val="003614A4"/>
    <w:rsid w:val="00361500"/>
    <w:rsid w:val="00361619"/>
    <w:rsid w:val="0036162F"/>
    <w:rsid w:val="003617A6"/>
    <w:rsid w:val="003617B4"/>
    <w:rsid w:val="0036185F"/>
    <w:rsid w:val="003618A1"/>
    <w:rsid w:val="00361926"/>
    <w:rsid w:val="00361996"/>
    <w:rsid w:val="00361A0D"/>
    <w:rsid w:val="00361A30"/>
    <w:rsid w:val="00361A81"/>
    <w:rsid w:val="00361B30"/>
    <w:rsid w:val="00361BA5"/>
    <w:rsid w:val="00361CEB"/>
    <w:rsid w:val="00361DA7"/>
    <w:rsid w:val="00361DD7"/>
    <w:rsid w:val="00362017"/>
    <w:rsid w:val="00362077"/>
    <w:rsid w:val="003620B5"/>
    <w:rsid w:val="00362178"/>
    <w:rsid w:val="00362239"/>
    <w:rsid w:val="00362265"/>
    <w:rsid w:val="003622F8"/>
    <w:rsid w:val="00362403"/>
    <w:rsid w:val="00362427"/>
    <w:rsid w:val="003624B7"/>
    <w:rsid w:val="003624D4"/>
    <w:rsid w:val="0036265D"/>
    <w:rsid w:val="00362706"/>
    <w:rsid w:val="00362707"/>
    <w:rsid w:val="0036287E"/>
    <w:rsid w:val="003628FF"/>
    <w:rsid w:val="00362983"/>
    <w:rsid w:val="00362B94"/>
    <w:rsid w:val="00362C7C"/>
    <w:rsid w:val="00362CF7"/>
    <w:rsid w:val="00362CFF"/>
    <w:rsid w:val="0036303B"/>
    <w:rsid w:val="00363060"/>
    <w:rsid w:val="003630B9"/>
    <w:rsid w:val="003630E0"/>
    <w:rsid w:val="003630F8"/>
    <w:rsid w:val="003632BD"/>
    <w:rsid w:val="003632D6"/>
    <w:rsid w:val="00363325"/>
    <w:rsid w:val="00363468"/>
    <w:rsid w:val="003634DE"/>
    <w:rsid w:val="0036358E"/>
    <w:rsid w:val="00363753"/>
    <w:rsid w:val="003637DA"/>
    <w:rsid w:val="003638B5"/>
    <w:rsid w:val="003638D3"/>
    <w:rsid w:val="003638F1"/>
    <w:rsid w:val="00363AE6"/>
    <w:rsid w:val="00363B1B"/>
    <w:rsid w:val="00363BB1"/>
    <w:rsid w:val="00363C13"/>
    <w:rsid w:val="00363E20"/>
    <w:rsid w:val="00363E38"/>
    <w:rsid w:val="00363EBC"/>
    <w:rsid w:val="00363EF7"/>
    <w:rsid w:val="00363F00"/>
    <w:rsid w:val="003641BE"/>
    <w:rsid w:val="003642D7"/>
    <w:rsid w:val="003643EF"/>
    <w:rsid w:val="0036449A"/>
    <w:rsid w:val="003645B3"/>
    <w:rsid w:val="003645D4"/>
    <w:rsid w:val="00364627"/>
    <w:rsid w:val="00364675"/>
    <w:rsid w:val="0036470E"/>
    <w:rsid w:val="003647AE"/>
    <w:rsid w:val="003647DC"/>
    <w:rsid w:val="00364869"/>
    <w:rsid w:val="003649C6"/>
    <w:rsid w:val="00364A43"/>
    <w:rsid w:val="00364B35"/>
    <w:rsid w:val="00364BB3"/>
    <w:rsid w:val="00364CE5"/>
    <w:rsid w:val="00364D5D"/>
    <w:rsid w:val="00364DAD"/>
    <w:rsid w:val="00364DEC"/>
    <w:rsid w:val="00364E4A"/>
    <w:rsid w:val="00364E80"/>
    <w:rsid w:val="00364EAF"/>
    <w:rsid w:val="00364F1D"/>
    <w:rsid w:val="00365098"/>
    <w:rsid w:val="0036510E"/>
    <w:rsid w:val="00365148"/>
    <w:rsid w:val="003651FE"/>
    <w:rsid w:val="003653C6"/>
    <w:rsid w:val="0036549E"/>
    <w:rsid w:val="0036550E"/>
    <w:rsid w:val="00365622"/>
    <w:rsid w:val="003656B7"/>
    <w:rsid w:val="003656C3"/>
    <w:rsid w:val="00365826"/>
    <w:rsid w:val="00365851"/>
    <w:rsid w:val="00365868"/>
    <w:rsid w:val="00365986"/>
    <w:rsid w:val="003659C1"/>
    <w:rsid w:val="00365A37"/>
    <w:rsid w:val="00365ABC"/>
    <w:rsid w:val="00365BBA"/>
    <w:rsid w:val="00365BF6"/>
    <w:rsid w:val="00365C37"/>
    <w:rsid w:val="00365C55"/>
    <w:rsid w:val="00365CBD"/>
    <w:rsid w:val="00365D33"/>
    <w:rsid w:val="00365E9A"/>
    <w:rsid w:val="00365EE2"/>
    <w:rsid w:val="00365F71"/>
    <w:rsid w:val="00365F97"/>
    <w:rsid w:val="00366101"/>
    <w:rsid w:val="00366377"/>
    <w:rsid w:val="0036637D"/>
    <w:rsid w:val="0036649F"/>
    <w:rsid w:val="003664A8"/>
    <w:rsid w:val="003665BD"/>
    <w:rsid w:val="003665F4"/>
    <w:rsid w:val="0036663A"/>
    <w:rsid w:val="00366679"/>
    <w:rsid w:val="003667C2"/>
    <w:rsid w:val="00366883"/>
    <w:rsid w:val="003669CB"/>
    <w:rsid w:val="003669D1"/>
    <w:rsid w:val="00366A0E"/>
    <w:rsid w:val="00366A1A"/>
    <w:rsid w:val="00366A21"/>
    <w:rsid w:val="00366A5B"/>
    <w:rsid w:val="00366A63"/>
    <w:rsid w:val="00366AB2"/>
    <w:rsid w:val="00366B2E"/>
    <w:rsid w:val="00366BE7"/>
    <w:rsid w:val="00366BE8"/>
    <w:rsid w:val="00366C13"/>
    <w:rsid w:val="00366D13"/>
    <w:rsid w:val="00366D29"/>
    <w:rsid w:val="00366E08"/>
    <w:rsid w:val="00366F87"/>
    <w:rsid w:val="00366F9F"/>
    <w:rsid w:val="00366FAF"/>
    <w:rsid w:val="00366FEA"/>
    <w:rsid w:val="00367004"/>
    <w:rsid w:val="00367013"/>
    <w:rsid w:val="0036705E"/>
    <w:rsid w:val="00367184"/>
    <w:rsid w:val="0036722A"/>
    <w:rsid w:val="003672DD"/>
    <w:rsid w:val="00367378"/>
    <w:rsid w:val="003673AC"/>
    <w:rsid w:val="00367414"/>
    <w:rsid w:val="003675AB"/>
    <w:rsid w:val="0036771E"/>
    <w:rsid w:val="00367794"/>
    <w:rsid w:val="003677CB"/>
    <w:rsid w:val="00367955"/>
    <w:rsid w:val="00367A68"/>
    <w:rsid w:val="00367A6D"/>
    <w:rsid w:val="00367A98"/>
    <w:rsid w:val="00367C06"/>
    <w:rsid w:val="00367C40"/>
    <w:rsid w:val="00367C7C"/>
    <w:rsid w:val="00367C8C"/>
    <w:rsid w:val="00367D26"/>
    <w:rsid w:val="00367D47"/>
    <w:rsid w:val="00367E18"/>
    <w:rsid w:val="00367E32"/>
    <w:rsid w:val="0037005C"/>
    <w:rsid w:val="0037008E"/>
    <w:rsid w:val="003700DE"/>
    <w:rsid w:val="0037011A"/>
    <w:rsid w:val="00370449"/>
    <w:rsid w:val="003705FB"/>
    <w:rsid w:val="00370707"/>
    <w:rsid w:val="003707E0"/>
    <w:rsid w:val="00370944"/>
    <w:rsid w:val="0037095F"/>
    <w:rsid w:val="00370AAB"/>
    <w:rsid w:val="00370AD1"/>
    <w:rsid w:val="00370B04"/>
    <w:rsid w:val="00370B29"/>
    <w:rsid w:val="00370D27"/>
    <w:rsid w:val="00370F6C"/>
    <w:rsid w:val="0037101A"/>
    <w:rsid w:val="00371026"/>
    <w:rsid w:val="0037115E"/>
    <w:rsid w:val="003713F6"/>
    <w:rsid w:val="003714B3"/>
    <w:rsid w:val="00371548"/>
    <w:rsid w:val="003715CE"/>
    <w:rsid w:val="0037191C"/>
    <w:rsid w:val="00371A52"/>
    <w:rsid w:val="00371A7B"/>
    <w:rsid w:val="00371AC7"/>
    <w:rsid w:val="00371AFE"/>
    <w:rsid w:val="00371B7D"/>
    <w:rsid w:val="00371B81"/>
    <w:rsid w:val="00371BF8"/>
    <w:rsid w:val="00371C0E"/>
    <w:rsid w:val="00371CCB"/>
    <w:rsid w:val="00371CDB"/>
    <w:rsid w:val="00371E19"/>
    <w:rsid w:val="00371F8E"/>
    <w:rsid w:val="00372106"/>
    <w:rsid w:val="003721FD"/>
    <w:rsid w:val="0037224F"/>
    <w:rsid w:val="00372333"/>
    <w:rsid w:val="0037237B"/>
    <w:rsid w:val="0037243A"/>
    <w:rsid w:val="003724C6"/>
    <w:rsid w:val="003724FE"/>
    <w:rsid w:val="003725CE"/>
    <w:rsid w:val="00372664"/>
    <w:rsid w:val="00372829"/>
    <w:rsid w:val="003729CB"/>
    <w:rsid w:val="00372AC0"/>
    <w:rsid w:val="00372B0D"/>
    <w:rsid w:val="00372DD2"/>
    <w:rsid w:val="00372E84"/>
    <w:rsid w:val="00372E99"/>
    <w:rsid w:val="00372F91"/>
    <w:rsid w:val="0037302B"/>
    <w:rsid w:val="0037311D"/>
    <w:rsid w:val="003732D4"/>
    <w:rsid w:val="00373375"/>
    <w:rsid w:val="00373415"/>
    <w:rsid w:val="00373455"/>
    <w:rsid w:val="003734A1"/>
    <w:rsid w:val="0037356E"/>
    <w:rsid w:val="00373601"/>
    <w:rsid w:val="00373636"/>
    <w:rsid w:val="0037363E"/>
    <w:rsid w:val="0037363F"/>
    <w:rsid w:val="00373735"/>
    <w:rsid w:val="003737A3"/>
    <w:rsid w:val="003738A1"/>
    <w:rsid w:val="003738A7"/>
    <w:rsid w:val="003738F0"/>
    <w:rsid w:val="00373930"/>
    <w:rsid w:val="00373961"/>
    <w:rsid w:val="003739F0"/>
    <w:rsid w:val="00373A28"/>
    <w:rsid w:val="00373A9D"/>
    <w:rsid w:val="00373B83"/>
    <w:rsid w:val="00373BDD"/>
    <w:rsid w:val="00373D22"/>
    <w:rsid w:val="00373D7A"/>
    <w:rsid w:val="00373D82"/>
    <w:rsid w:val="00373DE5"/>
    <w:rsid w:val="00373E79"/>
    <w:rsid w:val="00373F5A"/>
    <w:rsid w:val="00373FA6"/>
    <w:rsid w:val="00374213"/>
    <w:rsid w:val="00374441"/>
    <w:rsid w:val="0037447C"/>
    <w:rsid w:val="003744F0"/>
    <w:rsid w:val="00374568"/>
    <w:rsid w:val="003745C9"/>
    <w:rsid w:val="0037466D"/>
    <w:rsid w:val="00374678"/>
    <w:rsid w:val="003746AA"/>
    <w:rsid w:val="00374703"/>
    <w:rsid w:val="003748B4"/>
    <w:rsid w:val="003748E8"/>
    <w:rsid w:val="003748F4"/>
    <w:rsid w:val="00374982"/>
    <w:rsid w:val="003749D4"/>
    <w:rsid w:val="00374C0F"/>
    <w:rsid w:val="00374CF7"/>
    <w:rsid w:val="00374DB2"/>
    <w:rsid w:val="00374DCA"/>
    <w:rsid w:val="00374DF8"/>
    <w:rsid w:val="00374E20"/>
    <w:rsid w:val="00374E21"/>
    <w:rsid w:val="00374E8D"/>
    <w:rsid w:val="00374ECB"/>
    <w:rsid w:val="00374EE7"/>
    <w:rsid w:val="00374EE9"/>
    <w:rsid w:val="00374FB7"/>
    <w:rsid w:val="00375011"/>
    <w:rsid w:val="00375133"/>
    <w:rsid w:val="00375213"/>
    <w:rsid w:val="003752E6"/>
    <w:rsid w:val="0037531C"/>
    <w:rsid w:val="003754BB"/>
    <w:rsid w:val="00375577"/>
    <w:rsid w:val="003755BD"/>
    <w:rsid w:val="003755D3"/>
    <w:rsid w:val="003756D3"/>
    <w:rsid w:val="003757E2"/>
    <w:rsid w:val="0037588D"/>
    <w:rsid w:val="003758CB"/>
    <w:rsid w:val="00375B14"/>
    <w:rsid w:val="00375BBB"/>
    <w:rsid w:val="00375CB8"/>
    <w:rsid w:val="00375CED"/>
    <w:rsid w:val="00375D11"/>
    <w:rsid w:val="00375DE1"/>
    <w:rsid w:val="00375E69"/>
    <w:rsid w:val="00375FB9"/>
    <w:rsid w:val="00375FCF"/>
    <w:rsid w:val="00375FD5"/>
    <w:rsid w:val="0037601A"/>
    <w:rsid w:val="0037604E"/>
    <w:rsid w:val="003760F7"/>
    <w:rsid w:val="0037615B"/>
    <w:rsid w:val="003761AC"/>
    <w:rsid w:val="00376217"/>
    <w:rsid w:val="00376292"/>
    <w:rsid w:val="003763CA"/>
    <w:rsid w:val="003763E7"/>
    <w:rsid w:val="00376427"/>
    <w:rsid w:val="0037645F"/>
    <w:rsid w:val="0037647C"/>
    <w:rsid w:val="00376529"/>
    <w:rsid w:val="00376531"/>
    <w:rsid w:val="00376571"/>
    <w:rsid w:val="00376693"/>
    <w:rsid w:val="0037673B"/>
    <w:rsid w:val="003767D8"/>
    <w:rsid w:val="00376963"/>
    <w:rsid w:val="003769AC"/>
    <w:rsid w:val="00376A96"/>
    <w:rsid w:val="00376AC2"/>
    <w:rsid w:val="00376CAB"/>
    <w:rsid w:val="00376E22"/>
    <w:rsid w:val="00376E2D"/>
    <w:rsid w:val="00376E5B"/>
    <w:rsid w:val="00376ED9"/>
    <w:rsid w:val="00376F29"/>
    <w:rsid w:val="00376F42"/>
    <w:rsid w:val="00377020"/>
    <w:rsid w:val="0037702B"/>
    <w:rsid w:val="003770D5"/>
    <w:rsid w:val="0037726A"/>
    <w:rsid w:val="003773DD"/>
    <w:rsid w:val="0037746B"/>
    <w:rsid w:val="003774D0"/>
    <w:rsid w:val="0037757F"/>
    <w:rsid w:val="003775AB"/>
    <w:rsid w:val="00377613"/>
    <w:rsid w:val="00377617"/>
    <w:rsid w:val="00377641"/>
    <w:rsid w:val="003776E8"/>
    <w:rsid w:val="0037775C"/>
    <w:rsid w:val="00377782"/>
    <w:rsid w:val="00377805"/>
    <w:rsid w:val="00377863"/>
    <w:rsid w:val="003778FA"/>
    <w:rsid w:val="00377948"/>
    <w:rsid w:val="00377953"/>
    <w:rsid w:val="0037796C"/>
    <w:rsid w:val="003779E7"/>
    <w:rsid w:val="00377A70"/>
    <w:rsid w:val="00377B01"/>
    <w:rsid w:val="00377B3A"/>
    <w:rsid w:val="00377D35"/>
    <w:rsid w:val="00377ED3"/>
    <w:rsid w:val="00377EF9"/>
    <w:rsid w:val="00377F5B"/>
    <w:rsid w:val="00377FA3"/>
    <w:rsid w:val="003800B4"/>
    <w:rsid w:val="00380116"/>
    <w:rsid w:val="00380151"/>
    <w:rsid w:val="0038037A"/>
    <w:rsid w:val="0038037F"/>
    <w:rsid w:val="003803B9"/>
    <w:rsid w:val="00380461"/>
    <w:rsid w:val="003804AB"/>
    <w:rsid w:val="003804CB"/>
    <w:rsid w:val="003805E4"/>
    <w:rsid w:val="003805EA"/>
    <w:rsid w:val="00380672"/>
    <w:rsid w:val="003806C0"/>
    <w:rsid w:val="003806CD"/>
    <w:rsid w:val="003806EE"/>
    <w:rsid w:val="00380754"/>
    <w:rsid w:val="00380808"/>
    <w:rsid w:val="00380886"/>
    <w:rsid w:val="003808C7"/>
    <w:rsid w:val="00380A8C"/>
    <w:rsid w:val="00380A9B"/>
    <w:rsid w:val="00380B9C"/>
    <w:rsid w:val="00380D53"/>
    <w:rsid w:val="00380D5C"/>
    <w:rsid w:val="00380FC1"/>
    <w:rsid w:val="00381013"/>
    <w:rsid w:val="00381035"/>
    <w:rsid w:val="00381063"/>
    <w:rsid w:val="00381078"/>
    <w:rsid w:val="0038122D"/>
    <w:rsid w:val="003814B5"/>
    <w:rsid w:val="003817D9"/>
    <w:rsid w:val="00381A76"/>
    <w:rsid w:val="00381A7E"/>
    <w:rsid w:val="00381B4E"/>
    <w:rsid w:val="00381B68"/>
    <w:rsid w:val="00381C57"/>
    <w:rsid w:val="00381C7E"/>
    <w:rsid w:val="00381C86"/>
    <w:rsid w:val="00381D4A"/>
    <w:rsid w:val="00381DA5"/>
    <w:rsid w:val="00381DC5"/>
    <w:rsid w:val="00381E7A"/>
    <w:rsid w:val="00381E9C"/>
    <w:rsid w:val="00381EF4"/>
    <w:rsid w:val="00381F9C"/>
    <w:rsid w:val="00382022"/>
    <w:rsid w:val="00382071"/>
    <w:rsid w:val="00382093"/>
    <w:rsid w:val="003821C4"/>
    <w:rsid w:val="0038225E"/>
    <w:rsid w:val="00382328"/>
    <w:rsid w:val="00382352"/>
    <w:rsid w:val="00382385"/>
    <w:rsid w:val="003823C4"/>
    <w:rsid w:val="00382682"/>
    <w:rsid w:val="00382729"/>
    <w:rsid w:val="0038287A"/>
    <w:rsid w:val="003828B1"/>
    <w:rsid w:val="00382A66"/>
    <w:rsid w:val="00382A9A"/>
    <w:rsid w:val="00382AD4"/>
    <w:rsid w:val="00382B7B"/>
    <w:rsid w:val="00382C28"/>
    <w:rsid w:val="00382C33"/>
    <w:rsid w:val="00382C3F"/>
    <w:rsid w:val="00382CE4"/>
    <w:rsid w:val="00382DC0"/>
    <w:rsid w:val="00382DEE"/>
    <w:rsid w:val="00382E0C"/>
    <w:rsid w:val="00382E8A"/>
    <w:rsid w:val="00382EE4"/>
    <w:rsid w:val="00382F96"/>
    <w:rsid w:val="00382FB0"/>
    <w:rsid w:val="00383040"/>
    <w:rsid w:val="0038305F"/>
    <w:rsid w:val="00383234"/>
    <w:rsid w:val="003832BD"/>
    <w:rsid w:val="003832F5"/>
    <w:rsid w:val="0038347D"/>
    <w:rsid w:val="00383553"/>
    <w:rsid w:val="003835CE"/>
    <w:rsid w:val="00383600"/>
    <w:rsid w:val="00383793"/>
    <w:rsid w:val="003837A7"/>
    <w:rsid w:val="00383892"/>
    <w:rsid w:val="0038389A"/>
    <w:rsid w:val="00383926"/>
    <w:rsid w:val="0038392F"/>
    <w:rsid w:val="0038395B"/>
    <w:rsid w:val="003839E3"/>
    <w:rsid w:val="003839F7"/>
    <w:rsid w:val="00383B7D"/>
    <w:rsid w:val="00383D67"/>
    <w:rsid w:val="00383F43"/>
    <w:rsid w:val="00383F76"/>
    <w:rsid w:val="00383FD9"/>
    <w:rsid w:val="0038401E"/>
    <w:rsid w:val="0038408E"/>
    <w:rsid w:val="0038412C"/>
    <w:rsid w:val="00384210"/>
    <w:rsid w:val="00384413"/>
    <w:rsid w:val="00384487"/>
    <w:rsid w:val="003844B9"/>
    <w:rsid w:val="003844D8"/>
    <w:rsid w:val="003845B1"/>
    <w:rsid w:val="003845DC"/>
    <w:rsid w:val="00384686"/>
    <w:rsid w:val="00384759"/>
    <w:rsid w:val="00384970"/>
    <w:rsid w:val="003849F0"/>
    <w:rsid w:val="00384A63"/>
    <w:rsid w:val="00384C00"/>
    <w:rsid w:val="00384C2C"/>
    <w:rsid w:val="00384C87"/>
    <w:rsid w:val="00384CD9"/>
    <w:rsid w:val="00384E39"/>
    <w:rsid w:val="00384E5E"/>
    <w:rsid w:val="00384EDA"/>
    <w:rsid w:val="00384F00"/>
    <w:rsid w:val="00384F2C"/>
    <w:rsid w:val="00384F50"/>
    <w:rsid w:val="00385010"/>
    <w:rsid w:val="00385040"/>
    <w:rsid w:val="00385057"/>
    <w:rsid w:val="0038506D"/>
    <w:rsid w:val="003851A0"/>
    <w:rsid w:val="003851F3"/>
    <w:rsid w:val="00385315"/>
    <w:rsid w:val="00385340"/>
    <w:rsid w:val="00385388"/>
    <w:rsid w:val="003853AF"/>
    <w:rsid w:val="0038556E"/>
    <w:rsid w:val="00385587"/>
    <w:rsid w:val="00385597"/>
    <w:rsid w:val="00385668"/>
    <w:rsid w:val="003856E7"/>
    <w:rsid w:val="0038575F"/>
    <w:rsid w:val="0038577B"/>
    <w:rsid w:val="003857FA"/>
    <w:rsid w:val="00385891"/>
    <w:rsid w:val="003858C8"/>
    <w:rsid w:val="003858EA"/>
    <w:rsid w:val="00385960"/>
    <w:rsid w:val="00385AD8"/>
    <w:rsid w:val="00385BC2"/>
    <w:rsid w:val="00385BE6"/>
    <w:rsid w:val="00385C2D"/>
    <w:rsid w:val="00385C33"/>
    <w:rsid w:val="00385C5C"/>
    <w:rsid w:val="00385C96"/>
    <w:rsid w:val="00385D17"/>
    <w:rsid w:val="00385D8C"/>
    <w:rsid w:val="00385DC2"/>
    <w:rsid w:val="00385DEF"/>
    <w:rsid w:val="00385F31"/>
    <w:rsid w:val="0038604F"/>
    <w:rsid w:val="003861FB"/>
    <w:rsid w:val="003862E7"/>
    <w:rsid w:val="00386481"/>
    <w:rsid w:val="0038649C"/>
    <w:rsid w:val="003864A8"/>
    <w:rsid w:val="00386540"/>
    <w:rsid w:val="003865F4"/>
    <w:rsid w:val="0038662D"/>
    <w:rsid w:val="003866C7"/>
    <w:rsid w:val="003866EF"/>
    <w:rsid w:val="0038678C"/>
    <w:rsid w:val="003867DC"/>
    <w:rsid w:val="003868DA"/>
    <w:rsid w:val="00386910"/>
    <w:rsid w:val="003869FF"/>
    <w:rsid w:val="00386A30"/>
    <w:rsid w:val="00386ACE"/>
    <w:rsid w:val="00386AD4"/>
    <w:rsid w:val="00386B54"/>
    <w:rsid w:val="00386BC0"/>
    <w:rsid w:val="00386C4A"/>
    <w:rsid w:val="00386C6B"/>
    <w:rsid w:val="00386CBF"/>
    <w:rsid w:val="00386EFF"/>
    <w:rsid w:val="00386F37"/>
    <w:rsid w:val="00386F47"/>
    <w:rsid w:val="00386F55"/>
    <w:rsid w:val="00386FB3"/>
    <w:rsid w:val="0038704C"/>
    <w:rsid w:val="00387218"/>
    <w:rsid w:val="0038736D"/>
    <w:rsid w:val="003874AB"/>
    <w:rsid w:val="00387519"/>
    <w:rsid w:val="00387650"/>
    <w:rsid w:val="003876D5"/>
    <w:rsid w:val="00387952"/>
    <w:rsid w:val="003879B1"/>
    <w:rsid w:val="003879C1"/>
    <w:rsid w:val="00387A25"/>
    <w:rsid w:val="00387CFF"/>
    <w:rsid w:val="00387D2C"/>
    <w:rsid w:val="00387D99"/>
    <w:rsid w:val="00387DA7"/>
    <w:rsid w:val="00387E42"/>
    <w:rsid w:val="00387E62"/>
    <w:rsid w:val="00387EB0"/>
    <w:rsid w:val="00387EC0"/>
    <w:rsid w:val="00387FF4"/>
    <w:rsid w:val="003900EB"/>
    <w:rsid w:val="00390118"/>
    <w:rsid w:val="003901E9"/>
    <w:rsid w:val="003901ED"/>
    <w:rsid w:val="0039031D"/>
    <w:rsid w:val="00390460"/>
    <w:rsid w:val="0039048F"/>
    <w:rsid w:val="00390776"/>
    <w:rsid w:val="003907C6"/>
    <w:rsid w:val="003907DA"/>
    <w:rsid w:val="00390816"/>
    <w:rsid w:val="00390866"/>
    <w:rsid w:val="0039096D"/>
    <w:rsid w:val="00390A16"/>
    <w:rsid w:val="00390AAA"/>
    <w:rsid w:val="00390ABF"/>
    <w:rsid w:val="00390AE8"/>
    <w:rsid w:val="00390AF2"/>
    <w:rsid w:val="00390C1D"/>
    <w:rsid w:val="00390D54"/>
    <w:rsid w:val="00390F04"/>
    <w:rsid w:val="00390F78"/>
    <w:rsid w:val="003911E2"/>
    <w:rsid w:val="00391286"/>
    <w:rsid w:val="00391313"/>
    <w:rsid w:val="00391336"/>
    <w:rsid w:val="00391350"/>
    <w:rsid w:val="003913B1"/>
    <w:rsid w:val="00391487"/>
    <w:rsid w:val="003916D3"/>
    <w:rsid w:val="003918BF"/>
    <w:rsid w:val="0039190A"/>
    <w:rsid w:val="0039191E"/>
    <w:rsid w:val="003919F1"/>
    <w:rsid w:val="00391AF3"/>
    <w:rsid w:val="00391BF3"/>
    <w:rsid w:val="00391C93"/>
    <w:rsid w:val="00391D88"/>
    <w:rsid w:val="00391DBF"/>
    <w:rsid w:val="00391E15"/>
    <w:rsid w:val="00391E18"/>
    <w:rsid w:val="00391E3D"/>
    <w:rsid w:val="00391E5E"/>
    <w:rsid w:val="00391E5F"/>
    <w:rsid w:val="00391EA7"/>
    <w:rsid w:val="00391F36"/>
    <w:rsid w:val="00391FDB"/>
    <w:rsid w:val="00391FE3"/>
    <w:rsid w:val="00392015"/>
    <w:rsid w:val="00392092"/>
    <w:rsid w:val="003920F7"/>
    <w:rsid w:val="00392313"/>
    <w:rsid w:val="003923DC"/>
    <w:rsid w:val="003924D1"/>
    <w:rsid w:val="00392543"/>
    <w:rsid w:val="003925A2"/>
    <w:rsid w:val="003925BD"/>
    <w:rsid w:val="00392734"/>
    <w:rsid w:val="003927F6"/>
    <w:rsid w:val="00392811"/>
    <w:rsid w:val="003928E9"/>
    <w:rsid w:val="003929BE"/>
    <w:rsid w:val="003929FD"/>
    <w:rsid w:val="00392A33"/>
    <w:rsid w:val="00392ACC"/>
    <w:rsid w:val="00392AF8"/>
    <w:rsid w:val="00392B14"/>
    <w:rsid w:val="00392B8C"/>
    <w:rsid w:val="00392BAC"/>
    <w:rsid w:val="00392BDB"/>
    <w:rsid w:val="00392BFF"/>
    <w:rsid w:val="00392C0E"/>
    <w:rsid w:val="00392C7D"/>
    <w:rsid w:val="00392C8C"/>
    <w:rsid w:val="00392CEA"/>
    <w:rsid w:val="00392D59"/>
    <w:rsid w:val="00392D60"/>
    <w:rsid w:val="00392DDE"/>
    <w:rsid w:val="00392E0E"/>
    <w:rsid w:val="00392E21"/>
    <w:rsid w:val="00392E6C"/>
    <w:rsid w:val="00392F27"/>
    <w:rsid w:val="00392FB9"/>
    <w:rsid w:val="0039309B"/>
    <w:rsid w:val="0039309D"/>
    <w:rsid w:val="00393144"/>
    <w:rsid w:val="003931DB"/>
    <w:rsid w:val="00393205"/>
    <w:rsid w:val="003932C0"/>
    <w:rsid w:val="00393338"/>
    <w:rsid w:val="003933D5"/>
    <w:rsid w:val="003933E8"/>
    <w:rsid w:val="00393401"/>
    <w:rsid w:val="003934A1"/>
    <w:rsid w:val="00393568"/>
    <w:rsid w:val="0039360F"/>
    <w:rsid w:val="00393623"/>
    <w:rsid w:val="003936C6"/>
    <w:rsid w:val="00393736"/>
    <w:rsid w:val="003937C8"/>
    <w:rsid w:val="003937FD"/>
    <w:rsid w:val="00393817"/>
    <w:rsid w:val="0039381F"/>
    <w:rsid w:val="00393861"/>
    <w:rsid w:val="00393873"/>
    <w:rsid w:val="00393B6E"/>
    <w:rsid w:val="00393B9B"/>
    <w:rsid w:val="00393CA9"/>
    <w:rsid w:val="00393CFE"/>
    <w:rsid w:val="00393E02"/>
    <w:rsid w:val="00393EA4"/>
    <w:rsid w:val="00393F47"/>
    <w:rsid w:val="00394064"/>
    <w:rsid w:val="003940A3"/>
    <w:rsid w:val="003940CD"/>
    <w:rsid w:val="003940F9"/>
    <w:rsid w:val="00394123"/>
    <w:rsid w:val="00394144"/>
    <w:rsid w:val="00394181"/>
    <w:rsid w:val="0039423C"/>
    <w:rsid w:val="003942C4"/>
    <w:rsid w:val="00394324"/>
    <w:rsid w:val="003943D7"/>
    <w:rsid w:val="00394448"/>
    <w:rsid w:val="0039446C"/>
    <w:rsid w:val="00394489"/>
    <w:rsid w:val="00394556"/>
    <w:rsid w:val="003945C7"/>
    <w:rsid w:val="003946A2"/>
    <w:rsid w:val="003946B6"/>
    <w:rsid w:val="00394700"/>
    <w:rsid w:val="003947C4"/>
    <w:rsid w:val="0039480C"/>
    <w:rsid w:val="00394868"/>
    <w:rsid w:val="0039490F"/>
    <w:rsid w:val="0039499E"/>
    <w:rsid w:val="00394A0B"/>
    <w:rsid w:val="00394ABD"/>
    <w:rsid w:val="00394AD0"/>
    <w:rsid w:val="00394C14"/>
    <w:rsid w:val="00394C21"/>
    <w:rsid w:val="00394D0C"/>
    <w:rsid w:val="00394D4A"/>
    <w:rsid w:val="00394D59"/>
    <w:rsid w:val="00394D73"/>
    <w:rsid w:val="00394F14"/>
    <w:rsid w:val="00395139"/>
    <w:rsid w:val="003951A2"/>
    <w:rsid w:val="003951BB"/>
    <w:rsid w:val="00395248"/>
    <w:rsid w:val="003952BD"/>
    <w:rsid w:val="003953D1"/>
    <w:rsid w:val="003954C8"/>
    <w:rsid w:val="003954D5"/>
    <w:rsid w:val="0039554B"/>
    <w:rsid w:val="00395562"/>
    <w:rsid w:val="00395577"/>
    <w:rsid w:val="0039558D"/>
    <w:rsid w:val="0039561F"/>
    <w:rsid w:val="00395636"/>
    <w:rsid w:val="00395654"/>
    <w:rsid w:val="003956F5"/>
    <w:rsid w:val="0039576E"/>
    <w:rsid w:val="003957D8"/>
    <w:rsid w:val="00395873"/>
    <w:rsid w:val="003958FA"/>
    <w:rsid w:val="0039593A"/>
    <w:rsid w:val="0039596F"/>
    <w:rsid w:val="003959C5"/>
    <w:rsid w:val="00395A48"/>
    <w:rsid w:val="00395A9D"/>
    <w:rsid w:val="00395AD8"/>
    <w:rsid w:val="00395B63"/>
    <w:rsid w:val="00395B78"/>
    <w:rsid w:val="00395C91"/>
    <w:rsid w:val="00395C98"/>
    <w:rsid w:val="00395D7E"/>
    <w:rsid w:val="00395D98"/>
    <w:rsid w:val="00395DDA"/>
    <w:rsid w:val="00395E71"/>
    <w:rsid w:val="00395EE9"/>
    <w:rsid w:val="00395F4B"/>
    <w:rsid w:val="0039608E"/>
    <w:rsid w:val="00396113"/>
    <w:rsid w:val="0039615D"/>
    <w:rsid w:val="0039618F"/>
    <w:rsid w:val="00396218"/>
    <w:rsid w:val="00396223"/>
    <w:rsid w:val="0039626C"/>
    <w:rsid w:val="003962B2"/>
    <w:rsid w:val="003963BA"/>
    <w:rsid w:val="003963D3"/>
    <w:rsid w:val="003963E3"/>
    <w:rsid w:val="003963EB"/>
    <w:rsid w:val="00396465"/>
    <w:rsid w:val="003964B8"/>
    <w:rsid w:val="00396617"/>
    <w:rsid w:val="003966A0"/>
    <w:rsid w:val="003968B7"/>
    <w:rsid w:val="003968CA"/>
    <w:rsid w:val="0039690B"/>
    <w:rsid w:val="00396913"/>
    <w:rsid w:val="00396984"/>
    <w:rsid w:val="00396994"/>
    <w:rsid w:val="00396999"/>
    <w:rsid w:val="00396AEF"/>
    <w:rsid w:val="00396B74"/>
    <w:rsid w:val="00396BCA"/>
    <w:rsid w:val="00396BDC"/>
    <w:rsid w:val="00396C26"/>
    <w:rsid w:val="00396D02"/>
    <w:rsid w:val="00396D52"/>
    <w:rsid w:val="00396DC9"/>
    <w:rsid w:val="00396E48"/>
    <w:rsid w:val="00396EEB"/>
    <w:rsid w:val="00396FB2"/>
    <w:rsid w:val="00396FE5"/>
    <w:rsid w:val="0039717A"/>
    <w:rsid w:val="003971C8"/>
    <w:rsid w:val="003971F5"/>
    <w:rsid w:val="00397202"/>
    <w:rsid w:val="00397316"/>
    <w:rsid w:val="0039739D"/>
    <w:rsid w:val="0039749C"/>
    <w:rsid w:val="00397517"/>
    <w:rsid w:val="0039760F"/>
    <w:rsid w:val="003976D8"/>
    <w:rsid w:val="00397739"/>
    <w:rsid w:val="00397756"/>
    <w:rsid w:val="00397775"/>
    <w:rsid w:val="003977F9"/>
    <w:rsid w:val="00397930"/>
    <w:rsid w:val="00397947"/>
    <w:rsid w:val="003979CD"/>
    <w:rsid w:val="00397A4D"/>
    <w:rsid w:val="00397A9C"/>
    <w:rsid w:val="00397B81"/>
    <w:rsid w:val="00397C38"/>
    <w:rsid w:val="00397C76"/>
    <w:rsid w:val="00397CE2"/>
    <w:rsid w:val="00397D08"/>
    <w:rsid w:val="00397E73"/>
    <w:rsid w:val="00397EE0"/>
    <w:rsid w:val="00397F8E"/>
    <w:rsid w:val="00397F9D"/>
    <w:rsid w:val="003A000C"/>
    <w:rsid w:val="003A0011"/>
    <w:rsid w:val="003A0025"/>
    <w:rsid w:val="003A0140"/>
    <w:rsid w:val="003A0199"/>
    <w:rsid w:val="003A0397"/>
    <w:rsid w:val="003A03BC"/>
    <w:rsid w:val="003A06BE"/>
    <w:rsid w:val="003A07A1"/>
    <w:rsid w:val="003A07C6"/>
    <w:rsid w:val="003A0832"/>
    <w:rsid w:val="003A0926"/>
    <w:rsid w:val="003A09E8"/>
    <w:rsid w:val="003A0A30"/>
    <w:rsid w:val="003A0A71"/>
    <w:rsid w:val="003A0A74"/>
    <w:rsid w:val="003A0B64"/>
    <w:rsid w:val="003A0C36"/>
    <w:rsid w:val="003A0E63"/>
    <w:rsid w:val="003A0FED"/>
    <w:rsid w:val="003A0FF6"/>
    <w:rsid w:val="003A1058"/>
    <w:rsid w:val="003A11A8"/>
    <w:rsid w:val="003A12C2"/>
    <w:rsid w:val="003A1314"/>
    <w:rsid w:val="003A1382"/>
    <w:rsid w:val="003A15B5"/>
    <w:rsid w:val="003A167E"/>
    <w:rsid w:val="003A18A3"/>
    <w:rsid w:val="003A18E4"/>
    <w:rsid w:val="003A1933"/>
    <w:rsid w:val="003A1950"/>
    <w:rsid w:val="003A197F"/>
    <w:rsid w:val="003A19AE"/>
    <w:rsid w:val="003A19F3"/>
    <w:rsid w:val="003A1B9C"/>
    <w:rsid w:val="003A1BA6"/>
    <w:rsid w:val="003A1BB3"/>
    <w:rsid w:val="003A1C15"/>
    <w:rsid w:val="003A1C29"/>
    <w:rsid w:val="003A1CEC"/>
    <w:rsid w:val="003A1D29"/>
    <w:rsid w:val="003A1D8C"/>
    <w:rsid w:val="003A1DF1"/>
    <w:rsid w:val="003A1E16"/>
    <w:rsid w:val="003A1E79"/>
    <w:rsid w:val="003A1EA7"/>
    <w:rsid w:val="003A1FD7"/>
    <w:rsid w:val="003A2025"/>
    <w:rsid w:val="003A2048"/>
    <w:rsid w:val="003A2086"/>
    <w:rsid w:val="003A2091"/>
    <w:rsid w:val="003A20EA"/>
    <w:rsid w:val="003A214C"/>
    <w:rsid w:val="003A23A0"/>
    <w:rsid w:val="003A2889"/>
    <w:rsid w:val="003A288C"/>
    <w:rsid w:val="003A2890"/>
    <w:rsid w:val="003A2897"/>
    <w:rsid w:val="003A2A2F"/>
    <w:rsid w:val="003A2A73"/>
    <w:rsid w:val="003A2BEB"/>
    <w:rsid w:val="003A2CA2"/>
    <w:rsid w:val="003A2E4A"/>
    <w:rsid w:val="003A2EA1"/>
    <w:rsid w:val="003A3185"/>
    <w:rsid w:val="003A31D6"/>
    <w:rsid w:val="003A31DA"/>
    <w:rsid w:val="003A3275"/>
    <w:rsid w:val="003A32B1"/>
    <w:rsid w:val="003A349F"/>
    <w:rsid w:val="003A34B2"/>
    <w:rsid w:val="003A34D7"/>
    <w:rsid w:val="003A3598"/>
    <w:rsid w:val="003A35B8"/>
    <w:rsid w:val="003A35DC"/>
    <w:rsid w:val="003A3854"/>
    <w:rsid w:val="003A38A3"/>
    <w:rsid w:val="003A38C2"/>
    <w:rsid w:val="003A3AC6"/>
    <w:rsid w:val="003A3B83"/>
    <w:rsid w:val="003A3CAF"/>
    <w:rsid w:val="003A3CD8"/>
    <w:rsid w:val="003A3D33"/>
    <w:rsid w:val="003A3DA4"/>
    <w:rsid w:val="003A3DAC"/>
    <w:rsid w:val="003A3DBC"/>
    <w:rsid w:val="003A3E85"/>
    <w:rsid w:val="003A3F5F"/>
    <w:rsid w:val="003A3FA6"/>
    <w:rsid w:val="003A40B6"/>
    <w:rsid w:val="003A4198"/>
    <w:rsid w:val="003A419D"/>
    <w:rsid w:val="003A41E0"/>
    <w:rsid w:val="003A41EA"/>
    <w:rsid w:val="003A42EC"/>
    <w:rsid w:val="003A4334"/>
    <w:rsid w:val="003A435B"/>
    <w:rsid w:val="003A4386"/>
    <w:rsid w:val="003A4390"/>
    <w:rsid w:val="003A445F"/>
    <w:rsid w:val="003A4568"/>
    <w:rsid w:val="003A45D1"/>
    <w:rsid w:val="003A45E4"/>
    <w:rsid w:val="003A4668"/>
    <w:rsid w:val="003A46FA"/>
    <w:rsid w:val="003A477E"/>
    <w:rsid w:val="003A4869"/>
    <w:rsid w:val="003A48AA"/>
    <w:rsid w:val="003A48AF"/>
    <w:rsid w:val="003A4963"/>
    <w:rsid w:val="003A498C"/>
    <w:rsid w:val="003A499F"/>
    <w:rsid w:val="003A4A45"/>
    <w:rsid w:val="003A4A8C"/>
    <w:rsid w:val="003A4B01"/>
    <w:rsid w:val="003A4BA5"/>
    <w:rsid w:val="003A4C08"/>
    <w:rsid w:val="003A4C76"/>
    <w:rsid w:val="003A4CB3"/>
    <w:rsid w:val="003A4DB0"/>
    <w:rsid w:val="003A4DDD"/>
    <w:rsid w:val="003A4E89"/>
    <w:rsid w:val="003A4F55"/>
    <w:rsid w:val="003A4F60"/>
    <w:rsid w:val="003A4F7A"/>
    <w:rsid w:val="003A5090"/>
    <w:rsid w:val="003A5101"/>
    <w:rsid w:val="003A51BB"/>
    <w:rsid w:val="003A51BE"/>
    <w:rsid w:val="003A51F1"/>
    <w:rsid w:val="003A5223"/>
    <w:rsid w:val="003A525F"/>
    <w:rsid w:val="003A52B2"/>
    <w:rsid w:val="003A541A"/>
    <w:rsid w:val="003A54EB"/>
    <w:rsid w:val="003A55C5"/>
    <w:rsid w:val="003A56A9"/>
    <w:rsid w:val="003A56AA"/>
    <w:rsid w:val="003A571F"/>
    <w:rsid w:val="003A57AA"/>
    <w:rsid w:val="003A57F0"/>
    <w:rsid w:val="003A5830"/>
    <w:rsid w:val="003A5918"/>
    <w:rsid w:val="003A5A5B"/>
    <w:rsid w:val="003A5B11"/>
    <w:rsid w:val="003A5B76"/>
    <w:rsid w:val="003A5BF2"/>
    <w:rsid w:val="003A5C1A"/>
    <w:rsid w:val="003A5C35"/>
    <w:rsid w:val="003A5C4E"/>
    <w:rsid w:val="003A5CAA"/>
    <w:rsid w:val="003A5D58"/>
    <w:rsid w:val="003A5DA9"/>
    <w:rsid w:val="003A5EEB"/>
    <w:rsid w:val="003A5F07"/>
    <w:rsid w:val="003A5F67"/>
    <w:rsid w:val="003A5FA6"/>
    <w:rsid w:val="003A6070"/>
    <w:rsid w:val="003A6098"/>
    <w:rsid w:val="003A6217"/>
    <w:rsid w:val="003A6289"/>
    <w:rsid w:val="003A62E7"/>
    <w:rsid w:val="003A6319"/>
    <w:rsid w:val="003A6368"/>
    <w:rsid w:val="003A641B"/>
    <w:rsid w:val="003A658F"/>
    <w:rsid w:val="003A669C"/>
    <w:rsid w:val="003A66F7"/>
    <w:rsid w:val="003A677F"/>
    <w:rsid w:val="003A67EC"/>
    <w:rsid w:val="003A6859"/>
    <w:rsid w:val="003A68EC"/>
    <w:rsid w:val="003A693B"/>
    <w:rsid w:val="003A6972"/>
    <w:rsid w:val="003A6ADC"/>
    <w:rsid w:val="003A6CD3"/>
    <w:rsid w:val="003A6CDC"/>
    <w:rsid w:val="003A6D51"/>
    <w:rsid w:val="003A6EF9"/>
    <w:rsid w:val="003A6F48"/>
    <w:rsid w:val="003A6FBF"/>
    <w:rsid w:val="003A6FF1"/>
    <w:rsid w:val="003A7045"/>
    <w:rsid w:val="003A706E"/>
    <w:rsid w:val="003A70E6"/>
    <w:rsid w:val="003A70F8"/>
    <w:rsid w:val="003A7185"/>
    <w:rsid w:val="003A7231"/>
    <w:rsid w:val="003A7254"/>
    <w:rsid w:val="003A726E"/>
    <w:rsid w:val="003A74B9"/>
    <w:rsid w:val="003A759D"/>
    <w:rsid w:val="003A75AC"/>
    <w:rsid w:val="003A75BD"/>
    <w:rsid w:val="003A75C3"/>
    <w:rsid w:val="003A75D5"/>
    <w:rsid w:val="003A75E9"/>
    <w:rsid w:val="003A76AD"/>
    <w:rsid w:val="003A76DA"/>
    <w:rsid w:val="003A76DC"/>
    <w:rsid w:val="003A77C7"/>
    <w:rsid w:val="003A7887"/>
    <w:rsid w:val="003A798E"/>
    <w:rsid w:val="003A79D1"/>
    <w:rsid w:val="003A79D5"/>
    <w:rsid w:val="003A7A0F"/>
    <w:rsid w:val="003A7A1F"/>
    <w:rsid w:val="003A7AD0"/>
    <w:rsid w:val="003A7C02"/>
    <w:rsid w:val="003A7C0D"/>
    <w:rsid w:val="003A7DD1"/>
    <w:rsid w:val="003A7DF7"/>
    <w:rsid w:val="003A7DF9"/>
    <w:rsid w:val="003A7E05"/>
    <w:rsid w:val="003A7F68"/>
    <w:rsid w:val="003B01A4"/>
    <w:rsid w:val="003B02FD"/>
    <w:rsid w:val="003B033D"/>
    <w:rsid w:val="003B04E9"/>
    <w:rsid w:val="003B051F"/>
    <w:rsid w:val="003B0607"/>
    <w:rsid w:val="003B069B"/>
    <w:rsid w:val="003B069C"/>
    <w:rsid w:val="003B0884"/>
    <w:rsid w:val="003B08D1"/>
    <w:rsid w:val="003B0914"/>
    <w:rsid w:val="003B09C9"/>
    <w:rsid w:val="003B09E9"/>
    <w:rsid w:val="003B0A31"/>
    <w:rsid w:val="003B0AB9"/>
    <w:rsid w:val="003B0B03"/>
    <w:rsid w:val="003B0B62"/>
    <w:rsid w:val="003B0B92"/>
    <w:rsid w:val="003B0C01"/>
    <w:rsid w:val="003B0D30"/>
    <w:rsid w:val="003B0EFA"/>
    <w:rsid w:val="003B0F54"/>
    <w:rsid w:val="003B0F5E"/>
    <w:rsid w:val="003B102B"/>
    <w:rsid w:val="003B116A"/>
    <w:rsid w:val="003B12B9"/>
    <w:rsid w:val="003B131D"/>
    <w:rsid w:val="003B1365"/>
    <w:rsid w:val="003B1367"/>
    <w:rsid w:val="003B141F"/>
    <w:rsid w:val="003B144C"/>
    <w:rsid w:val="003B1546"/>
    <w:rsid w:val="003B16E1"/>
    <w:rsid w:val="003B1757"/>
    <w:rsid w:val="003B17A7"/>
    <w:rsid w:val="003B184F"/>
    <w:rsid w:val="003B18C4"/>
    <w:rsid w:val="003B19BC"/>
    <w:rsid w:val="003B1AD3"/>
    <w:rsid w:val="003B1C92"/>
    <w:rsid w:val="003B1CCD"/>
    <w:rsid w:val="003B1D5A"/>
    <w:rsid w:val="003B1EA8"/>
    <w:rsid w:val="003B1ECF"/>
    <w:rsid w:val="003B1F07"/>
    <w:rsid w:val="003B20D8"/>
    <w:rsid w:val="003B20F0"/>
    <w:rsid w:val="003B2109"/>
    <w:rsid w:val="003B21FE"/>
    <w:rsid w:val="003B2231"/>
    <w:rsid w:val="003B2282"/>
    <w:rsid w:val="003B23C2"/>
    <w:rsid w:val="003B2420"/>
    <w:rsid w:val="003B2444"/>
    <w:rsid w:val="003B24C8"/>
    <w:rsid w:val="003B2533"/>
    <w:rsid w:val="003B2665"/>
    <w:rsid w:val="003B268A"/>
    <w:rsid w:val="003B2739"/>
    <w:rsid w:val="003B27C2"/>
    <w:rsid w:val="003B27E1"/>
    <w:rsid w:val="003B283F"/>
    <w:rsid w:val="003B290E"/>
    <w:rsid w:val="003B2963"/>
    <w:rsid w:val="003B2A70"/>
    <w:rsid w:val="003B2A75"/>
    <w:rsid w:val="003B2AB4"/>
    <w:rsid w:val="003B2AEE"/>
    <w:rsid w:val="003B2BA7"/>
    <w:rsid w:val="003B2D6A"/>
    <w:rsid w:val="003B2D76"/>
    <w:rsid w:val="003B2E1D"/>
    <w:rsid w:val="003B2E73"/>
    <w:rsid w:val="003B2F1A"/>
    <w:rsid w:val="003B2F71"/>
    <w:rsid w:val="003B2FE2"/>
    <w:rsid w:val="003B30FA"/>
    <w:rsid w:val="003B327A"/>
    <w:rsid w:val="003B33A0"/>
    <w:rsid w:val="003B34AE"/>
    <w:rsid w:val="003B34F6"/>
    <w:rsid w:val="003B35B4"/>
    <w:rsid w:val="003B36F8"/>
    <w:rsid w:val="003B3BB7"/>
    <w:rsid w:val="003B3BC9"/>
    <w:rsid w:val="003B3CC3"/>
    <w:rsid w:val="003B3DB5"/>
    <w:rsid w:val="003B3EE5"/>
    <w:rsid w:val="003B3EE9"/>
    <w:rsid w:val="003B3F01"/>
    <w:rsid w:val="003B3F15"/>
    <w:rsid w:val="003B40C3"/>
    <w:rsid w:val="003B4125"/>
    <w:rsid w:val="003B4155"/>
    <w:rsid w:val="003B421A"/>
    <w:rsid w:val="003B42F9"/>
    <w:rsid w:val="003B43DF"/>
    <w:rsid w:val="003B4473"/>
    <w:rsid w:val="003B44A2"/>
    <w:rsid w:val="003B44AC"/>
    <w:rsid w:val="003B4626"/>
    <w:rsid w:val="003B464D"/>
    <w:rsid w:val="003B46BE"/>
    <w:rsid w:val="003B46D7"/>
    <w:rsid w:val="003B4712"/>
    <w:rsid w:val="003B476E"/>
    <w:rsid w:val="003B4813"/>
    <w:rsid w:val="003B4858"/>
    <w:rsid w:val="003B48AD"/>
    <w:rsid w:val="003B491E"/>
    <w:rsid w:val="003B497E"/>
    <w:rsid w:val="003B49B8"/>
    <w:rsid w:val="003B49D5"/>
    <w:rsid w:val="003B4A10"/>
    <w:rsid w:val="003B4A64"/>
    <w:rsid w:val="003B4AF8"/>
    <w:rsid w:val="003B4B7C"/>
    <w:rsid w:val="003B4BD0"/>
    <w:rsid w:val="003B4C5F"/>
    <w:rsid w:val="003B4C88"/>
    <w:rsid w:val="003B4D7C"/>
    <w:rsid w:val="003B4F18"/>
    <w:rsid w:val="003B4F2F"/>
    <w:rsid w:val="003B4FFD"/>
    <w:rsid w:val="003B5094"/>
    <w:rsid w:val="003B50EB"/>
    <w:rsid w:val="003B510E"/>
    <w:rsid w:val="003B51C1"/>
    <w:rsid w:val="003B5262"/>
    <w:rsid w:val="003B52EC"/>
    <w:rsid w:val="003B532E"/>
    <w:rsid w:val="003B55CF"/>
    <w:rsid w:val="003B5819"/>
    <w:rsid w:val="003B5857"/>
    <w:rsid w:val="003B58C0"/>
    <w:rsid w:val="003B5915"/>
    <w:rsid w:val="003B591A"/>
    <w:rsid w:val="003B5AB1"/>
    <w:rsid w:val="003B5B58"/>
    <w:rsid w:val="003B5C25"/>
    <w:rsid w:val="003B5D74"/>
    <w:rsid w:val="003B5E42"/>
    <w:rsid w:val="003B5E90"/>
    <w:rsid w:val="003B5EAD"/>
    <w:rsid w:val="003B600A"/>
    <w:rsid w:val="003B606A"/>
    <w:rsid w:val="003B620E"/>
    <w:rsid w:val="003B636D"/>
    <w:rsid w:val="003B640F"/>
    <w:rsid w:val="003B6422"/>
    <w:rsid w:val="003B6438"/>
    <w:rsid w:val="003B6445"/>
    <w:rsid w:val="003B6591"/>
    <w:rsid w:val="003B6645"/>
    <w:rsid w:val="003B66D8"/>
    <w:rsid w:val="003B679A"/>
    <w:rsid w:val="003B67D6"/>
    <w:rsid w:val="003B683C"/>
    <w:rsid w:val="003B685D"/>
    <w:rsid w:val="003B6868"/>
    <w:rsid w:val="003B69AA"/>
    <w:rsid w:val="003B6B7A"/>
    <w:rsid w:val="003B6C85"/>
    <w:rsid w:val="003B6C96"/>
    <w:rsid w:val="003B6C97"/>
    <w:rsid w:val="003B6C9C"/>
    <w:rsid w:val="003B6CCE"/>
    <w:rsid w:val="003B6D19"/>
    <w:rsid w:val="003B6E41"/>
    <w:rsid w:val="003B6E56"/>
    <w:rsid w:val="003B6E75"/>
    <w:rsid w:val="003B6F47"/>
    <w:rsid w:val="003B6FCE"/>
    <w:rsid w:val="003B704D"/>
    <w:rsid w:val="003B71F0"/>
    <w:rsid w:val="003B724F"/>
    <w:rsid w:val="003B72B3"/>
    <w:rsid w:val="003B72C4"/>
    <w:rsid w:val="003B72D6"/>
    <w:rsid w:val="003B7554"/>
    <w:rsid w:val="003B77C8"/>
    <w:rsid w:val="003B77D5"/>
    <w:rsid w:val="003B77FE"/>
    <w:rsid w:val="003B78BE"/>
    <w:rsid w:val="003B78E0"/>
    <w:rsid w:val="003B7978"/>
    <w:rsid w:val="003B7A33"/>
    <w:rsid w:val="003B7AAD"/>
    <w:rsid w:val="003B7B57"/>
    <w:rsid w:val="003B7C29"/>
    <w:rsid w:val="003B7C3C"/>
    <w:rsid w:val="003B7D1C"/>
    <w:rsid w:val="003B7D30"/>
    <w:rsid w:val="003B7D8F"/>
    <w:rsid w:val="003B7E32"/>
    <w:rsid w:val="003B7E3D"/>
    <w:rsid w:val="003B7EC1"/>
    <w:rsid w:val="003B7F28"/>
    <w:rsid w:val="003C0060"/>
    <w:rsid w:val="003C0083"/>
    <w:rsid w:val="003C0100"/>
    <w:rsid w:val="003C0275"/>
    <w:rsid w:val="003C037B"/>
    <w:rsid w:val="003C03A5"/>
    <w:rsid w:val="003C053F"/>
    <w:rsid w:val="003C0563"/>
    <w:rsid w:val="003C058F"/>
    <w:rsid w:val="003C077A"/>
    <w:rsid w:val="003C0792"/>
    <w:rsid w:val="003C0855"/>
    <w:rsid w:val="003C0AC8"/>
    <w:rsid w:val="003C0BFF"/>
    <w:rsid w:val="003C0E0A"/>
    <w:rsid w:val="003C0E4B"/>
    <w:rsid w:val="003C0E4E"/>
    <w:rsid w:val="003C0E82"/>
    <w:rsid w:val="003C0F20"/>
    <w:rsid w:val="003C0F7F"/>
    <w:rsid w:val="003C10F9"/>
    <w:rsid w:val="003C11B7"/>
    <w:rsid w:val="003C1211"/>
    <w:rsid w:val="003C13E5"/>
    <w:rsid w:val="003C13F3"/>
    <w:rsid w:val="003C1632"/>
    <w:rsid w:val="003C163B"/>
    <w:rsid w:val="003C1765"/>
    <w:rsid w:val="003C1827"/>
    <w:rsid w:val="003C19E8"/>
    <w:rsid w:val="003C1A73"/>
    <w:rsid w:val="003C1B70"/>
    <w:rsid w:val="003C1BB6"/>
    <w:rsid w:val="003C1BD7"/>
    <w:rsid w:val="003C1F3D"/>
    <w:rsid w:val="003C1F5B"/>
    <w:rsid w:val="003C2132"/>
    <w:rsid w:val="003C217A"/>
    <w:rsid w:val="003C23AC"/>
    <w:rsid w:val="003C2440"/>
    <w:rsid w:val="003C248B"/>
    <w:rsid w:val="003C24BB"/>
    <w:rsid w:val="003C2542"/>
    <w:rsid w:val="003C258C"/>
    <w:rsid w:val="003C25F9"/>
    <w:rsid w:val="003C26B4"/>
    <w:rsid w:val="003C26FB"/>
    <w:rsid w:val="003C274A"/>
    <w:rsid w:val="003C28CE"/>
    <w:rsid w:val="003C2A79"/>
    <w:rsid w:val="003C2CF9"/>
    <w:rsid w:val="003C2D7F"/>
    <w:rsid w:val="003C2E35"/>
    <w:rsid w:val="003C2E98"/>
    <w:rsid w:val="003C3010"/>
    <w:rsid w:val="003C30AE"/>
    <w:rsid w:val="003C30BA"/>
    <w:rsid w:val="003C30E0"/>
    <w:rsid w:val="003C3134"/>
    <w:rsid w:val="003C31E7"/>
    <w:rsid w:val="003C3274"/>
    <w:rsid w:val="003C3286"/>
    <w:rsid w:val="003C330F"/>
    <w:rsid w:val="003C3426"/>
    <w:rsid w:val="003C3495"/>
    <w:rsid w:val="003C349F"/>
    <w:rsid w:val="003C3596"/>
    <w:rsid w:val="003C363E"/>
    <w:rsid w:val="003C369B"/>
    <w:rsid w:val="003C36E3"/>
    <w:rsid w:val="003C376E"/>
    <w:rsid w:val="003C38CA"/>
    <w:rsid w:val="003C3955"/>
    <w:rsid w:val="003C39C9"/>
    <w:rsid w:val="003C3B12"/>
    <w:rsid w:val="003C3B31"/>
    <w:rsid w:val="003C3CAB"/>
    <w:rsid w:val="003C3D94"/>
    <w:rsid w:val="003C3DA9"/>
    <w:rsid w:val="003C3DC2"/>
    <w:rsid w:val="003C3E5D"/>
    <w:rsid w:val="003C3EF9"/>
    <w:rsid w:val="003C3FF3"/>
    <w:rsid w:val="003C40A7"/>
    <w:rsid w:val="003C40D0"/>
    <w:rsid w:val="003C423F"/>
    <w:rsid w:val="003C425B"/>
    <w:rsid w:val="003C42C2"/>
    <w:rsid w:val="003C437D"/>
    <w:rsid w:val="003C43EE"/>
    <w:rsid w:val="003C44DC"/>
    <w:rsid w:val="003C4501"/>
    <w:rsid w:val="003C454F"/>
    <w:rsid w:val="003C4564"/>
    <w:rsid w:val="003C474A"/>
    <w:rsid w:val="003C4773"/>
    <w:rsid w:val="003C482F"/>
    <w:rsid w:val="003C4861"/>
    <w:rsid w:val="003C487A"/>
    <w:rsid w:val="003C49B7"/>
    <w:rsid w:val="003C4A09"/>
    <w:rsid w:val="003C4A74"/>
    <w:rsid w:val="003C4AD3"/>
    <w:rsid w:val="003C4BCA"/>
    <w:rsid w:val="003C4D7C"/>
    <w:rsid w:val="003C4DEA"/>
    <w:rsid w:val="003C4E68"/>
    <w:rsid w:val="003C4E98"/>
    <w:rsid w:val="003C4F8B"/>
    <w:rsid w:val="003C4F94"/>
    <w:rsid w:val="003C4FF6"/>
    <w:rsid w:val="003C502A"/>
    <w:rsid w:val="003C519A"/>
    <w:rsid w:val="003C5226"/>
    <w:rsid w:val="003C5255"/>
    <w:rsid w:val="003C537B"/>
    <w:rsid w:val="003C543B"/>
    <w:rsid w:val="003C5442"/>
    <w:rsid w:val="003C5560"/>
    <w:rsid w:val="003C571C"/>
    <w:rsid w:val="003C579D"/>
    <w:rsid w:val="003C5814"/>
    <w:rsid w:val="003C5895"/>
    <w:rsid w:val="003C5A3E"/>
    <w:rsid w:val="003C5C3C"/>
    <w:rsid w:val="003C5C66"/>
    <w:rsid w:val="003C5F7C"/>
    <w:rsid w:val="003C6058"/>
    <w:rsid w:val="003C609E"/>
    <w:rsid w:val="003C6107"/>
    <w:rsid w:val="003C6208"/>
    <w:rsid w:val="003C6300"/>
    <w:rsid w:val="003C63E8"/>
    <w:rsid w:val="003C643F"/>
    <w:rsid w:val="003C644F"/>
    <w:rsid w:val="003C646E"/>
    <w:rsid w:val="003C6685"/>
    <w:rsid w:val="003C6778"/>
    <w:rsid w:val="003C68EE"/>
    <w:rsid w:val="003C6954"/>
    <w:rsid w:val="003C6A39"/>
    <w:rsid w:val="003C6ACA"/>
    <w:rsid w:val="003C6B31"/>
    <w:rsid w:val="003C6B4C"/>
    <w:rsid w:val="003C6C98"/>
    <w:rsid w:val="003C6CDB"/>
    <w:rsid w:val="003C6CF9"/>
    <w:rsid w:val="003C6D14"/>
    <w:rsid w:val="003C6D64"/>
    <w:rsid w:val="003C6E1D"/>
    <w:rsid w:val="003C6E90"/>
    <w:rsid w:val="003C6F73"/>
    <w:rsid w:val="003C6FD7"/>
    <w:rsid w:val="003C7037"/>
    <w:rsid w:val="003C7068"/>
    <w:rsid w:val="003C7086"/>
    <w:rsid w:val="003C7149"/>
    <w:rsid w:val="003C725C"/>
    <w:rsid w:val="003C72B5"/>
    <w:rsid w:val="003C72BC"/>
    <w:rsid w:val="003C7342"/>
    <w:rsid w:val="003C7374"/>
    <w:rsid w:val="003C7427"/>
    <w:rsid w:val="003C7457"/>
    <w:rsid w:val="003C7465"/>
    <w:rsid w:val="003C7563"/>
    <w:rsid w:val="003C7571"/>
    <w:rsid w:val="003C76B4"/>
    <w:rsid w:val="003C76EA"/>
    <w:rsid w:val="003C7745"/>
    <w:rsid w:val="003C7747"/>
    <w:rsid w:val="003C7748"/>
    <w:rsid w:val="003C77B3"/>
    <w:rsid w:val="003C77CE"/>
    <w:rsid w:val="003C7807"/>
    <w:rsid w:val="003C782C"/>
    <w:rsid w:val="003C78CA"/>
    <w:rsid w:val="003C78E5"/>
    <w:rsid w:val="003C799F"/>
    <w:rsid w:val="003C79E0"/>
    <w:rsid w:val="003C7D14"/>
    <w:rsid w:val="003C7E0C"/>
    <w:rsid w:val="003C7EB9"/>
    <w:rsid w:val="003C7F15"/>
    <w:rsid w:val="003C7F4F"/>
    <w:rsid w:val="003C7F7A"/>
    <w:rsid w:val="003D0036"/>
    <w:rsid w:val="003D00AF"/>
    <w:rsid w:val="003D01D2"/>
    <w:rsid w:val="003D01E7"/>
    <w:rsid w:val="003D02CD"/>
    <w:rsid w:val="003D0317"/>
    <w:rsid w:val="003D0399"/>
    <w:rsid w:val="003D0690"/>
    <w:rsid w:val="003D06ED"/>
    <w:rsid w:val="003D07DB"/>
    <w:rsid w:val="003D0838"/>
    <w:rsid w:val="003D089E"/>
    <w:rsid w:val="003D08A2"/>
    <w:rsid w:val="003D08F5"/>
    <w:rsid w:val="003D0971"/>
    <w:rsid w:val="003D09EB"/>
    <w:rsid w:val="003D09EF"/>
    <w:rsid w:val="003D0A0E"/>
    <w:rsid w:val="003D0A2D"/>
    <w:rsid w:val="003D0B53"/>
    <w:rsid w:val="003D0B55"/>
    <w:rsid w:val="003D0C26"/>
    <w:rsid w:val="003D0CB7"/>
    <w:rsid w:val="003D0DD1"/>
    <w:rsid w:val="003D0E31"/>
    <w:rsid w:val="003D1007"/>
    <w:rsid w:val="003D1024"/>
    <w:rsid w:val="003D10E0"/>
    <w:rsid w:val="003D1120"/>
    <w:rsid w:val="003D114F"/>
    <w:rsid w:val="003D1180"/>
    <w:rsid w:val="003D12FF"/>
    <w:rsid w:val="003D1408"/>
    <w:rsid w:val="003D142B"/>
    <w:rsid w:val="003D1438"/>
    <w:rsid w:val="003D14F3"/>
    <w:rsid w:val="003D170C"/>
    <w:rsid w:val="003D17AE"/>
    <w:rsid w:val="003D17B6"/>
    <w:rsid w:val="003D18A1"/>
    <w:rsid w:val="003D18B1"/>
    <w:rsid w:val="003D1B7C"/>
    <w:rsid w:val="003D1CA6"/>
    <w:rsid w:val="003D1DA1"/>
    <w:rsid w:val="003D1E78"/>
    <w:rsid w:val="003D1EB7"/>
    <w:rsid w:val="003D1FA9"/>
    <w:rsid w:val="003D1FC9"/>
    <w:rsid w:val="003D2031"/>
    <w:rsid w:val="003D219C"/>
    <w:rsid w:val="003D2200"/>
    <w:rsid w:val="003D2242"/>
    <w:rsid w:val="003D2366"/>
    <w:rsid w:val="003D2385"/>
    <w:rsid w:val="003D25DC"/>
    <w:rsid w:val="003D26C1"/>
    <w:rsid w:val="003D26D8"/>
    <w:rsid w:val="003D27EC"/>
    <w:rsid w:val="003D298D"/>
    <w:rsid w:val="003D2998"/>
    <w:rsid w:val="003D2A07"/>
    <w:rsid w:val="003D2B06"/>
    <w:rsid w:val="003D2C73"/>
    <w:rsid w:val="003D2D52"/>
    <w:rsid w:val="003D2D6D"/>
    <w:rsid w:val="003D2D86"/>
    <w:rsid w:val="003D2E1E"/>
    <w:rsid w:val="003D2F9A"/>
    <w:rsid w:val="003D30EF"/>
    <w:rsid w:val="003D318A"/>
    <w:rsid w:val="003D3215"/>
    <w:rsid w:val="003D334C"/>
    <w:rsid w:val="003D345A"/>
    <w:rsid w:val="003D35A6"/>
    <w:rsid w:val="003D3696"/>
    <w:rsid w:val="003D36BE"/>
    <w:rsid w:val="003D3729"/>
    <w:rsid w:val="003D3799"/>
    <w:rsid w:val="003D380C"/>
    <w:rsid w:val="003D38F9"/>
    <w:rsid w:val="003D3909"/>
    <w:rsid w:val="003D3921"/>
    <w:rsid w:val="003D39D9"/>
    <w:rsid w:val="003D3A10"/>
    <w:rsid w:val="003D3ABB"/>
    <w:rsid w:val="003D3AF0"/>
    <w:rsid w:val="003D3C4D"/>
    <w:rsid w:val="003D3C4E"/>
    <w:rsid w:val="003D3C9B"/>
    <w:rsid w:val="003D3C9C"/>
    <w:rsid w:val="003D3E94"/>
    <w:rsid w:val="003D3ED8"/>
    <w:rsid w:val="003D3F20"/>
    <w:rsid w:val="003D3F7B"/>
    <w:rsid w:val="003D3F88"/>
    <w:rsid w:val="003D40ED"/>
    <w:rsid w:val="003D4296"/>
    <w:rsid w:val="003D42D2"/>
    <w:rsid w:val="003D43B5"/>
    <w:rsid w:val="003D444D"/>
    <w:rsid w:val="003D45FC"/>
    <w:rsid w:val="003D4603"/>
    <w:rsid w:val="003D466F"/>
    <w:rsid w:val="003D469D"/>
    <w:rsid w:val="003D46FD"/>
    <w:rsid w:val="003D474C"/>
    <w:rsid w:val="003D475D"/>
    <w:rsid w:val="003D479E"/>
    <w:rsid w:val="003D47C0"/>
    <w:rsid w:val="003D47C2"/>
    <w:rsid w:val="003D4886"/>
    <w:rsid w:val="003D48CC"/>
    <w:rsid w:val="003D48F8"/>
    <w:rsid w:val="003D49A4"/>
    <w:rsid w:val="003D4A44"/>
    <w:rsid w:val="003D4AB3"/>
    <w:rsid w:val="003D4B1A"/>
    <w:rsid w:val="003D4B2E"/>
    <w:rsid w:val="003D4BD0"/>
    <w:rsid w:val="003D4D25"/>
    <w:rsid w:val="003D4DD6"/>
    <w:rsid w:val="003D4E54"/>
    <w:rsid w:val="003D4E72"/>
    <w:rsid w:val="003D503D"/>
    <w:rsid w:val="003D5212"/>
    <w:rsid w:val="003D538C"/>
    <w:rsid w:val="003D5442"/>
    <w:rsid w:val="003D5833"/>
    <w:rsid w:val="003D585B"/>
    <w:rsid w:val="003D5926"/>
    <w:rsid w:val="003D59AD"/>
    <w:rsid w:val="003D59DE"/>
    <w:rsid w:val="003D59E3"/>
    <w:rsid w:val="003D5A36"/>
    <w:rsid w:val="003D5A90"/>
    <w:rsid w:val="003D5B9D"/>
    <w:rsid w:val="003D5BBC"/>
    <w:rsid w:val="003D5C56"/>
    <w:rsid w:val="003D5C70"/>
    <w:rsid w:val="003D5CEB"/>
    <w:rsid w:val="003D5D73"/>
    <w:rsid w:val="003D5E2B"/>
    <w:rsid w:val="003D5EB5"/>
    <w:rsid w:val="003D6012"/>
    <w:rsid w:val="003D60DB"/>
    <w:rsid w:val="003D60EC"/>
    <w:rsid w:val="003D6107"/>
    <w:rsid w:val="003D62B0"/>
    <w:rsid w:val="003D62B5"/>
    <w:rsid w:val="003D62FE"/>
    <w:rsid w:val="003D6493"/>
    <w:rsid w:val="003D6533"/>
    <w:rsid w:val="003D6649"/>
    <w:rsid w:val="003D66D7"/>
    <w:rsid w:val="003D675C"/>
    <w:rsid w:val="003D67EE"/>
    <w:rsid w:val="003D6905"/>
    <w:rsid w:val="003D6926"/>
    <w:rsid w:val="003D6935"/>
    <w:rsid w:val="003D69E2"/>
    <w:rsid w:val="003D69E9"/>
    <w:rsid w:val="003D6A0C"/>
    <w:rsid w:val="003D6B49"/>
    <w:rsid w:val="003D6B6B"/>
    <w:rsid w:val="003D6BAC"/>
    <w:rsid w:val="003D6DC9"/>
    <w:rsid w:val="003D6E68"/>
    <w:rsid w:val="003D6EF2"/>
    <w:rsid w:val="003D6F32"/>
    <w:rsid w:val="003D6F9B"/>
    <w:rsid w:val="003D71B9"/>
    <w:rsid w:val="003D725C"/>
    <w:rsid w:val="003D7564"/>
    <w:rsid w:val="003D75B5"/>
    <w:rsid w:val="003D75FC"/>
    <w:rsid w:val="003D7632"/>
    <w:rsid w:val="003D764C"/>
    <w:rsid w:val="003D7677"/>
    <w:rsid w:val="003D76E2"/>
    <w:rsid w:val="003D77E5"/>
    <w:rsid w:val="003D7ABE"/>
    <w:rsid w:val="003D7B28"/>
    <w:rsid w:val="003D7CDC"/>
    <w:rsid w:val="003D7CDD"/>
    <w:rsid w:val="003D7D57"/>
    <w:rsid w:val="003D7D7F"/>
    <w:rsid w:val="003D7DA9"/>
    <w:rsid w:val="003D7DD0"/>
    <w:rsid w:val="003E00C1"/>
    <w:rsid w:val="003E00C3"/>
    <w:rsid w:val="003E02D2"/>
    <w:rsid w:val="003E0310"/>
    <w:rsid w:val="003E035E"/>
    <w:rsid w:val="003E0542"/>
    <w:rsid w:val="003E0A2B"/>
    <w:rsid w:val="003E0AA8"/>
    <w:rsid w:val="003E0AD2"/>
    <w:rsid w:val="003E0BEB"/>
    <w:rsid w:val="003E0BFA"/>
    <w:rsid w:val="003E0C0B"/>
    <w:rsid w:val="003E0C21"/>
    <w:rsid w:val="003E0C37"/>
    <w:rsid w:val="003E0C42"/>
    <w:rsid w:val="003E0CB1"/>
    <w:rsid w:val="003E0D11"/>
    <w:rsid w:val="003E0D5D"/>
    <w:rsid w:val="003E0DC5"/>
    <w:rsid w:val="003E0E08"/>
    <w:rsid w:val="003E0E17"/>
    <w:rsid w:val="003E0ED2"/>
    <w:rsid w:val="003E0F08"/>
    <w:rsid w:val="003E0F5A"/>
    <w:rsid w:val="003E0F6B"/>
    <w:rsid w:val="003E1098"/>
    <w:rsid w:val="003E1192"/>
    <w:rsid w:val="003E1239"/>
    <w:rsid w:val="003E123A"/>
    <w:rsid w:val="003E144D"/>
    <w:rsid w:val="003E148E"/>
    <w:rsid w:val="003E1526"/>
    <w:rsid w:val="003E1532"/>
    <w:rsid w:val="003E156E"/>
    <w:rsid w:val="003E1577"/>
    <w:rsid w:val="003E1595"/>
    <w:rsid w:val="003E15EF"/>
    <w:rsid w:val="003E1670"/>
    <w:rsid w:val="003E16C8"/>
    <w:rsid w:val="003E180B"/>
    <w:rsid w:val="003E1885"/>
    <w:rsid w:val="003E1904"/>
    <w:rsid w:val="003E1A21"/>
    <w:rsid w:val="003E1A63"/>
    <w:rsid w:val="003E1B05"/>
    <w:rsid w:val="003E1BEC"/>
    <w:rsid w:val="003E1C3B"/>
    <w:rsid w:val="003E1C7A"/>
    <w:rsid w:val="003E1D82"/>
    <w:rsid w:val="003E1DFA"/>
    <w:rsid w:val="003E1E32"/>
    <w:rsid w:val="003E1E69"/>
    <w:rsid w:val="003E1F17"/>
    <w:rsid w:val="003E2035"/>
    <w:rsid w:val="003E2098"/>
    <w:rsid w:val="003E20F4"/>
    <w:rsid w:val="003E214D"/>
    <w:rsid w:val="003E21D6"/>
    <w:rsid w:val="003E21F5"/>
    <w:rsid w:val="003E2282"/>
    <w:rsid w:val="003E238F"/>
    <w:rsid w:val="003E2391"/>
    <w:rsid w:val="003E24A4"/>
    <w:rsid w:val="003E2540"/>
    <w:rsid w:val="003E2557"/>
    <w:rsid w:val="003E270A"/>
    <w:rsid w:val="003E270F"/>
    <w:rsid w:val="003E2710"/>
    <w:rsid w:val="003E2791"/>
    <w:rsid w:val="003E27C7"/>
    <w:rsid w:val="003E28CA"/>
    <w:rsid w:val="003E28D0"/>
    <w:rsid w:val="003E2942"/>
    <w:rsid w:val="003E29A2"/>
    <w:rsid w:val="003E2A2C"/>
    <w:rsid w:val="003E2A67"/>
    <w:rsid w:val="003E2B4B"/>
    <w:rsid w:val="003E2C6F"/>
    <w:rsid w:val="003E2CE4"/>
    <w:rsid w:val="003E2E21"/>
    <w:rsid w:val="003E2EB7"/>
    <w:rsid w:val="003E2EEB"/>
    <w:rsid w:val="003E2F1B"/>
    <w:rsid w:val="003E3087"/>
    <w:rsid w:val="003E309C"/>
    <w:rsid w:val="003E3122"/>
    <w:rsid w:val="003E32B1"/>
    <w:rsid w:val="003E32D8"/>
    <w:rsid w:val="003E3328"/>
    <w:rsid w:val="003E333A"/>
    <w:rsid w:val="003E336B"/>
    <w:rsid w:val="003E3376"/>
    <w:rsid w:val="003E33A4"/>
    <w:rsid w:val="003E3426"/>
    <w:rsid w:val="003E343D"/>
    <w:rsid w:val="003E35A7"/>
    <w:rsid w:val="003E360C"/>
    <w:rsid w:val="003E3635"/>
    <w:rsid w:val="003E3685"/>
    <w:rsid w:val="003E3697"/>
    <w:rsid w:val="003E36BD"/>
    <w:rsid w:val="003E37F1"/>
    <w:rsid w:val="003E38A9"/>
    <w:rsid w:val="003E3913"/>
    <w:rsid w:val="003E393B"/>
    <w:rsid w:val="003E3AD3"/>
    <w:rsid w:val="003E3B36"/>
    <w:rsid w:val="003E3B7D"/>
    <w:rsid w:val="003E3C20"/>
    <w:rsid w:val="003E3C35"/>
    <w:rsid w:val="003E3C54"/>
    <w:rsid w:val="003E3C8D"/>
    <w:rsid w:val="003E3EC9"/>
    <w:rsid w:val="003E3F96"/>
    <w:rsid w:val="003E4002"/>
    <w:rsid w:val="003E4105"/>
    <w:rsid w:val="003E4163"/>
    <w:rsid w:val="003E41D6"/>
    <w:rsid w:val="003E4288"/>
    <w:rsid w:val="003E429C"/>
    <w:rsid w:val="003E44BE"/>
    <w:rsid w:val="003E461B"/>
    <w:rsid w:val="003E468A"/>
    <w:rsid w:val="003E46C5"/>
    <w:rsid w:val="003E46EC"/>
    <w:rsid w:val="003E4747"/>
    <w:rsid w:val="003E4847"/>
    <w:rsid w:val="003E4923"/>
    <w:rsid w:val="003E4997"/>
    <w:rsid w:val="003E49A4"/>
    <w:rsid w:val="003E4A34"/>
    <w:rsid w:val="003E4A82"/>
    <w:rsid w:val="003E4C77"/>
    <w:rsid w:val="003E4C9A"/>
    <w:rsid w:val="003E4D8A"/>
    <w:rsid w:val="003E4DA0"/>
    <w:rsid w:val="003E4DEA"/>
    <w:rsid w:val="003E4E60"/>
    <w:rsid w:val="003E4F44"/>
    <w:rsid w:val="003E4F55"/>
    <w:rsid w:val="003E4FCD"/>
    <w:rsid w:val="003E509B"/>
    <w:rsid w:val="003E51CD"/>
    <w:rsid w:val="003E5276"/>
    <w:rsid w:val="003E52D9"/>
    <w:rsid w:val="003E5319"/>
    <w:rsid w:val="003E54C4"/>
    <w:rsid w:val="003E54D4"/>
    <w:rsid w:val="003E54DE"/>
    <w:rsid w:val="003E550B"/>
    <w:rsid w:val="003E56EE"/>
    <w:rsid w:val="003E570C"/>
    <w:rsid w:val="003E576D"/>
    <w:rsid w:val="003E57E4"/>
    <w:rsid w:val="003E583A"/>
    <w:rsid w:val="003E58A0"/>
    <w:rsid w:val="003E5AB1"/>
    <w:rsid w:val="003E5C82"/>
    <w:rsid w:val="003E5DBF"/>
    <w:rsid w:val="003E5FA1"/>
    <w:rsid w:val="003E619A"/>
    <w:rsid w:val="003E61F1"/>
    <w:rsid w:val="003E62C9"/>
    <w:rsid w:val="003E6367"/>
    <w:rsid w:val="003E6395"/>
    <w:rsid w:val="003E63A6"/>
    <w:rsid w:val="003E63C3"/>
    <w:rsid w:val="003E642E"/>
    <w:rsid w:val="003E6477"/>
    <w:rsid w:val="003E64A1"/>
    <w:rsid w:val="003E6501"/>
    <w:rsid w:val="003E6594"/>
    <w:rsid w:val="003E65BA"/>
    <w:rsid w:val="003E65C7"/>
    <w:rsid w:val="003E661F"/>
    <w:rsid w:val="003E66D3"/>
    <w:rsid w:val="003E66ED"/>
    <w:rsid w:val="003E66FA"/>
    <w:rsid w:val="003E677D"/>
    <w:rsid w:val="003E67BC"/>
    <w:rsid w:val="003E695E"/>
    <w:rsid w:val="003E6A43"/>
    <w:rsid w:val="003E6A54"/>
    <w:rsid w:val="003E6AD1"/>
    <w:rsid w:val="003E6B59"/>
    <w:rsid w:val="003E6D46"/>
    <w:rsid w:val="003E6D81"/>
    <w:rsid w:val="003E6DC7"/>
    <w:rsid w:val="003E6EC9"/>
    <w:rsid w:val="003E6F2A"/>
    <w:rsid w:val="003E6FBD"/>
    <w:rsid w:val="003E7044"/>
    <w:rsid w:val="003E70D9"/>
    <w:rsid w:val="003E71E0"/>
    <w:rsid w:val="003E7209"/>
    <w:rsid w:val="003E7494"/>
    <w:rsid w:val="003E74F4"/>
    <w:rsid w:val="003E74F8"/>
    <w:rsid w:val="003E7535"/>
    <w:rsid w:val="003E76CD"/>
    <w:rsid w:val="003E7846"/>
    <w:rsid w:val="003E7870"/>
    <w:rsid w:val="003E7AB3"/>
    <w:rsid w:val="003E7C2C"/>
    <w:rsid w:val="003E7CDE"/>
    <w:rsid w:val="003E7D2F"/>
    <w:rsid w:val="003E7E29"/>
    <w:rsid w:val="003E7E51"/>
    <w:rsid w:val="003E7E88"/>
    <w:rsid w:val="003E7E97"/>
    <w:rsid w:val="003E7F2E"/>
    <w:rsid w:val="003E7F45"/>
    <w:rsid w:val="003E7F94"/>
    <w:rsid w:val="003F003E"/>
    <w:rsid w:val="003F007A"/>
    <w:rsid w:val="003F01C0"/>
    <w:rsid w:val="003F02D7"/>
    <w:rsid w:val="003F0509"/>
    <w:rsid w:val="003F0540"/>
    <w:rsid w:val="003F067D"/>
    <w:rsid w:val="003F0699"/>
    <w:rsid w:val="003F06DA"/>
    <w:rsid w:val="003F072F"/>
    <w:rsid w:val="003F09C1"/>
    <w:rsid w:val="003F0A48"/>
    <w:rsid w:val="003F0AC6"/>
    <w:rsid w:val="003F0CB7"/>
    <w:rsid w:val="003F0CC1"/>
    <w:rsid w:val="003F0D9E"/>
    <w:rsid w:val="003F0E27"/>
    <w:rsid w:val="003F0E2D"/>
    <w:rsid w:val="003F1539"/>
    <w:rsid w:val="003F1564"/>
    <w:rsid w:val="003F1607"/>
    <w:rsid w:val="003F1614"/>
    <w:rsid w:val="003F1644"/>
    <w:rsid w:val="003F164D"/>
    <w:rsid w:val="003F17D7"/>
    <w:rsid w:val="003F1880"/>
    <w:rsid w:val="003F18D4"/>
    <w:rsid w:val="003F1A0C"/>
    <w:rsid w:val="003F1A3C"/>
    <w:rsid w:val="003F1A93"/>
    <w:rsid w:val="003F1AE3"/>
    <w:rsid w:val="003F1B57"/>
    <w:rsid w:val="003F1C2C"/>
    <w:rsid w:val="003F1C68"/>
    <w:rsid w:val="003F1CAD"/>
    <w:rsid w:val="003F1CE8"/>
    <w:rsid w:val="003F1D6A"/>
    <w:rsid w:val="003F1F35"/>
    <w:rsid w:val="003F1FFE"/>
    <w:rsid w:val="003F2264"/>
    <w:rsid w:val="003F2271"/>
    <w:rsid w:val="003F22C7"/>
    <w:rsid w:val="003F23A4"/>
    <w:rsid w:val="003F2433"/>
    <w:rsid w:val="003F24E6"/>
    <w:rsid w:val="003F24FD"/>
    <w:rsid w:val="003F2503"/>
    <w:rsid w:val="003F25FA"/>
    <w:rsid w:val="003F260B"/>
    <w:rsid w:val="003F26C6"/>
    <w:rsid w:val="003F2741"/>
    <w:rsid w:val="003F274C"/>
    <w:rsid w:val="003F2837"/>
    <w:rsid w:val="003F2A53"/>
    <w:rsid w:val="003F2DFB"/>
    <w:rsid w:val="003F2E83"/>
    <w:rsid w:val="003F2F2D"/>
    <w:rsid w:val="003F2F2E"/>
    <w:rsid w:val="003F30EA"/>
    <w:rsid w:val="003F3111"/>
    <w:rsid w:val="003F321E"/>
    <w:rsid w:val="003F3250"/>
    <w:rsid w:val="003F32CC"/>
    <w:rsid w:val="003F32F4"/>
    <w:rsid w:val="003F3409"/>
    <w:rsid w:val="003F347E"/>
    <w:rsid w:val="003F34A6"/>
    <w:rsid w:val="003F34D8"/>
    <w:rsid w:val="003F355E"/>
    <w:rsid w:val="003F3587"/>
    <w:rsid w:val="003F35B4"/>
    <w:rsid w:val="003F3724"/>
    <w:rsid w:val="003F3827"/>
    <w:rsid w:val="003F3861"/>
    <w:rsid w:val="003F3875"/>
    <w:rsid w:val="003F3938"/>
    <w:rsid w:val="003F3941"/>
    <w:rsid w:val="003F394A"/>
    <w:rsid w:val="003F39FE"/>
    <w:rsid w:val="003F3C0E"/>
    <w:rsid w:val="003F3CEE"/>
    <w:rsid w:val="003F3D47"/>
    <w:rsid w:val="003F3E06"/>
    <w:rsid w:val="003F3F90"/>
    <w:rsid w:val="003F3FB9"/>
    <w:rsid w:val="003F409C"/>
    <w:rsid w:val="003F4104"/>
    <w:rsid w:val="003F4429"/>
    <w:rsid w:val="003F470D"/>
    <w:rsid w:val="003F4732"/>
    <w:rsid w:val="003F485A"/>
    <w:rsid w:val="003F489E"/>
    <w:rsid w:val="003F497D"/>
    <w:rsid w:val="003F49BE"/>
    <w:rsid w:val="003F49C6"/>
    <w:rsid w:val="003F49DA"/>
    <w:rsid w:val="003F4A28"/>
    <w:rsid w:val="003F4AED"/>
    <w:rsid w:val="003F4B9F"/>
    <w:rsid w:val="003F4C6F"/>
    <w:rsid w:val="003F4C7E"/>
    <w:rsid w:val="003F4CBE"/>
    <w:rsid w:val="003F4D5C"/>
    <w:rsid w:val="003F4DF7"/>
    <w:rsid w:val="003F4E3B"/>
    <w:rsid w:val="003F4EA6"/>
    <w:rsid w:val="003F4EB0"/>
    <w:rsid w:val="003F4EFC"/>
    <w:rsid w:val="003F4F11"/>
    <w:rsid w:val="003F4F2D"/>
    <w:rsid w:val="003F4F98"/>
    <w:rsid w:val="003F5008"/>
    <w:rsid w:val="003F506C"/>
    <w:rsid w:val="003F5141"/>
    <w:rsid w:val="003F515D"/>
    <w:rsid w:val="003F5163"/>
    <w:rsid w:val="003F51F8"/>
    <w:rsid w:val="003F5203"/>
    <w:rsid w:val="003F535E"/>
    <w:rsid w:val="003F5366"/>
    <w:rsid w:val="003F5450"/>
    <w:rsid w:val="003F54A9"/>
    <w:rsid w:val="003F54E0"/>
    <w:rsid w:val="003F5505"/>
    <w:rsid w:val="003F550E"/>
    <w:rsid w:val="003F5533"/>
    <w:rsid w:val="003F558E"/>
    <w:rsid w:val="003F55DF"/>
    <w:rsid w:val="003F56C3"/>
    <w:rsid w:val="003F5847"/>
    <w:rsid w:val="003F5928"/>
    <w:rsid w:val="003F5965"/>
    <w:rsid w:val="003F5B5D"/>
    <w:rsid w:val="003F5C01"/>
    <w:rsid w:val="003F5C3B"/>
    <w:rsid w:val="003F5D04"/>
    <w:rsid w:val="003F5DF8"/>
    <w:rsid w:val="003F5E43"/>
    <w:rsid w:val="003F5E7C"/>
    <w:rsid w:val="003F5F1B"/>
    <w:rsid w:val="003F5F4D"/>
    <w:rsid w:val="003F6053"/>
    <w:rsid w:val="003F60C8"/>
    <w:rsid w:val="003F60CF"/>
    <w:rsid w:val="003F624D"/>
    <w:rsid w:val="003F6314"/>
    <w:rsid w:val="003F6324"/>
    <w:rsid w:val="003F6330"/>
    <w:rsid w:val="003F6491"/>
    <w:rsid w:val="003F65BC"/>
    <w:rsid w:val="003F6719"/>
    <w:rsid w:val="003F672B"/>
    <w:rsid w:val="003F684B"/>
    <w:rsid w:val="003F686C"/>
    <w:rsid w:val="003F688B"/>
    <w:rsid w:val="003F6909"/>
    <w:rsid w:val="003F69A2"/>
    <w:rsid w:val="003F69E2"/>
    <w:rsid w:val="003F6A6A"/>
    <w:rsid w:val="003F6AD0"/>
    <w:rsid w:val="003F6BCD"/>
    <w:rsid w:val="003F6C43"/>
    <w:rsid w:val="003F6D0A"/>
    <w:rsid w:val="003F6DAB"/>
    <w:rsid w:val="003F6DC4"/>
    <w:rsid w:val="003F6E99"/>
    <w:rsid w:val="003F6E9F"/>
    <w:rsid w:val="003F704F"/>
    <w:rsid w:val="003F706F"/>
    <w:rsid w:val="003F70B8"/>
    <w:rsid w:val="003F71FA"/>
    <w:rsid w:val="003F72E3"/>
    <w:rsid w:val="003F73B5"/>
    <w:rsid w:val="003F74D7"/>
    <w:rsid w:val="003F7506"/>
    <w:rsid w:val="003F7596"/>
    <w:rsid w:val="003F760A"/>
    <w:rsid w:val="003F76DB"/>
    <w:rsid w:val="003F776D"/>
    <w:rsid w:val="003F77E5"/>
    <w:rsid w:val="003F7832"/>
    <w:rsid w:val="003F7A77"/>
    <w:rsid w:val="003F7ADA"/>
    <w:rsid w:val="003F7C4F"/>
    <w:rsid w:val="003F7C92"/>
    <w:rsid w:val="003F7C9D"/>
    <w:rsid w:val="003F7DA0"/>
    <w:rsid w:val="003F7E07"/>
    <w:rsid w:val="003F7F67"/>
    <w:rsid w:val="003F7FB3"/>
    <w:rsid w:val="003F7FBF"/>
    <w:rsid w:val="0040002E"/>
    <w:rsid w:val="00400055"/>
    <w:rsid w:val="00400219"/>
    <w:rsid w:val="004002AE"/>
    <w:rsid w:val="00400339"/>
    <w:rsid w:val="004003AB"/>
    <w:rsid w:val="004003B5"/>
    <w:rsid w:val="004003B9"/>
    <w:rsid w:val="0040046E"/>
    <w:rsid w:val="00400506"/>
    <w:rsid w:val="0040056D"/>
    <w:rsid w:val="00400631"/>
    <w:rsid w:val="0040070C"/>
    <w:rsid w:val="00400869"/>
    <w:rsid w:val="00400972"/>
    <w:rsid w:val="0040098B"/>
    <w:rsid w:val="004009AF"/>
    <w:rsid w:val="00400A23"/>
    <w:rsid w:val="00400A84"/>
    <w:rsid w:val="00400AAD"/>
    <w:rsid w:val="00400C60"/>
    <w:rsid w:val="00400D55"/>
    <w:rsid w:val="00400DA0"/>
    <w:rsid w:val="00400FC5"/>
    <w:rsid w:val="00400FF1"/>
    <w:rsid w:val="004010CD"/>
    <w:rsid w:val="004010DE"/>
    <w:rsid w:val="0040110A"/>
    <w:rsid w:val="0040118D"/>
    <w:rsid w:val="00401275"/>
    <w:rsid w:val="0040127A"/>
    <w:rsid w:val="004012FF"/>
    <w:rsid w:val="00401382"/>
    <w:rsid w:val="00401409"/>
    <w:rsid w:val="004015E6"/>
    <w:rsid w:val="00401633"/>
    <w:rsid w:val="004016B2"/>
    <w:rsid w:val="004017CD"/>
    <w:rsid w:val="004018AE"/>
    <w:rsid w:val="004018B9"/>
    <w:rsid w:val="00401971"/>
    <w:rsid w:val="004019C4"/>
    <w:rsid w:val="00401A0E"/>
    <w:rsid w:val="00401AC7"/>
    <w:rsid w:val="00401B49"/>
    <w:rsid w:val="00401C3D"/>
    <w:rsid w:val="00401C67"/>
    <w:rsid w:val="00401D6C"/>
    <w:rsid w:val="00401D95"/>
    <w:rsid w:val="00401DA1"/>
    <w:rsid w:val="00401DAD"/>
    <w:rsid w:val="00401DFC"/>
    <w:rsid w:val="00401EDB"/>
    <w:rsid w:val="00401F3C"/>
    <w:rsid w:val="00401FF5"/>
    <w:rsid w:val="00402056"/>
    <w:rsid w:val="004020D1"/>
    <w:rsid w:val="004021A6"/>
    <w:rsid w:val="004022FF"/>
    <w:rsid w:val="0040244B"/>
    <w:rsid w:val="004024E7"/>
    <w:rsid w:val="004024F1"/>
    <w:rsid w:val="0040254B"/>
    <w:rsid w:val="00402574"/>
    <w:rsid w:val="0040259D"/>
    <w:rsid w:val="0040262C"/>
    <w:rsid w:val="0040266D"/>
    <w:rsid w:val="00402705"/>
    <w:rsid w:val="004027F2"/>
    <w:rsid w:val="0040290F"/>
    <w:rsid w:val="00402A2D"/>
    <w:rsid w:val="00402CBE"/>
    <w:rsid w:val="00402D8C"/>
    <w:rsid w:val="00402E4C"/>
    <w:rsid w:val="00402EEF"/>
    <w:rsid w:val="00402FD5"/>
    <w:rsid w:val="0040303D"/>
    <w:rsid w:val="0040306A"/>
    <w:rsid w:val="004030D4"/>
    <w:rsid w:val="004031E8"/>
    <w:rsid w:val="004031FD"/>
    <w:rsid w:val="00403236"/>
    <w:rsid w:val="0040326B"/>
    <w:rsid w:val="004032CF"/>
    <w:rsid w:val="004032DC"/>
    <w:rsid w:val="00403369"/>
    <w:rsid w:val="0040336B"/>
    <w:rsid w:val="0040341D"/>
    <w:rsid w:val="00403538"/>
    <w:rsid w:val="004035C3"/>
    <w:rsid w:val="004035DF"/>
    <w:rsid w:val="004036A9"/>
    <w:rsid w:val="004036FE"/>
    <w:rsid w:val="00403708"/>
    <w:rsid w:val="0040371E"/>
    <w:rsid w:val="00403752"/>
    <w:rsid w:val="004038AB"/>
    <w:rsid w:val="00403925"/>
    <w:rsid w:val="00403928"/>
    <w:rsid w:val="00403949"/>
    <w:rsid w:val="004039F4"/>
    <w:rsid w:val="00403A47"/>
    <w:rsid w:val="00403A9A"/>
    <w:rsid w:val="00403BDA"/>
    <w:rsid w:val="00403BF6"/>
    <w:rsid w:val="00403D1C"/>
    <w:rsid w:val="00403D36"/>
    <w:rsid w:val="00403D87"/>
    <w:rsid w:val="00403DD8"/>
    <w:rsid w:val="00403E47"/>
    <w:rsid w:val="00403F27"/>
    <w:rsid w:val="00403F77"/>
    <w:rsid w:val="004040C5"/>
    <w:rsid w:val="00404243"/>
    <w:rsid w:val="00404285"/>
    <w:rsid w:val="00404341"/>
    <w:rsid w:val="0040434C"/>
    <w:rsid w:val="0040438A"/>
    <w:rsid w:val="004043CB"/>
    <w:rsid w:val="004044D7"/>
    <w:rsid w:val="00404512"/>
    <w:rsid w:val="004045EE"/>
    <w:rsid w:val="00404655"/>
    <w:rsid w:val="004046C6"/>
    <w:rsid w:val="0040494B"/>
    <w:rsid w:val="00404B39"/>
    <w:rsid w:val="00404B44"/>
    <w:rsid w:val="00404BB2"/>
    <w:rsid w:val="00404BEC"/>
    <w:rsid w:val="00404E32"/>
    <w:rsid w:val="00404E90"/>
    <w:rsid w:val="00404EB0"/>
    <w:rsid w:val="00404F4D"/>
    <w:rsid w:val="0040519C"/>
    <w:rsid w:val="004052A7"/>
    <w:rsid w:val="00405508"/>
    <w:rsid w:val="0040557C"/>
    <w:rsid w:val="004055F9"/>
    <w:rsid w:val="004056AA"/>
    <w:rsid w:val="00405720"/>
    <w:rsid w:val="00405780"/>
    <w:rsid w:val="004057E4"/>
    <w:rsid w:val="004057EF"/>
    <w:rsid w:val="004059AC"/>
    <w:rsid w:val="00405B13"/>
    <w:rsid w:val="00405B4F"/>
    <w:rsid w:val="00405C57"/>
    <w:rsid w:val="00405C89"/>
    <w:rsid w:val="00405E3B"/>
    <w:rsid w:val="00405EF2"/>
    <w:rsid w:val="00405F0C"/>
    <w:rsid w:val="00405F16"/>
    <w:rsid w:val="00405F3A"/>
    <w:rsid w:val="00405FE9"/>
    <w:rsid w:val="00406048"/>
    <w:rsid w:val="00406101"/>
    <w:rsid w:val="004061CE"/>
    <w:rsid w:val="00406286"/>
    <w:rsid w:val="004063AB"/>
    <w:rsid w:val="004063B9"/>
    <w:rsid w:val="004063C1"/>
    <w:rsid w:val="0040640D"/>
    <w:rsid w:val="00406446"/>
    <w:rsid w:val="0040652A"/>
    <w:rsid w:val="004065B1"/>
    <w:rsid w:val="00406647"/>
    <w:rsid w:val="0040666A"/>
    <w:rsid w:val="0040669A"/>
    <w:rsid w:val="00406768"/>
    <w:rsid w:val="004067CB"/>
    <w:rsid w:val="00406894"/>
    <w:rsid w:val="004068F8"/>
    <w:rsid w:val="00406A26"/>
    <w:rsid w:val="00406AD8"/>
    <w:rsid w:val="00406B8C"/>
    <w:rsid w:val="00406B96"/>
    <w:rsid w:val="00406C18"/>
    <w:rsid w:val="00406D0D"/>
    <w:rsid w:val="00406D59"/>
    <w:rsid w:val="00406F07"/>
    <w:rsid w:val="00406F83"/>
    <w:rsid w:val="00406FCC"/>
    <w:rsid w:val="0040703E"/>
    <w:rsid w:val="00407044"/>
    <w:rsid w:val="004070C1"/>
    <w:rsid w:val="00407207"/>
    <w:rsid w:val="00407356"/>
    <w:rsid w:val="004073D2"/>
    <w:rsid w:val="004073DD"/>
    <w:rsid w:val="00407435"/>
    <w:rsid w:val="00407603"/>
    <w:rsid w:val="0040772F"/>
    <w:rsid w:val="0040778D"/>
    <w:rsid w:val="0040784D"/>
    <w:rsid w:val="004078B5"/>
    <w:rsid w:val="004078E9"/>
    <w:rsid w:val="00407916"/>
    <w:rsid w:val="00407A44"/>
    <w:rsid w:val="00407ABA"/>
    <w:rsid w:val="00407BB7"/>
    <w:rsid w:val="00407CCA"/>
    <w:rsid w:val="00407DBE"/>
    <w:rsid w:val="00407F8A"/>
    <w:rsid w:val="00407FB4"/>
    <w:rsid w:val="00407FF0"/>
    <w:rsid w:val="00410123"/>
    <w:rsid w:val="004101C0"/>
    <w:rsid w:val="004101C7"/>
    <w:rsid w:val="00410207"/>
    <w:rsid w:val="00410239"/>
    <w:rsid w:val="0041023D"/>
    <w:rsid w:val="0041028D"/>
    <w:rsid w:val="004102EE"/>
    <w:rsid w:val="004103EE"/>
    <w:rsid w:val="004104B9"/>
    <w:rsid w:val="0041059C"/>
    <w:rsid w:val="004105A2"/>
    <w:rsid w:val="004106EC"/>
    <w:rsid w:val="0041070D"/>
    <w:rsid w:val="00410772"/>
    <w:rsid w:val="0041077C"/>
    <w:rsid w:val="004107D4"/>
    <w:rsid w:val="004107E9"/>
    <w:rsid w:val="00410800"/>
    <w:rsid w:val="00410823"/>
    <w:rsid w:val="00410963"/>
    <w:rsid w:val="00410967"/>
    <w:rsid w:val="00410969"/>
    <w:rsid w:val="00410972"/>
    <w:rsid w:val="00410A48"/>
    <w:rsid w:val="00410D3C"/>
    <w:rsid w:val="00410DD8"/>
    <w:rsid w:val="00410EFE"/>
    <w:rsid w:val="0041111F"/>
    <w:rsid w:val="00411233"/>
    <w:rsid w:val="004112BE"/>
    <w:rsid w:val="00411310"/>
    <w:rsid w:val="0041137A"/>
    <w:rsid w:val="004113BA"/>
    <w:rsid w:val="00411433"/>
    <w:rsid w:val="004115AA"/>
    <w:rsid w:val="004115B9"/>
    <w:rsid w:val="004115EF"/>
    <w:rsid w:val="0041160F"/>
    <w:rsid w:val="0041166F"/>
    <w:rsid w:val="004116CE"/>
    <w:rsid w:val="00411737"/>
    <w:rsid w:val="00411780"/>
    <w:rsid w:val="0041179D"/>
    <w:rsid w:val="004117D9"/>
    <w:rsid w:val="0041183A"/>
    <w:rsid w:val="004118E3"/>
    <w:rsid w:val="00411AFA"/>
    <w:rsid w:val="00411B63"/>
    <w:rsid w:val="00411C6B"/>
    <w:rsid w:val="00411CD8"/>
    <w:rsid w:val="00411EB2"/>
    <w:rsid w:val="00411ED4"/>
    <w:rsid w:val="00411FA3"/>
    <w:rsid w:val="00411FBC"/>
    <w:rsid w:val="00412061"/>
    <w:rsid w:val="004121C0"/>
    <w:rsid w:val="0041232F"/>
    <w:rsid w:val="0041259A"/>
    <w:rsid w:val="004125C3"/>
    <w:rsid w:val="004126D9"/>
    <w:rsid w:val="004126DC"/>
    <w:rsid w:val="00412723"/>
    <w:rsid w:val="004127B7"/>
    <w:rsid w:val="004127B9"/>
    <w:rsid w:val="00412818"/>
    <w:rsid w:val="00412984"/>
    <w:rsid w:val="00412BD4"/>
    <w:rsid w:val="00412BDB"/>
    <w:rsid w:val="00412C31"/>
    <w:rsid w:val="00412F07"/>
    <w:rsid w:val="00412FF2"/>
    <w:rsid w:val="004130B5"/>
    <w:rsid w:val="004130C3"/>
    <w:rsid w:val="0041321A"/>
    <w:rsid w:val="00413242"/>
    <w:rsid w:val="004132BB"/>
    <w:rsid w:val="00413305"/>
    <w:rsid w:val="00413324"/>
    <w:rsid w:val="0041334A"/>
    <w:rsid w:val="0041335B"/>
    <w:rsid w:val="004133C2"/>
    <w:rsid w:val="004133E5"/>
    <w:rsid w:val="00413416"/>
    <w:rsid w:val="004134D2"/>
    <w:rsid w:val="00413532"/>
    <w:rsid w:val="0041374C"/>
    <w:rsid w:val="0041374F"/>
    <w:rsid w:val="00413787"/>
    <w:rsid w:val="004137D1"/>
    <w:rsid w:val="004138AE"/>
    <w:rsid w:val="0041390E"/>
    <w:rsid w:val="00413950"/>
    <w:rsid w:val="004139C4"/>
    <w:rsid w:val="00413A0A"/>
    <w:rsid w:val="00413C43"/>
    <w:rsid w:val="00413C75"/>
    <w:rsid w:val="00413C91"/>
    <w:rsid w:val="00413F35"/>
    <w:rsid w:val="00413F5A"/>
    <w:rsid w:val="004140CB"/>
    <w:rsid w:val="0041418C"/>
    <w:rsid w:val="0041424C"/>
    <w:rsid w:val="00414250"/>
    <w:rsid w:val="004142E4"/>
    <w:rsid w:val="00414310"/>
    <w:rsid w:val="00414458"/>
    <w:rsid w:val="0041455D"/>
    <w:rsid w:val="004145E0"/>
    <w:rsid w:val="004145FD"/>
    <w:rsid w:val="00414619"/>
    <w:rsid w:val="00414665"/>
    <w:rsid w:val="0041495C"/>
    <w:rsid w:val="004149B2"/>
    <w:rsid w:val="00414A01"/>
    <w:rsid w:val="00414AD4"/>
    <w:rsid w:val="00414AF6"/>
    <w:rsid w:val="00414B1B"/>
    <w:rsid w:val="00414B23"/>
    <w:rsid w:val="00414F8A"/>
    <w:rsid w:val="0041508D"/>
    <w:rsid w:val="0041513E"/>
    <w:rsid w:val="004151E3"/>
    <w:rsid w:val="00415328"/>
    <w:rsid w:val="00415363"/>
    <w:rsid w:val="00415470"/>
    <w:rsid w:val="00415498"/>
    <w:rsid w:val="00415553"/>
    <w:rsid w:val="004155A9"/>
    <w:rsid w:val="004155B1"/>
    <w:rsid w:val="004155BB"/>
    <w:rsid w:val="00415644"/>
    <w:rsid w:val="004156B5"/>
    <w:rsid w:val="004156D0"/>
    <w:rsid w:val="00415707"/>
    <w:rsid w:val="00415850"/>
    <w:rsid w:val="0041597A"/>
    <w:rsid w:val="004159C6"/>
    <w:rsid w:val="004159EC"/>
    <w:rsid w:val="00415C0B"/>
    <w:rsid w:val="00415C6E"/>
    <w:rsid w:val="00415CEB"/>
    <w:rsid w:val="00415CFB"/>
    <w:rsid w:val="00415D0F"/>
    <w:rsid w:val="00415D51"/>
    <w:rsid w:val="00415F65"/>
    <w:rsid w:val="00415FFA"/>
    <w:rsid w:val="00416139"/>
    <w:rsid w:val="004162CA"/>
    <w:rsid w:val="0041635D"/>
    <w:rsid w:val="004163F8"/>
    <w:rsid w:val="004163FA"/>
    <w:rsid w:val="00416712"/>
    <w:rsid w:val="0041684F"/>
    <w:rsid w:val="0041699E"/>
    <w:rsid w:val="00416B9B"/>
    <w:rsid w:val="00416C3C"/>
    <w:rsid w:val="00416C88"/>
    <w:rsid w:val="00416CAA"/>
    <w:rsid w:val="00416E40"/>
    <w:rsid w:val="00416FF1"/>
    <w:rsid w:val="004170CA"/>
    <w:rsid w:val="004170D8"/>
    <w:rsid w:val="00417170"/>
    <w:rsid w:val="0041721D"/>
    <w:rsid w:val="0041726A"/>
    <w:rsid w:val="004172C4"/>
    <w:rsid w:val="0041732B"/>
    <w:rsid w:val="0041735C"/>
    <w:rsid w:val="0041737F"/>
    <w:rsid w:val="0041741D"/>
    <w:rsid w:val="00417447"/>
    <w:rsid w:val="004174EC"/>
    <w:rsid w:val="004175C8"/>
    <w:rsid w:val="00417738"/>
    <w:rsid w:val="00417793"/>
    <w:rsid w:val="00417AC2"/>
    <w:rsid w:val="00417D23"/>
    <w:rsid w:val="00417D82"/>
    <w:rsid w:val="00417E37"/>
    <w:rsid w:val="00417E5B"/>
    <w:rsid w:val="00417E7F"/>
    <w:rsid w:val="00417EBC"/>
    <w:rsid w:val="00420054"/>
    <w:rsid w:val="0042014C"/>
    <w:rsid w:val="004201A7"/>
    <w:rsid w:val="004201C4"/>
    <w:rsid w:val="0042025F"/>
    <w:rsid w:val="00420363"/>
    <w:rsid w:val="004203F5"/>
    <w:rsid w:val="00420490"/>
    <w:rsid w:val="00420506"/>
    <w:rsid w:val="004205F0"/>
    <w:rsid w:val="0042068F"/>
    <w:rsid w:val="004208A9"/>
    <w:rsid w:val="004208EC"/>
    <w:rsid w:val="00420955"/>
    <w:rsid w:val="004209E5"/>
    <w:rsid w:val="00420AE0"/>
    <w:rsid w:val="00420BB1"/>
    <w:rsid w:val="00420CEC"/>
    <w:rsid w:val="00420E4A"/>
    <w:rsid w:val="00420F79"/>
    <w:rsid w:val="0042103E"/>
    <w:rsid w:val="00421044"/>
    <w:rsid w:val="00421068"/>
    <w:rsid w:val="004210B1"/>
    <w:rsid w:val="00421274"/>
    <w:rsid w:val="004212D5"/>
    <w:rsid w:val="0042130A"/>
    <w:rsid w:val="00421338"/>
    <w:rsid w:val="0042133D"/>
    <w:rsid w:val="004214DC"/>
    <w:rsid w:val="0042163B"/>
    <w:rsid w:val="004216F7"/>
    <w:rsid w:val="004217BC"/>
    <w:rsid w:val="0042187C"/>
    <w:rsid w:val="00421919"/>
    <w:rsid w:val="00421946"/>
    <w:rsid w:val="00421992"/>
    <w:rsid w:val="004219E7"/>
    <w:rsid w:val="00421B48"/>
    <w:rsid w:val="00421B5E"/>
    <w:rsid w:val="00421B80"/>
    <w:rsid w:val="00421CCE"/>
    <w:rsid w:val="00421D26"/>
    <w:rsid w:val="00421DCC"/>
    <w:rsid w:val="00421E8D"/>
    <w:rsid w:val="00421F6A"/>
    <w:rsid w:val="00421FBE"/>
    <w:rsid w:val="00422057"/>
    <w:rsid w:val="004221A8"/>
    <w:rsid w:val="004221BE"/>
    <w:rsid w:val="004222D2"/>
    <w:rsid w:val="00422345"/>
    <w:rsid w:val="0042239C"/>
    <w:rsid w:val="004223BE"/>
    <w:rsid w:val="00422433"/>
    <w:rsid w:val="004224F1"/>
    <w:rsid w:val="00422568"/>
    <w:rsid w:val="0042258D"/>
    <w:rsid w:val="00422629"/>
    <w:rsid w:val="00422669"/>
    <w:rsid w:val="004226B2"/>
    <w:rsid w:val="0042290B"/>
    <w:rsid w:val="00422A00"/>
    <w:rsid w:val="00422AAC"/>
    <w:rsid w:val="00422B9F"/>
    <w:rsid w:val="00422BA9"/>
    <w:rsid w:val="00422BBB"/>
    <w:rsid w:val="00422C30"/>
    <w:rsid w:val="00422C87"/>
    <w:rsid w:val="00422D30"/>
    <w:rsid w:val="00422FF9"/>
    <w:rsid w:val="0042315B"/>
    <w:rsid w:val="00423182"/>
    <w:rsid w:val="004231F7"/>
    <w:rsid w:val="00423230"/>
    <w:rsid w:val="0042328A"/>
    <w:rsid w:val="004232DA"/>
    <w:rsid w:val="004233E2"/>
    <w:rsid w:val="0042346F"/>
    <w:rsid w:val="004234E2"/>
    <w:rsid w:val="004236F4"/>
    <w:rsid w:val="004237F1"/>
    <w:rsid w:val="00423A42"/>
    <w:rsid w:val="00423BB5"/>
    <w:rsid w:val="00423BFB"/>
    <w:rsid w:val="00423C90"/>
    <w:rsid w:val="00423F7C"/>
    <w:rsid w:val="004240DD"/>
    <w:rsid w:val="0042412E"/>
    <w:rsid w:val="00424430"/>
    <w:rsid w:val="0042449B"/>
    <w:rsid w:val="00424512"/>
    <w:rsid w:val="0042464E"/>
    <w:rsid w:val="00424667"/>
    <w:rsid w:val="00424731"/>
    <w:rsid w:val="004247C7"/>
    <w:rsid w:val="004247D6"/>
    <w:rsid w:val="004247FD"/>
    <w:rsid w:val="00424910"/>
    <w:rsid w:val="00424978"/>
    <w:rsid w:val="00424A3E"/>
    <w:rsid w:val="00424A56"/>
    <w:rsid w:val="00424A94"/>
    <w:rsid w:val="00424AB0"/>
    <w:rsid w:val="00424AD2"/>
    <w:rsid w:val="00424AF0"/>
    <w:rsid w:val="00424B83"/>
    <w:rsid w:val="00424B98"/>
    <w:rsid w:val="00424C6E"/>
    <w:rsid w:val="00424D6B"/>
    <w:rsid w:val="00424D7D"/>
    <w:rsid w:val="00424DC2"/>
    <w:rsid w:val="00424E24"/>
    <w:rsid w:val="00424E96"/>
    <w:rsid w:val="00424EB9"/>
    <w:rsid w:val="00425077"/>
    <w:rsid w:val="004251D9"/>
    <w:rsid w:val="00425291"/>
    <w:rsid w:val="00425320"/>
    <w:rsid w:val="0042535D"/>
    <w:rsid w:val="00425507"/>
    <w:rsid w:val="00425515"/>
    <w:rsid w:val="00425519"/>
    <w:rsid w:val="0042559B"/>
    <w:rsid w:val="004255C1"/>
    <w:rsid w:val="0042567B"/>
    <w:rsid w:val="00425714"/>
    <w:rsid w:val="00425771"/>
    <w:rsid w:val="00425830"/>
    <w:rsid w:val="00425912"/>
    <w:rsid w:val="004259FF"/>
    <w:rsid w:val="00425A24"/>
    <w:rsid w:val="00425B6F"/>
    <w:rsid w:val="00425BF3"/>
    <w:rsid w:val="00425CFA"/>
    <w:rsid w:val="00425D4A"/>
    <w:rsid w:val="00425F39"/>
    <w:rsid w:val="00425F73"/>
    <w:rsid w:val="00426040"/>
    <w:rsid w:val="004260AE"/>
    <w:rsid w:val="004260C7"/>
    <w:rsid w:val="004260D3"/>
    <w:rsid w:val="004260FE"/>
    <w:rsid w:val="00426115"/>
    <w:rsid w:val="00426144"/>
    <w:rsid w:val="004261EA"/>
    <w:rsid w:val="0042628A"/>
    <w:rsid w:val="00426394"/>
    <w:rsid w:val="004263B6"/>
    <w:rsid w:val="004264EF"/>
    <w:rsid w:val="00426544"/>
    <w:rsid w:val="00426581"/>
    <w:rsid w:val="004265EE"/>
    <w:rsid w:val="004266F3"/>
    <w:rsid w:val="00426756"/>
    <w:rsid w:val="004267A3"/>
    <w:rsid w:val="00426901"/>
    <w:rsid w:val="00426975"/>
    <w:rsid w:val="00426985"/>
    <w:rsid w:val="00426A75"/>
    <w:rsid w:val="00426AFA"/>
    <w:rsid w:val="00426B8D"/>
    <w:rsid w:val="00426BCA"/>
    <w:rsid w:val="00426BDB"/>
    <w:rsid w:val="00426C07"/>
    <w:rsid w:val="00426C18"/>
    <w:rsid w:val="00426C20"/>
    <w:rsid w:val="00426C48"/>
    <w:rsid w:val="00426C84"/>
    <w:rsid w:val="00426D20"/>
    <w:rsid w:val="00426D30"/>
    <w:rsid w:val="00426E9A"/>
    <w:rsid w:val="00426F16"/>
    <w:rsid w:val="00426FFE"/>
    <w:rsid w:val="004270CE"/>
    <w:rsid w:val="0042718B"/>
    <w:rsid w:val="0042742F"/>
    <w:rsid w:val="00427433"/>
    <w:rsid w:val="0042749F"/>
    <w:rsid w:val="0042761C"/>
    <w:rsid w:val="00427654"/>
    <w:rsid w:val="0042774F"/>
    <w:rsid w:val="00427786"/>
    <w:rsid w:val="00427824"/>
    <w:rsid w:val="004278B2"/>
    <w:rsid w:val="004279E4"/>
    <w:rsid w:val="00427A0B"/>
    <w:rsid w:val="00427A8F"/>
    <w:rsid w:val="00427B4E"/>
    <w:rsid w:val="00427BDD"/>
    <w:rsid w:val="00427CDF"/>
    <w:rsid w:val="00427DA1"/>
    <w:rsid w:val="00427E72"/>
    <w:rsid w:val="00427E82"/>
    <w:rsid w:val="00427EB0"/>
    <w:rsid w:val="00427F01"/>
    <w:rsid w:val="00427F7F"/>
    <w:rsid w:val="00427FB8"/>
    <w:rsid w:val="00430083"/>
    <w:rsid w:val="004300CA"/>
    <w:rsid w:val="004302E6"/>
    <w:rsid w:val="0043039E"/>
    <w:rsid w:val="004303F6"/>
    <w:rsid w:val="004304C8"/>
    <w:rsid w:val="004304EA"/>
    <w:rsid w:val="0043069E"/>
    <w:rsid w:val="004306CA"/>
    <w:rsid w:val="004306FF"/>
    <w:rsid w:val="00430786"/>
    <w:rsid w:val="00430885"/>
    <w:rsid w:val="0043095A"/>
    <w:rsid w:val="00430978"/>
    <w:rsid w:val="00430A69"/>
    <w:rsid w:val="00430AC0"/>
    <w:rsid w:val="00430E0D"/>
    <w:rsid w:val="00430E17"/>
    <w:rsid w:val="00430EE2"/>
    <w:rsid w:val="0043103C"/>
    <w:rsid w:val="004310E6"/>
    <w:rsid w:val="00431132"/>
    <w:rsid w:val="00431188"/>
    <w:rsid w:val="00431272"/>
    <w:rsid w:val="004312B0"/>
    <w:rsid w:val="004312B3"/>
    <w:rsid w:val="004312BD"/>
    <w:rsid w:val="00431372"/>
    <w:rsid w:val="004313EA"/>
    <w:rsid w:val="00431432"/>
    <w:rsid w:val="00431447"/>
    <w:rsid w:val="00431455"/>
    <w:rsid w:val="00431472"/>
    <w:rsid w:val="004314C0"/>
    <w:rsid w:val="0043174A"/>
    <w:rsid w:val="0043184E"/>
    <w:rsid w:val="004318D7"/>
    <w:rsid w:val="0043192F"/>
    <w:rsid w:val="004319E4"/>
    <w:rsid w:val="00431BCE"/>
    <w:rsid w:val="00431D91"/>
    <w:rsid w:val="00431DCC"/>
    <w:rsid w:val="00431EBB"/>
    <w:rsid w:val="00431F2B"/>
    <w:rsid w:val="00431F8A"/>
    <w:rsid w:val="0043212A"/>
    <w:rsid w:val="00432252"/>
    <w:rsid w:val="00432272"/>
    <w:rsid w:val="00432291"/>
    <w:rsid w:val="004322E1"/>
    <w:rsid w:val="004323E4"/>
    <w:rsid w:val="004323FC"/>
    <w:rsid w:val="00432450"/>
    <w:rsid w:val="004325BB"/>
    <w:rsid w:val="004325C6"/>
    <w:rsid w:val="00432623"/>
    <w:rsid w:val="00432668"/>
    <w:rsid w:val="004326A9"/>
    <w:rsid w:val="00432759"/>
    <w:rsid w:val="00432865"/>
    <w:rsid w:val="004328ED"/>
    <w:rsid w:val="0043293A"/>
    <w:rsid w:val="00432970"/>
    <w:rsid w:val="00432CA4"/>
    <w:rsid w:val="00432CAD"/>
    <w:rsid w:val="00432D49"/>
    <w:rsid w:val="00432D4B"/>
    <w:rsid w:val="00432D5D"/>
    <w:rsid w:val="00432E62"/>
    <w:rsid w:val="00432F94"/>
    <w:rsid w:val="00433291"/>
    <w:rsid w:val="004333B5"/>
    <w:rsid w:val="00433508"/>
    <w:rsid w:val="00433586"/>
    <w:rsid w:val="00433659"/>
    <w:rsid w:val="004336FB"/>
    <w:rsid w:val="00433825"/>
    <w:rsid w:val="0043399E"/>
    <w:rsid w:val="00433B2F"/>
    <w:rsid w:val="00433CB9"/>
    <w:rsid w:val="00433D0B"/>
    <w:rsid w:val="00433DBD"/>
    <w:rsid w:val="00433DE0"/>
    <w:rsid w:val="00433E31"/>
    <w:rsid w:val="00433E6F"/>
    <w:rsid w:val="00433E9B"/>
    <w:rsid w:val="00433EFB"/>
    <w:rsid w:val="004342C1"/>
    <w:rsid w:val="0043430E"/>
    <w:rsid w:val="0043433A"/>
    <w:rsid w:val="00434366"/>
    <w:rsid w:val="004343BB"/>
    <w:rsid w:val="00434423"/>
    <w:rsid w:val="004344EB"/>
    <w:rsid w:val="00434567"/>
    <w:rsid w:val="00434579"/>
    <w:rsid w:val="004345E5"/>
    <w:rsid w:val="00434642"/>
    <w:rsid w:val="0043487C"/>
    <w:rsid w:val="0043488F"/>
    <w:rsid w:val="0043496E"/>
    <w:rsid w:val="004349C3"/>
    <w:rsid w:val="00434A01"/>
    <w:rsid w:val="00434B7E"/>
    <w:rsid w:val="00434BD6"/>
    <w:rsid w:val="00434C7D"/>
    <w:rsid w:val="00434CB3"/>
    <w:rsid w:val="00434CCE"/>
    <w:rsid w:val="00434D0E"/>
    <w:rsid w:val="00434D1F"/>
    <w:rsid w:val="00434D27"/>
    <w:rsid w:val="00434D7D"/>
    <w:rsid w:val="00434DF6"/>
    <w:rsid w:val="00434E3D"/>
    <w:rsid w:val="00435087"/>
    <w:rsid w:val="00435109"/>
    <w:rsid w:val="00435270"/>
    <w:rsid w:val="004352C1"/>
    <w:rsid w:val="0043534E"/>
    <w:rsid w:val="00435376"/>
    <w:rsid w:val="004353A0"/>
    <w:rsid w:val="004353C7"/>
    <w:rsid w:val="0043549E"/>
    <w:rsid w:val="00435548"/>
    <w:rsid w:val="0043561D"/>
    <w:rsid w:val="004356C6"/>
    <w:rsid w:val="004356DA"/>
    <w:rsid w:val="004357A1"/>
    <w:rsid w:val="004357BB"/>
    <w:rsid w:val="00435823"/>
    <w:rsid w:val="0043584B"/>
    <w:rsid w:val="004358FA"/>
    <w:rsid w:val="004359C4"/>
    <w:rsid w:val="004359C6"/>
    <w:rsid w:val="00435A7D"/>
    <w:rsid w:val="00435AD9"/>
    <w:rsid w:val="00435AF2"/>
    <w:rsid w:val="00435B0B"/>
    <w:rsid w:val="00435B5C"/>
    <w:rsid w:val="00435BBE"/>
    <w:rsid w:val="00435C0A"/>
    <w:rsid w:val="00435D34"/>
    <w:rsid w:val="00435D64"/>
    <w:rsid w:val="00435D82"/>
    <w:rsid w:val="00435E14"/>
    <w:rsid w:val="00435E2B"/>
    <w:rsid w:val="00435E5C"/>
    <w:rsid w:val="00435EC3"/>
    <w:rsid w:val="00436015"/>
    <w:rsid w:val="004361B2"/>
    <w:rsid w:val="004361C5"/>
    <w:rsid w:val="004362DC"/>
    <w:rsid w:val="004363E3"/>
    <w:rsid w:val="0043643A"/>
    <w:rsid w:val="00436651"/>
    <w:rsid w:val="004366DC"/>
    <w:rsid w:val="0043673C"/>
    <w:rsid w:val="00436774"/>
    <w:rsid w:val="004368E3"/>
    <w:rsid w:val="00436AC3"/>
    <w:rsid w:val="00436B1D"/>
    <w:rsid w:val="00436C5C"/>
    <w:rsid w:val="00436D63"/>
    <w:rsid w:val="00436D6C"/>
    <w:rsid w:val="00436D9A"/>
    <w:rsid w:val="00436DCC"/>
    <w:rsid w:val="00436F83"/>
    <w:rsid w:val="00437088"/>
    <w:rsid w:val="004370D2"/>
    <w:rsid w:val="004370F7"/>
    <w:rsid w:val="0043714C"/>
    <w:rsid w:val="0043719D"/>
    <w:rsid w:val="004372C0"/>
    <w:rsid w:val="00437586"/>
    <w:rsid w:val="004375AD"/>
    <w:rsid w:val="004375FA"/>
    <w:rsid w:val="00437704"/>
    <w:rsid w:val="00437787"/>
    <w:rsid w:val="004378FE"/>
    <w:rsid w:val="00437966"/>
    <w:rsid w:val="004379AA"/>
    <w:rsid w:val="004379E8"/>
    <w:rsid w:val="00437A7D"/>
    <w:rsid w:val="00437C84"/>
    <w:rsid w:val="00437CFF"/>
    <w:rsid w:val="00437D27"/>
    <w:rsid w:val="00437EA7"/>
    <w:rsid w:val="00437F67"/>
    <w:rsid w:val="00437F6F"/>
    <w:rsid w:val="00437F95"/>
    <w:rsid w:val="00437FF9"/>
    <w:rsid w:val="00440192"/>
    <w:rsid w:val="0044033D"/>
    <w:rsid w:val="00440379"/>
    <w:rsid w:val="004403C2"/>
    <w:rsid w:val="00440586"/>
    <w:rsid w:val="004405A5"/>
    <w:rsid w:val="0044069F"/>
    <w:rsid w:val="0044080D"/>
    <w:rsid w:val="004408A9"/>
    <w:rsid w:val="0044099B"/>
    <w:rsid w:val="00440A6D"/>
    <w:rsid w:val="00440CCE"/>
    <w:rsid w:val="00440CFA"/>
    <w:rsid w:val="00440D4B"/>
    <w:rsid w:val="00440D8B"/>
    <w:rsid w:val="00440D8E"/>
    <w:rsid w:val="00440F07"/>
    <w:rsid w:val="00440F20"/>
    <w:rsid w:val="00440F6A"/>
    <w:rsid w:val="00440F9C"/>
    <w:rsid w:val="004412F2"/>
    <w:rsid w:val="004413AE"/>
    <w:rsid w:val="00441514"/>
    <w:rsid w:val="004415D9"/>
    <w:rsid w:val="004415F7"/>
    <w:rsid w:val="00441735"/>
    <w:rsid w:val="00441786"/>
    <w:rsid w:val="004417B4"/>
    <w:rsid w:val="00441863"/>
    <w:rsid w:val="00441868"/>
    <w:rsid w:val="004418F3"/>
    <w:rsid w:val="00441961"/>
    <w:rsid w:val="00441974"/>
    <w:rsid w:val="004419D6"/>
    <w:rsid w:val="00441A41"/>
    <w:rsid w:val="00441A58"/>
    <w:rsid w:val="00441AE7"/>
    <w:rsid w:val="00441B1C"/>
    <w:rsid w:val="00441B5E"/>
    <w:rsid w:val="00441BB5"/>
    <w:rsid w:val="00441C4C"/>
    <w:rsid w:val="00441CC8"/>
    <w:rsid w:val="00441D52"/>
    <w:rsid w:val="00441D7D"/>
    <w:rsid w:val="00441DD8"/>
    <w:rsid w:val="00441E56"/>
    <w:rsid w:val="00441EAB"/>
    <w:rsid w:val="00441F4D"/>
    <w:rsid w:val="0044207D"/>
    <w:rsid w:val="0044225D"/>
    <w:rsid w:val="00442282"/>
    <w:rsid w:val="00442363"/>
    <w:rsid w:val="004423A2"/>
    <w:rsid w:val="0044258C"/>
    <w:rsid w:val="0044258D"/>
    <w:rsid w:val="004425E3"/>
    <w:rsid w:val="0044264F"/>
    <w:rsid w:val="004426C4"/>
    <w:rsid w:val="00442743"/>
    <w:rsid w:val="004428AF"/>
    <w:rsid w:val="004429A6"/>
    <w:rsid w:val="004429B8"/>
    <w:rsid w:val="00442A4A"/>
    <w:rsid w:val="00442A67"/>
    <w:rsid w:val="00442A6C"/>
    <w:rsid w:val="00442B01"/>
    <w:rsid w:val="00442B64"/>
    <w:rsid w:val="00442D48"/>
    <w:rsid w:val="00442D4D"/>
    <w:rsid w:val="00442DC3"/>
    <w:rsid w:val="00442E72"/>
    <w:rsid w:val="00442EF3"/>
    <w:rsid w:val="00442FF0"/>
    <w:rsid w:val="00443023"/>
    <w:rsid w:val="0044303A"/>
    <w:rsid w:val="0044308B"/>
    <w:rsid w:val="00443197"/>
    <w:rsid w:val="0044326B"/>
    <w:rsid w:val="00443287"/>
    <w:rsid w:val="00443289"/>
    <w:rsid w:val="004433C2"/>
    <w:rsid w:val="004433E4"/>
    <w:rsid w:val="00443417"/>
    <w:rsid w:val="00443467"/>
    <w:rsid w:val="004434A5"/>
    <w:rsid w:val="00443731"/>
    <w:rsid w:val="0044373B"/>
    <w:rsid w:val="00443939"/>
    <w:rsid w:val="004439D7"/>
    <w:rsid w:val="004439DD"/>
    <w:rsid w:val="00443A36"/>
    <w:rsid w:val="00443A4C"/>
    <w:rsid w:val="00443B07"/>
    <w:rsid w:val="00443B24"/>
    <w:rsid w:val="00443B82"/>
    <w:rsid w:val="00443BF8"/>
    <w:rsid w:val="00443C39"/>
    <w:rsid w:val="00443CED"/>
    <w:rsid w:val="00443DA4"/>
    <w:rsid w:val="00443DA7"/>
    <w:rsid w:val="00443E93"/>
    <w:rsid w:val="00443F88"/>
    <w:rsid w:val="004440B0"/>
    <w:rsid w:val="00444109"/>
    <w:rsid w:val="00444143"/>
    <w:rsid w:val="00444183"/>
    <w:rsid w:val="004441CD"/>
    <w:rsid w:val="00444308"/>
    <w:rsid w:val="004443C1"/>
    <w:rsid w:val="004443DB"/>
    <w:rsid w:val="00444405"/>
    <w:rsid w:val="0044452E"/>
    <w:rsid w:val="00444562"/>
    <w:rsid w:val="00444589"/>
    <w:rsid w:val="004445D5"/>
    <w:rsid w:val="0044461D"/>
    <w:rsid w:val="00444657"/>
    <w:rsid w:val="00444697"/>
    <w:rsid w:val="004446C1"/>
    <w:rsid w:val="00444704"/>
    <w:rsid w:val="00444775"/>
    <w:rsid w:val="004447C4"/>
    <w:rsid w:val="004447DF"/>
    <w:rsid w:val="00444959"/>
    <w:rsid w:val="004449F6"/>
    <w:rsid w:val="00444A4E"/>
    <w:rsid w:val="00444A91"/>
    <w:rsid w:val="00444B4D"/>
    <w:rsid w:val="00444B9D"/>
    <w:rsid w:val="00444BE0"/>
    <w:rsid w:val="00444C68"/>
    <w:rsid w:val="00444D0E"/>
    <w:rsid w:val="00444DD4"/>
    <w:rsid w:val="00444E35"/>
    <w:rsid w:val="00444F0E"/>
    <w:rsid w:val="00445020"/>
    <w:rsid w:val="00445052"/>
    <w:rsid w:val="004451E8"/>
    <w:rsid w:val="00445238"/>
    <w:rsid w:val="0044527E"/>
    <w:rsid w:val="004452A4"/>
    <w:rsid w:val="004452A9"/>
    <w:rsid w:val="0044537E"/>
    <w:rsid w:val="00445473"/>
    <w:rsid w:val="00445475"/>
    <w:rsid w:val="0044551C"/>
    <w:rsid w:val="0044552F"/>
    <w:rsid w:val="0044574A"/>
    <w:rsid w:val="004457AC"/>
    <w:rsid w:val="004457F4"/>
    <w:rsid w:val="00445874"/>
    <w:rsid w:val="00445979"/>
    <w:rsid w:val="004459D5"/>
    <w:rsid w:val="004459F5"/>
    <w:rsid w:val="00445A1F"/>
    <w:rsid w:val="00445A62"/>
    <w:rsid w:val="00445B0F"/>
    <w:rsid w:val="00445B30"/>
    <w:rsid w:val="00445B5D"/>
    <w:rsid w:val="00445C0A"/>
    <w:rsid w:val="00445C4D"/>
    <w:rsid w:val="00445C83"/>
    <w:rsid w:val="00445D3F"/>
    <w:rsid w:val="00445D48"/>
    <w:rsid w:val="00445D62"/>
    <w:rsid w:val="00445E39"/>
    <w:rsid w:val="00445E5F"/>
    <w:rsid w:val="00445E8E"/>
    <w:rsid w:val="00445F3D"/>
    <w:rsid w:val="004460B7"/>
    <w:rsid w:val="004460FC"/>
    <w:rsid w:val="00446157"/>
    <w:rsid w:val="00446173"/>
    <w:rsid w:val="004461AF"/>
    <w:rsid w:val="004463BC"/>
    <w:rsid w:val="00446457"/>
    <w:rsid w:val="004464BB"/>
    <w:rsid w:val="004465B1"/>
    <w:rsid w:val="00446608"/>
    <w:rsid w:val="00446671"/>
    <w:rsid w:val="00446679"/>
    <w:rsid w:val="00446828"/>
    <w:rsid w:val="00446877"/>
    <w:rsid w:val="00446985"/>
    <w:rsid w:val="004469B1"/>
    <w:rsid w:val="00446A3F"/>
    <w:rsid w:val="00446C5A"/>
    <w:rsid w:val="00446ED6"/>
    <w:rsid w:val="00446F36"/>
    <w:rsid w:val="00447156"/>
    <w:rsid w:val="004471CD"/>
    <w:rsid w:val="00447288"/>
    <w:rsid w:val="004472F9"/>
    <w:rsid w:val="0044739A"/>
    <w:rsid w:val="004473AC"/>
    <w:rsid w:val="00447400"/>
    <w:rsid w:val="00447447"/>
    <w:rsid w:val="004474D1"/>
    <w:rsid w:val="004475A5"/>
    <w:rsid w:val="0044761A"/>
    <w:rsid w:val="0044763D"/>
    <w:rsid w:val="0044769A"/>
    <w:rsid w:val="004477C8"/>
    <w:rsid w:val="00447845"/>
    <w:rsid w:val="004479A6"/>
    <w:rsid w:val="00447C20"/>
    <w:rsid w:val="00447CEB"/>
    <w:rsid w:val="00447EB0"/>
    <w:rsid w:val="00447F63"/>
    <w:rsid w:val="00447FD3"/>
    <w:rsid w:val="0045000A"/>
    <w:rsid w:val="0045031C"/>
    <w:rsid w:val="0045044D"/>
    <w:rsid w:val="00450498"/>
    <w:rsid w:val="0045049C"/>
    <w:rsid w:val="0045052D"/>
    <w:rsid w:val="00450734"/>
    <w:rsid w:val="004507BA"/>
    <w:rsid w:val="004508DA"/>
    <w:rsid w:val="0045099F"/>
    <w:rsid w:val="00450A38"/>
    <w:rsid w:val="00450A6D"/>
    <w:rsid w:val="00450B13"/>
    <w:rsid w:val="00450D22"/>
    <w:rsid w:val="00450D3B"/>
    <w:rsid w:val="00450D57"/>
    <w:rsid w:val="00450E32"/>
    <w:rsid w:val="00450F8B"/>
    <w:rsid w:val="00450FA8"/>
    <w:rsid w:val="0045106E"/>
    <w:rsid w:val="00451081"/>
    <w:rsid w:val="00451170"/>
    <w:rsid w:val="00451201"/>
    <w:rsid w:val="0045125E"/>
    <w:rsid w:val="004512BF"/>
    <w:rsid w:val="004512CF"/>
    <w:rsid w:val="004512E0"/>
    <w:rsid w:val="00451329"/>
    <w:rsid w:val="00451378"/>
    <w:rsid w:val="00451411"/>
    <w:rsid w:val="00451459"/>
    <w:rsid w:val="00451545"/>
    <w:rsid w:val="00451808"/>
    <w:rsid w:val="00451816"/>
    <w:rsid w:val="00451842"/>
    <w:rsid w:val="00451895"/>
    <w:rsid w:val="00451897"/>
    <w:rsid w:val="004519A2"/>
    <w:rsid w:val="00451A8F"/>
    <w:rsid w:val="00451C89"/>
    <w:rsid w:val="00451D82"/>
    <w:rsid w:val="00451D98"/>
    <w:rsid w:val="00451DC0"/>
    <w:rsid w:val="00451F4C"/>
    <w:rsid w:val="0045210A"/>
    <w:rsid w:val="0045211F"/>
    <w:rsid w:val="00452130"/>
    <w:rsid w:val="004521AF"/>
    <w:rsid w:val="00452227"/>
    <w:rsid w:val="0045228E"/>
    <w:rsid w:val="004523A9"/>
    <w:rsid w:val="00452465"/>
    <w:rsid w:val="0045256B"/>
    <w:rsid w:val="004525FF"/>
    <w:rsid w:val="00452604"/>
    <w:rsid w:val="0045261B"/>
    <w:rsid w:val="00452645"/>
    <w:rsid w:val="0045266E"/>
    <w:rsid w:val="0045275B"/>
    <w:rsid w:val="0045297E"/>
    <w:rsid w:val="00452A6E"/>
    <w:rsid w:val="00452A98"/>
    <w:rsid w:val="00452AE9"/>
    <w:rsid w:val="00452B3F"/>
    <w:rsid w:val="00452B70"/>
    <w:rsid w:val="00452B8C"/>
    <w:rsid w:val="00452C3F"/>
    <w:rsid w:val="00452C97"/>
    <w:rsid w:val="00452DAA"/>
    <w:rsid w:val="00452E0B"/>
    <w:rsid w:val="00452E5A"/>
    <w:rsid w:val="00452E8C"/>
    <w:rsid w:val="00452FD6"/>
    <w:rsid w:val="0045302E"/>
    <w:rsid w:val="0045316B"/>
    <w:rsid w:val="00453241"/>
    <w:rsid w:val="004532C0"/>
    <w:rsid w:val="004532E3"/>
    <w:rsid w:val="0045337C"/>
    <w:rsid w:val="004533AA"/>
    <w:rsid w:val="004533BE"/>
    <w:rsid w:val="004535A3"/>
    <w:rsid w:val="004535DC"/>
    <w:rsid w:val="0045368F"/>
    <w:rsid w:val="00453720"/>
    <w:rsid w:val="004537E4"/>
    <w:rsid w:val="00453975"/>
    <w:rsid w:val="004539D5"/>
    <w:rsid w:val="00453A1C"/>
    <w:rsid w:val="00453C99"/>
    <w:rsid w:val="00453CBD"/>
    <w:rsid w:val="00453D80"/>
    <w:rsid w:val="00453D91"/>
    <w:rsid w:val="00453D93"/>
    <w:rsid w:val="00453E92"/>
    <w:rsid w:val="00453EDA"/>
    <w:rsid w:val="00453F51"/>
    <w:rsid w:val="00453F61"/>
    <w:rsid w:val="00453F6C"/>
    <w:rsid w:val="00454024"/>
    <w:rsid w:val="0045402A"/>
    <w:rsid w:val="00454149"/>
    <w:rsid w:val="004542EA"/>
    <w:rsid w:val="00454315"/>
    <w:rsid w:val="00454342"/>
    <w:rsid w:val="004543FD"/>
    <w:rsid w:val="00454494"/>
    <w:rsid w:val="00454546"/>
    <w:rsid w:val="00454587"/>
    <w:rsid w:val="004546A8"/>
    <w:rsid w:val="004546E6"/>
    <w:rsid w:val="00454706"/>
    <w:rsid w:val="00454727"/>
    <w:rsid w:val="00454761"/>
    <w:rsid w:val="00454767"/>
    <w:rsid w:val="00454798"/>
    <w:rsid w:val="004547AA"/>
    <w:rsid w:val="00454823"/>
    <w:rsid w:val="0045494A"/>
    <w:rsid w:val="00454A51"/>
    <w:rsid w:val="00454A7E"/>
    <w:rsid w:val="00454AE2"/>
    <w:rsid w:val="00454C0F"/>
    <w:rsid w:val="00454C7B"/>
    <w:rsid w:val="00454C90"/>
    <w:rsid w:val="00454CD6"/>
    <w:rsid w:val="00454D05"/>
    <w:rsid w:val="00454DCE"/>
    <w:rsid w:val="00454E5A"/>
    <w:rsid w:val="00454EB4"/>
    <w:rsid w:val="00454ED5"/>
    <w:rsid w:val="00454F4B"/>
    <w:rsid w:val="00455027"/>
    <w:rsid w:val="004550D6"/>
    <w:rsid w:val="00455113"/>
    <w:rsid w:val="00455143"/>
    <w:rsid w:val="00455158"/>
    <w:rsid w:val="004551B0"/>
    <w:rsid w:val="0045534F"/>
    <w:rsid w:val="00455444"/>
    <w:rsid w:val="004554D2"/>
    <w:rsid w:val="0045557A"/>
    <w:rsid w:val="004555B2"/>
    <w:rsid w:val="004555CF"/>
    <w:rsid w:val="0045561D"/>
    <w:rsid w:val="0045566C"/>
    <w:rsid w:val="004556BE"/>
    <w:rsid w:val="004556C8"/>
    <w:rsid w:val="00455751"/>
    <w:rsid w:val="00455803"/>
    <w:rsid w:val="0045582B"/>
    <w:rsid w:val="0045593C"/>
    <w:rsid w:val="004559C2"/>
    <w:rsid w:val="00455A03"/>
    <w:rsid w:val="00455A14"/>
    <w:rsid w:val="00455CAD"/>
    <w:rsid w:val="00455D08"/>
    <w:rsid w:val="00455D26"/>
    <w:rsid w:val="00455D64"/>
    <w:rsid w:val="00455E33"/>
    <w:rsid w:val="00455E4B"/>
    <w:rsid w:val="00455F40"/>
    <w:rsid w:val="00455FA1"/>
    <w:rsid w:val="0045600B"/>
    <w:rsid w:val="00456040"/>
    <w:rsid w:val="0045607C"/>
    <w:rsid w:val="0045614E"/>
    <w:rsid w:val="00456259"/>
    <w:rsid w:val="0045630D"/>
    <w:rsid w:val="00456356"/>
    <w:rsid w:val="0045647C"/>
    <w:rsid w:val="00456574"/>
    <w:rsid w:val="00456673"/>
    <w:rsid w:val="004566C1"/>
    <w:rsid w:val="004566E6"/>
    <w:rsid w:val="004567A3"/>
    <w:rsid w:val="0045686D"/>
    <w:rsid w:val="00456988"/>
    <w:rsid w:val="004569AB"/>
    <w:rsid w:val="00456A03"/>
    <w:rsid w:val="00456AE0"/>
    <w:rsid w:val="00456CBB"/>
    <w:rsid w:val="00456D09"/>
    <w:rsid w:val="00456D83"/>
    <w:rsid w:val="0045704A"/>
    <w:rsid w:val="00457344"/>
    <w:rsid w:val="0045748A"/>
    <w:rsid w:val="004574BA"/>
    <w:rsid w:val="004574C7"/>
    <w:rsid w:val="00457643"/>
    <w:rsid w:val="004576B1"/>
    <w:rsid w:val="0045779A"/>
    <w:rsid w:val="00457823"/>
    <w:rsid w:val="00457B3B"/>
    <w:rsid w:val="00457B6C"/>
    <w:rsid w:val="00457C9E"/>
    <w:rsid w:val="00457D5F"/>
    <w:rsid w:val="00457D7D"/>
    <w:rsid w:val="00457DD3"/>
    <w:rsid w:val="00457DEE"/>
    <w:rsid w:val="00457E78"/>
    <w:rsid w:val="0046017F"/>
    <w:rsid w:val="004601CD"/>
    <w:rsid w:val="00460262"/>
    <w:rsid w:val="00460282"/>
    <w:rsid w:val="004602BC"/>
    <w:rsid w:val="0046038A"/>
    <w:rsid w:val="004603A5"/>
    <w:rsid w:val="00460482"/>
    <w:rsid w:val="00460533"/>
    <w:rsid w:val="0046055D"/>
    <w:rsid w:val="00460595"/>
    <w:rsid w:val="00460645"/>
    <w:rsid w:val="00460679"/>
    <w:rsid w:val="004608C2"/>
    <w:rsid w:val="004608E4"/>
    <w:rsid w:val="00460917"/>
    <w:rsid w:val="00460A47"/>
    <w:rsid w:val="00460AD1"/>
    <w:rsid w:val="00460BC7"/>
    <w:rsid w:val="00460BD9"/>
    <w:rsid w:val="00460C46"/>
    <w:rsid w:val="00460C4B"/>
    <w:rsid w:val="00460CCD"/>
    <w:rsid w:val="00460F3A"/>
    <w:rsid w:val="0046100D"/>
    <w:rsid w:val="0046107C"/>
    <w:rsid w:val="0046114C"/>
    <w:rsid w:val="00461189"/>
    <w:rsid w:val="004611CF"/>
    <w:rsid w:val="00461210"/>
    <w:rsid w:val="0046129F"/>
    <w:rsid w:val="0046133A"/>
    <w:rsid w:val="00461405"/>
    <w:rsid w:val="0046140B"/>
    <w:rsid w:val="0046147B"/>
    <w:rsid w:val="00461520"/>
    <w:rsid w:val="00461555"/>
    <w:rsid w:val="00461798"/>
    <w:rsid w:val="004617AF"/>
    <w:rsid w:val="00461911"/>
    <w:rsid w:val="00461A0F"/>
    <w:rsid w:val="00461A67"/>
    <w:rsid w:val="00461AD9"/>
    <w:rsid w:val="00461B03"/>
    <w:rsid w:val="00461C11"/>
    <w:rsid w:val="00461D1D"/>
    <w:rsid w:val="00461D6B"/>
    <w:rsid w:val="00461DD9"/>
    <w:rsid w:val="00461E12"/>
    <w:rsid w:val="00461F66"/>
    <w:rsid w:val="00461FE7"/>
    <w:rsid w:val="00461FEB"/>
    <w:rsid w:val="00461FF6"/>
    <w:rsid w:val="00462004"/>
    <w:rsid w:val="004620C6"/>
    <w:rsid w:val="0046212F"/>
    <w:rsid w:val="004622AD"/>
    <w:rsid w:val="004622CD"/>
    <w:rsid w:val="004623DE"/>
    <w:rsid w:val="004623F9"/>
    <w:rsid w:val="0046249C"/>
    <w:rsid w:val="004624D2"/>
    <w:rsid w:val="00462636"/>
    <w:rsid w:val="00462663"/>
    <w:rsid w:val="0046274B"/>
    <w:rsid w:val="004627A7"/>
    <w:rsid w:val="004627BB"/>
    <w:rsid w:val="00462885"/>
    <w:rsid w:val="004628BF"/>
    <w:rsid w:val="00462A2B"/>
    <w:rsid w:val="00462A99"/>
    <w:rsid w:val="00462AD9"/>
    <w:rsid w:val="00462C35"/>
    <w:rsid w:val="00462C7C"/>
    <w:rsid w:val="00462DB3"/>
    <w:rsid w:val="00462E05"/>
    <w:rsid w:val="00462F2C"/>
    <w:rsid w:val="00463057"/>
    <w:rsid w:val="0046307D"/>
    <w:rsid w:val="0046317F"/>
    <w:rsid w:val="004631E4"/>
    <w:rsid w:val="00463252"/>
    <w:rsid w:val="0046327F"/>
    <w:rsid w:val="004632D9"/>
    <w:rsid w:val="0046344E"/>
    <w:rsid w:val="004634A7"/>
    <w:rsid w:val="004634BB"/>
    <w:rsid w:val="004635D5"/>
    <w:rsid w:val="0046361C"/>
    <w:rsid w:val="00463631"/>
    <w:rsid w:val="0046366F"/>
    <w:rsid w:val="0046376A"/>
    <w:rsid w:val="004638B6"/>
    <w:rsid w:val="004638E0"/>
    <w:rsid w:val="00463A05"/>
    <w:rsid w:val="00463A4A"/>
    <w:rsid w:val="00463AF9"/>
    <w:rsid w:val="00463C3D"/>
    <w:rsid w:val="00463CAB"/>
    <w:rsid w:val="00463D07"/>
    <w:rsid w:val="00463D31"/>
    <w:rsid w:val="00463D56"/>
    <w:rsid w:val="00463DAA"/>
    <w:rsid w:val="00463DBD"/>
    <w:rsid w:val="00463DEB"/>
    <w:rsid w:val="00463E24"/>
    <w:rsid w:val="00463ECD"/>
    <w:rsid w:val="00463F01"/>
    <w:rsid w:val="00463F20"/>
    <w:rsid w:val="00464020"/>
    <w:rsid w:val="00464032"/>
    <w:rsid w:val="004640F0"/>
    <w:rsid w:val="004641DA"/>
    <w:rsid w:val="004641E5"/>
    <w:rsid w:val="0046420B"/>
    <w:rsid w:val="00464258"/>
    <w:rsid w:val="0046433E"/>
    <w:rsid w:val="00464572"/>
    <w:rsid w:val="004645B1"/>
    <w:rsid w:val="004645F9"/>
    <w:rsid w:val="004646DB"/>
    <w:rsid w:val="004647F1"/>
    <w:rsid w:val="00464824"/>
    <w:rsid w:val="00464929"/>
    <w:rsid w:val="004649AE"/>
    <w:rsid w:val="00464B2B"/>
    <w:rsid w:val="00464B75"/>
    <w:rsid w:val="00464B88"/>
    <w:rsid w:val="00464C03"/>
    <w:rsid w:val="00464C27"/>
    <w:rsid w:val="00464DAB"/>
    <w:rsid w:val="00464E0C"/>
    <w:rsid w:val="00464F05"/>
    <w:rsid w:val="00465095"/>
    <w:rsid w:val="004650AF"/>
    <w:rsid w:val="004650F5"/>
    <w:rsid w:val="004651B1"/>
    <w:rsid w:val="0046524E"/>
    <w:rsid w:val="004652E6"/>
    <w:rsid w:val="004653D8"/>
    <w:rsid w:val="004654C5"/>
    <w:rsid w:val="004655AE"/>
    <w:rsid w:val="004655D9"/>
    <w:rsid w:val="004656FF"/>
    <w:rsid w:val="00465948"/>
    <w:rsid w:val="00465A71"/>
    <w:rsid w:val="00465B6A"/>
    <w:rsid w:val="00465BC4"/>
    <w:rsid w:val="00465BE0"/>
    <w:rsid w:val="00465CA9"/>
    <w:rsid w:val="00465D41"/>
    <w:rsid w:val="00465D8B"/>
    <w:rsid w:val="00465DA1"/>
    <w:rsid w:val="00465E0A"/>
    <w:rsid w:val="00465E2D"/>
    <w:rsid w:val="00465E8F"/>
    <w:rsid w:val="00465F90"/>
    <w:rsid w:val="00465FE5"/>
    <w:rsid w:val="0046601B"/>
    <w:rsid w:val="00466032"/>
    <w:rsid w:val="004660E8"/>
    <w:rsid w:val="004660FA"/>
    <w:rsid w:val="0046613A"/>
    <w:rsid w:val="004661B9"/>
    <w:rsid w:val="004661C4"/>
    <w:rsid w:val="004663C1"/>
    <w:rsid w:val="004663C2"/>
    <w:rsid w:val="004663FC"/>
    <w:rsid w:val="00466404"/>
    <w:rsid w:val="0046658A"/>
    <w:rsid w:val="004665BC"/>
    <w:rsid w:val="00466844"/>
    <w:rsid w:val="004668B6"/>
    <w:rsid w:val="00466961"/>
    <w:rsid w:val="00466A29"/>
    <w:rsid w:val="00466AB0"/>
    <w:rsid w:val="00466B33"/>
    <w:rsid w:val="00466B9A"/>
    <w:rsid w:val="00466BD4"/>
    <w:rsid w:val="00466C14"/>
    <w:rsid w:val="00466C56"/>
    <w:rsid w:val="00466C5B"/>
    <w:rsid w:val="00466DF7"/>
    <w:rsid w:val="00466E1F"/>
    <w:rsid w:val="00466EF0"/>
    <w:rsid w:val="00467020"/>
    <w:rsid w:val="0046705D"/>
    <w:rsid w:val="00467116"/>
    <w:rsid w:val="004671D5"/>
    <w:rsid w:val="004671E0"/>
    <w:rsid w:val="004672D4"/>
    <w:rsid w:val="00467380"/>
    <w:rsid w:val="004673E7"/>
    <w:rsid w:val="004674B5"/>
    <w:rsid w:val="00467564"/>
    <w:rsid w:val="0046761F"/>
    <w:rsid w:val="004676A2"/>
    <w:rsid w:val="00467776"/>
    <w:rsid w:val="004677D2"/>
    <w:rsid w:val="004677EA"/>
    <w:rsid w:val="004677FF"/>
    <w:rsid w:val="0046780D"/>
    <w:rsid w:val="0046781C"/>
    <w:rsid w:val="00467865"/>
    <w:rsid w:val="0046786C"/>
    <w:rsid w:val="004678C9"/>
    <w:rsid w:val="00467A41"/>
    <w:rsid w:val="00467ACA"/>
    <w:rsid w:val="00467AF1"/>
    <w:rsid w:val="00467AF3"/>
    <w:rsid w:val="00467AF6"/>
    <w:rsid w:val="00467BDC"/>
    <w:rsid w:val="00467C01"/>
    <w:rsid w:val="00467C28"/>
    <w:rsid w:val="00467C60"/>
    <w:rsid w:val="00467CFD"/>
    <w:rsid w:val="00467D9A"/>
    <w:rsid w:val="00467F0E"/>
    <w:rsid w:val="00467F35"/>
    <w:rsid w:val="00467F44"/>
    <w:rsid w:val="00467F82"/>
    <w:rsid w:val="0047002B"/>
    <w:rsid w:val="00470072"/>
    <w:rsid w:val="004700A2"/>
    <w:rsid w:val="004700C8"/>
    <w:rsid w:val="00470185"/>
    <w:rsid w:val="004701E2"/>
    <w:rsid w:val="0047049C"/>
    <w:rsid w:val="004704B4"/>
    <w:rsid w:val="00470553"/>
    <w:rsid w:val="00470557"/>
    <w:rsid w:val="00470576"/>
    <w:rsid w:val="004705CD"/>
    <w:rsid w:val="00470680"/>
    <w:rsid w:val="0047069D"/>
    <w:rsid w:val="00470784"/>
    <w:rsid w:val="004707DF"/>
    <w:rsid w:val="00470859"/>
    <w:rsid w:val="00470874"/>
    <w:rsid w:val="00470894"/>
    <w:rsid w:val="00470935"/>
    <w:rsid w:val="00470972"/>
    <w:rsid w:val="00470A28"/>
    <w:rsid w:val="00470AAF"/>
    <w:rsid w:val="00470AB7"/>
    <w:rsid w:val="00470B06"/>
    <w:rsid w:val="00470B12"/>
    <w:rsid w:val="00470C15"/>
    <w:rsid w:val="00470C5A"/>
    <w:rsid w:val="00470CF9"/>
    <w:rsid w:val="00470D1D"/>
    <w:rsid w:val="00470D6C"/>
    <w:rsid w:val="00470DAF"/>
    <w:rsid w:val="00470E49"/>
    <w:rsid w:val="00470F2B"/>
    <w:rsid w:val="00471029"/>
    <w:rsid w:val="0047104B"/>
    <w:rsid w:val="00471089"/>
    <w:rsid w:val="0047113C"/>
    <w:rsid w:val="00471166"/>
    <w:rsid w:val="0047117A"/>
    <w:rsid w:val="004711B2"/>
    <w:rsid w:val="004712C9"/>
    <w:rsid w:val="0047140E"/>
    <w:rsid w:val="0047142A"/>
    <w:rsid w:val="00471621"/>
    <w:rsid w:val="0047162B"/>
    <w:rsid w:val="004717B1"/>
    <w:rsid w:val="004718FF"/>
    <w:rsid w:val="00471943"/>
    <w:rsid w:val="0047194A"/>
    <w:rsid w:val="004719EE"/>
    <w:rsid w:val="00471A55"/>
    <w:rsid w:val="00471C74"/>
    <w:rsid w:val="00471C80"/>
    <w:rsid w:val="00471C81"/>
    <w:rsid w:val="00471CE5"/>
    <w:rsid w:val="00471D0E"/>
    <w:rsid w:val="00471E52"/>
    <w:rsid w:val="00471E83"/>
    <w:rsid w:val="00471F82"/>
    <w:rsid w:val="0047200F"/>
    <w:rsid w:val="0047201B"/>
    <w:rsid w:val="00472037"/>
    <w:rsid w:val="00472056"/>
    <w:rsid w:val="00472227"/>
    <w:rsid w:val="004722A8"/>
    <w:rsid w:val="004723FD"/>
    <w:rsid w:val="004724E8"/>
    <w:rsid w:val="00472561"/>
    <w:rsid w:val="00472586"/>
    <w:rsid w:val="004726CE"/>
    <w:rsid w:val="004726FA"/>
    <w:rsid w:val="004727DD"/>
    <w:rsid w:val="004728C0"/>
    <w:rsid w:val="00472A0B"/>
    <w:rsid w:val="00472B06"/>
    <w:rsid w:val="00472B55"/>
    <w:rsid w:val="00472C34"/>
    <w:rsid w:val="00472C7C"/>
    <w:rsid w:val="00472D68"/>
    <w:rsid w:val="00472F76"/>
    <w:rsid w:val="00473055"/>
    <w:rsid w:val="00473100"/>
    <w:rsid w:val="00473104"/>
    <w:rsid w:val="00473290"/>
    <w:rsid w:val="0047331F"/>
    <w:rsid w:val="00473339"/>
    <w:rsid w:val="0047339A"/>
    <w:rsid w:val="004733AE"/>
    <w:rsid w:val="004734F6"/>
    <w:rsid w:val="0047356C"/>
    <w:rsid w:val="00473571"/>
    <w:rsid w:val="0047358D"/>
    <w:rsid w:val="00473630"/>
    <w:rsid w:val="00473695"/>
    <w:rsid w:val="00473778"/>
    <w:rsid w:val="00473C13"/>
    <w:rsid w:val="00473F9C"/>
    <w:rsid w:val="00473FAE"/>
    <w:rsid w:val="0047411A"/>
    <w:rsid w:val="0047416D"/>
    <w:rsid w:val="00474247"/>
    <w:rsid w:val="004744FA"/>
    <w:rsid w:val="004745CA"/>
    <w:rsid w:val="004745F1"/>
    <w:rsid w:val="0047462C"/>
    <w:rsid w:val="0047462E"/>
    <w:rsid w:val="004746E1"/>
    <w:rsid w:val="00474852"/>
    <w:rsid w:val="00474A45"/>
    <w:rsid w:val="00474A62"/>
    <w:rsid w:val="00474AE3"/>
    <w:rsid w:val="00474B0F"/>
    <w:rsid w:val="00474C03"/>
    <w:rsid w:val="00474CA3"/>
    <w:rsid w:val="00474CB6"/>
    <w:rsid w:val="00474CE2"/>
    <w:rsid w:val="00474DDD"/>
    <w:rsid w:val="00474F1E"/>
    <w:rsid w:val="0047500D"/>
    <w:rsid w:val="00475142"/>
    <w:rsid w:val="004751BF"/>
    <w:rsid w:val="00475283"/>
    <w:rsid w:val="0047554E"/>
    <w:rsid w:val="00475673"/>
    <w:rsid w:val="004756A2"/>
    <w:rsid w:val="004756C3"/>
    <w:rsid w:val="0047572A"/>
    <w:rsid w:val="00475730"/>
    <w:rsid w:val="004758E2"/>
    <w:rsid w:val="00475928"/>
    <w:rsid w:val="004759A3"/>
    <w:rsid w:val="00475AF7"/>
    <w:rsid w:val="00475B0A"/>
    <w:rsid w:val="00475BFA"/>
    <w:rsid w:val="00475C02"/>
    <w:rsid w:val="00475C98"/>
    <w:rsid w:val="00475DD7"/>
    <w:rsid w:val="00475E67"/>
    <w:rsid w:val="00475EA4"/>
    <w:rsid w:val="00475F30"/>
    <w:rsid w:val="00475F46"/>
    <w:rsid w:val="00475F57"/>
    <w:rsid w:val="00475F5F"/>
    <w:rsid w:val="0047603E"/>
    <w:rsid w:val="004760BA"/>
    <w:rsid w:val="004760F9"/>
    <w:rsid w:val="0047610E"/>
    <w:rsid w:val="00476138"/>
    <w:rsid w:val="00476147"/>
    <w:rsid w:val="0047618F"/>
    <w:rsid w:val="004761E8"/>
    <w:rsid w:val="004762B4"/>
    <w:rsid w:val="004762DA"/>
    <w:rsid w:val="004762F8"/>
    <w:rsid w:val="004763FE"/>
    <w:rsid w:val="00476403"/>
    <w:rsid w:val="004764EA"/>
    <w:rsid w:val="004764FD"/>
    <w:rsid w:val="00476564"/>
    <w:rsid w:val="004766FF"/>
    <w:rsid w:val="0047682C"/>
    <w:rsid w:val="00476976"/>
    <w:rsid w:val="00476A11"/>
    <w:rsid w:val="00476A67"/>
    <w:rsid w:val="00476AB1"/>
    <w:rsid w:val="00476AD6"/>
    <w:rsid w:val="00476C15"/>
    <w:rsid w:val="00476DA1"/>
    <w:rsid w:val="00476E00"/>
    <w:rsid w:val="00476E1D"/>
    <w:rsid w:val="00476ED2"/>
    <w:rsid w:val="00476F1B"/>
    <w:rsid w:val="00476F1C"/>
    <w:rsid w:val="0047709F"/>
    <w:rsid w:val="00477157"/>
    <w:rsid w:val="004771FF"/>
    <w:rsid w:val="0047727F"/>
    <w:rsid w:val="00477294"/>
    <w:rsid w:val="004772C1"/>
    <w:rsid w:val="004772FC"/>
    <w:rsid w:val="0047739C"/>
    <w:rsid w:val="0047744D"/>
    <w:rsid w:val="0047746E"/>
    <w:rsid w:val="004775FA"/>
    <w:rsid w:val="00477666"/>
    <w:rsid w:val="00477753"/>
    <w:rsid w:val="004777D3"/>
    <w:rsid w:val="00477852"/>
    <w:rsid w:val="004778F6"/>
    <w:rsid w:val="004779B1"/>
    <w:rsid w:val="004779E6"/>
    <w:rsid w:val="00477A53"/>
    <w:rsid w:val="00477BCC"/>
    <w:rsid w:val="00477C31"/>
    <w:rsid w:val="00477C9F"/>
    <w:rsid w:val="00477DFD"/>
    <w:rsid w:val="00477E2A"/>
    <w:rsid w:val="00477F5C"/>
    <w:rsid w:val="00477FCA"/>
    <w:rsid w:val="00480090"/>
    <w:rsid w:val="004800F6"/>
    <w:rsid w:val="00480167"/>
    <w:rsid w:val="00480204"/>
    <w:rsid w:val="00480210"/>
    <w:rsid w:val="0048027A"/>
    <w:rsid w:val="004802F7"/>
    <w:rsid w:val="004804A3"/>
    <w:rsid w:val="004804AD"/>
    <w:rsid w:val="004804B5"/>
    <w:rsid w:val="004804DC"/>
    <w:rsid w:val="004804F3"/>
    <w:rsid w:val="0048057F"/>
    <w:rsid w:val="004805AF"/>
    <w:rsid w:val="004805DA"/>
    <w:rsid w:val="0048065A"/>
    <w:rsid w:val="004807D7"/>
    <w:rsid w:val="00480AE9"/>
    <w:rsid w:val="00480C38"/>
    <w:rsid w:val="00480C76"/>
    <w:rsid w:val="00480C9B"/>
    <w:rsid w:val="00480D6C"/>
    <w:rsid w:val="00480E35"/>
    <w:rsid w:val="00480E95"/>
    <w:rsid w:val="00480E9F"/>
    <w:rsid w:val="00480FF5"/>
    <w:rsid w:val="004810AB"/>
    <w:rsid w:val="0048125E"/>
    <w:rsid w:val="00481326"/>
    <w:rsid w:val="004813CD"/>
    <w:rsid w:val="00481402"/>
    <w:rsid w:val="0048152A"/>
    <w:rsid w:val="00481533"/>
    <w:rsid w:val="0048153B"/>
    <w:rsid w:val="004815AC"/>
    <w:rsid w:val="00481601"/>
    <w:rsid w:val="0048179B"/>
    <w:rsid w:val="004817FB"/>
    <w:rsid w:val="00481827"/>
    <w:rsid w:val="0048185B"/>
    <w:rsid w:val="00481BB9"/>
    <w:rsid w:val="00481C1E"/>
    <w:rsid w:val="00481C51"/>
    <w:rsid w:val="00481C59"/>
    <w:rsid w:val="00481C88"/>
    <w:rsid w:val="00481D85"/>
    <w:rsid w:val="00481E81"/>
    <w:rsid w:val="00481EBC"/>
    <w:rsid w:val="00481EF7"/>
    <w:rsid w:val="00481F32"/>
    <w:rsid w:val="00482084"/>
    <w:rsid w:val="00482313"/>
    <w:rsid w:val="0048248E"/>
    <w:rsid w:val="00482585"/>
    <w:rsid w:val="00482598"/>
    <w:rsid w:val="004825E0"/>
    <w:rsid w:val="004825E4"/>
    <w:rsid w:val="00482619"/>
    <w:rsid w:val="00482683"/>
    <w:rsid w:val="00482A4B"/>
    <w:rsid w:val="00482B24"/>
    <w:rsid w:val="00482BD3"/>
    <w:rsid w:val="00482C7A"/>
    <w:rsid w:val="00482EDF"/>
    <w:rsid w:val="0048302C"/>
    <w:rsid w:val="0048303F"/>
    <w:rsid w:val="00483098"/>
    <w:rsid w:val="004831E8"/>
    <w:rsid w:val="004832D7"/>
    <w:rsid w:val="00483394"/>
    <w:rsid w:val="0048339F"/>
    <w:rsid w:val="0048345D"/>
    <w:rsid w:val="0048349B"/>
    <w:rsid w:val="0048359F"/>
    <w:rsid w:val="00483692"/>
    <w:rsid w:val="00483711"/>
    <w:rsid w:val="0048371F"/>
    <w:rsid w:val="0048379A"/>
    <w:rsid w:val="0048394C"/>
    <w:rsid w:val="0048397B"/>
    <w:rsid w:val="00483B1C"/>
    <w:rsid w:val="00483B74"/>
    <w:rsid w:val="00483CA7"/>
    <w:rsid w:val="00483D1A"/>
    <w:rsid w:val="00483D56"/>
    <w:rsid w:val="00483D59"/>
    <w:rsid w:val="00483D9B"/>
    <w:rsid w:val="00483E51"/>
    <w:rsid w:val="00483E6C"/>
    <w:rsid w:val="00483ECA"/>
    <w:rsid w:val="00483FAE"/>
    <w:rsid w:val="0048428C"/>
    <w:rsid w:val="004842FC"/>
    <w:rsid w:val="004844DB"/>
    <w:rsid w:val="0048455B"/>
    <w:rsid w:val="00484565"/>
    <w:rsid w:val="00484569"/>
    <w:rsid w:val="00484596"/>
    <w:rsid w:val="00484685"/>
    <w:rsid w:val="00484698"/>
    <w:rsid w:val="0048469F"/>
    <w:rsid w:val="004847BE"/>
    <w:rsid w:val="00484825"/>
    <w:rsid w:val="00484943"/>
    <w:rsid w:val="004849E5"/>
    <w:rsid w:val="004849F9"/>
    <w:rsid w:val="00484A3B"/>
    <w:rsid w:val="00484C93"/>
    <w:rsid w:val="00484D95"/>
    <w:rsid w:val="00484DC8"/>
    <w:rsid w:val="00484E77"/>
    <w:rsid w:val="00484EA7"/>
    <w:rsid w:val="00484F5F"/>
    <w:rsid w:val="00484FFD"/>
    <w:rsid w:val="004850EF"/>
    <w:rsid w:val="0048517D"/>
    <w:rsid w:val="0048518A"/>
    <w:rsid w:val="004851C0"/>
    <w:rsid w:val="004851DD"/>
    <w:rsid w:val="0048526B"/>
    <w:rsid w:val="004852A1"/>
    <w:rsid w:val="004852AC"/>
    <w:rsid w:val="00485363"/>
    <w:rsid w:val="00485450"/>
    <w:rsid w:val="00485496"/>
    <w:rsid w:val="00485556"/>
    <w:rsid w:val="00485814"/>
    <w:rsid w:val="00485842"/>
    <w:rsid w:val="00485844"/>
    <w:rsid w:val="0048586E"/>
    <w:rsid w:val="00485906"/>
    <w:rsid w:val="00485961"/>
    <w:rsid w:val="004859A2"/>
    <w:rsid w:val="00485A90"/>
    <w:rsid w:val="00485B82"/>
    <w:rsid w:val="00485BCD"/>
    <w:rsid w:val="00485C94"/>
    <w:rsid w:val="00485CEA"/>
    <w:rsid w:val="00485D07"/>
    <w:rsid w:val="00485D47"/>
    <w:rsid w:val="00485EBA"/>
    <w:rsid w:val="00485EC2"/>
    <w:rsid w:val="00485FA1"/>
    <w:rsid w:val="00486022"/>
    <w:rsid w:val="0048607F"/>
    <w:rsid w:val="004860E2"/>
    <w:rsid w:val="004860F8"/>
    <w:rsid w:val="0048617B"/>
    <w:rsid w:val="00486184"/>
    <w:rsid w:val="004861CB"/>
    <w:rsid w:val="0048623D"/>
    <w:rsid w:val="00486328"/>
    <w:rsid w:val="004863BB"/>
    <w:rsid w:val="00486418"/>
    <w:rsid w:val="0048659F"/>
    <w:rsid w:val="0048665A"/>
    <w:rsid w:val="004866D6"/>
    <w:rsid w:val="0048671D"/>
    <w:rsid w:val="00486763"/>
    <w:rsid w:val="0048684C"/>
    <w:rsid w:val="004868A3"/>
    <w:rsid w:val="00486965"/>
    <w:rsid w:val="004869EE"/>
    <w:rsid w:val="00486BE8"/>
    <w:rsid w:val="00486C0F"/>
    <w:rsid w:val="00486FB2"/>
    <w:rsid w:val="00487036"/>
    <w:rsid w:val="0048707B"/>
    <w:rsid w:val="0048729F"/>
    <w:rsid w:val="00487307"/>
    <w:rsid w:val="00487524"/>
    <w:rsid w:val="004876B1"/>
    <w:rsid w:val="004876E0"/>
    <w:rsid w:val="004876F5"/>
    <w:rsid w:val="00487717"/>
    <w:rsid w:val="00487753"/>
    <w:rsid w:val="004877D7"/>
    <w:rsid w:val="004877F8"/>
    <w:rsid w:val="0048781E"/>
    <w:rsid w:val="004878D0"/>
    <w:rsid w:val="00487B0E"/>
    <w:rsid w:val="00487B47"/>
    <w:rsid w:val="00487B5D"/>
    <w:rsid w:val="00487BE0"/>
    <w:rsid w:val="00487D1F"/>
    <w:rsid w:val="00487E05"/>
    <w:rsid w:val="00487E7A"/>
    <w:rsid w:val="00487EB3"/>
    <w:rsid w:val="00487EB9"/>
    <w:rsid w:val="00487F7F"/>
    <w:rsid w:val="00490000"/>
    <w:rsid w:val="0049000A"/>
    <w:rsid w:val="00490074"/>
    <w:rsid w:val="0049007D"/>
    <w:rsid w:val="004900A4"/>
    <w:rsid w:val="004900DD"/>
    <w:rsid w:val="004901BF"/>
    <w:rsid w:val="004902C6"/>
    <w:rsid w:val="004902D7"/>
    <w:rsid w:val="00490431"/>
    <w:rsid w:val="00490598"/>
    <w:rsid w:val="0049061A"/>
    <w:rsid w:val="00490736"/>
    <w:rsid w:val="0049078E"/>
    <w:rsid w:val="0049079C"/>
    <w:rsid w:val="00490838"/>
    <w:rsid w:val="00490906"/>
    <w:rsid w:val="004909E5"/>
    <w:rsid w:val="00490A25"/>
    <w:rsid w:val="00490A38"/>
    <w:rsid w:val="00490ADF"/>
    <w:rsid w:val="00490B8A"/>
    <w:rsid w:val="00490BA8"/>
    <w:rsid w:val="00490BBB"/>
    <w:rsid w:val="00490BD3"/>
    <w:rsid w:val="00490C32"/>
    <w:rsid w:val="00490C97"/>
    <w:rsid w:val="00490CBD"/>
    <w:rsid w:val="00490CDC"/>
    <w:rsid w:val="00490D0A"/>
    <w:rsid w:val="00490D41"/>
    <w:rsid w:val="00490D64"/>
    <w:rsid w:val="00490D81"/>
    <w:rsid w:val="00490DAA"/>
    <w:rsid w:val="00490E92"/>
    <w:rsid w:val="00490F58"/>
    <w:rsid w:val="00490FE6"/>
    <w:rsid w:val="00491075"/>
    <w:rsid w:val="004910CF"/>
    <w:rsid w:val="00491103"/>
    <w:rsid w:val="004911BC"/>
    <w:rsid w:val="004911F6"/>
    <w:rsid w:val="00491207"/>
    <w:rsid w:val="004912AD"/>
    <w:rsid w:val="00491346"/>
    <w:rsid w:val="00491445"/>
    <w:rsid w:val="00491485"/>
    <w:rsid w:val="00491520"/>
    <w:rsid w:val="004915A3"/>
    <w:rsid w:val="0049163E"/>
    <w:rsid w:val="004916BF"/>
    <w:rsid w:val="00491818"/>
    <w:rsid w:val="0049183E"/>
    <w:rsid w:val="00491884"/>
    <w:rsid w:val="00491921"/>
    <w:rsid w:val="0049199D"/>
    <w:rsid w:val="00491B58"/>
    <w:rsid w:val="00491C14"/>
    <w:rsid w:val="00491C89"/>
    <w:rsid w:val="00491CCE"/>
    <w:rsid w:val="00491E40"/>
    <w:rsid w:val="00491F69"/>
    <w:rsid w:val="00491F9E"/>
    <w:rsid w:val="00491FA1"/>
    <w:rsid w:val="00492032"/>
    <w:rsid w:val="00492038"/>
    <w:rsid w:val="0049203E"/>
    <w:rsid w:val="00492111"/>
    <w:rsid w:val="00492317"/>
    <w:rsid w:val="004923A6"/>
    <w:rsid w:val="0049244E"/>
    <w:rsid w:val="004925B5"/>
    <w:rsid w:val="00492676"/>
    <w:rsid w:val="00492694"/>
    <w:rsid w:val="004927DA"/>
    <w:rsid w:val="00492964"/>
    <w:rsid w:val="00492A2E"/>
    <w:rsid w:val="00492ACC"/>
    <w:rsid w:val="00492BB2"/>
    <w:rsid w:val="00492D55"/>
    <w:rsid w:val="00492D8E"/>
    <w:rsid w:val="00492E9B"/>
    <w:rsid w:val="00492F02"/>
    <w:rsid w:val="00492FBD"/>
    <w:rsid w:val="004930D4"/>
    <w:rsid w:val="004931CB"/>
    <w:rsid w:val="00493201"/>
    <w:rsid w:val="00493205"/>
    <w:rsid w:val="00493227"/>
    <w:rsid w:val="0049324F"/>
    <w:rsid w:val="004934D2"/>
    <w:rsid w:val="004935CA"/>
    <w:rsid w:val="00493681"/>
    <w:rsid w:val="004936EF"/>
    <w:rsid w:val="0049372F"/>
    <w:rsid w:val="00493A4E"/>
    <w:rsid w:val="00493B52"/>
    <w:rsid w:val="00493BAE"/>
    <w:rsid w:val="00493C9F"/>
    <w:rsid w:val="00493CB9"/>
    <w:rsid w:val="00493D3C"/>
    <w:rsid w:val="00493D5C"/>
    <w:rsid w:val="00493DA6"/>
    <w:rsid w:val="00493DFF"/>
    <w:rsid w:val="00493E22"/>
    <w:rsid w:val="00493E79"/>
    <w:rsid w:val="00493E96"/>
    <w:rsid w:val="00493E9C"/>
    <w:rsid w:val="00493ED3"/>
    <w:rsid w:val="00493F28"/>
    <w:rsid w:val="00494097"/>
    <w:rsid w:val="00494111"/>
    <w:rsid w:val="00494154"/>
    <w:rsid w:val="00494188"/>
    <w:rsid w:val="004941AB"/>
    <w:rsid w:val="004941FF"/>
    <w:rsid w:val="0049420C"/>
    <w:rsid w:val="00494233"/>
    <w:rsid w:val="00494499"/>
    <w:rsid w:val="004944FA"/>
    <w:rsid w:val="00494624"/>
    <w:rsid w:val="00494675"/>
    <w:rsid w:val="004946BF"/>
    <w:rsid w:val="004946CA"/>
    <w:rsid w:val="00494854"/>
    <w:rsid w:val="0049487A"/>
    <w:rsid w:val="004948C9"/>
    <w:rsid w:val="004948F7"/>
    <w:rsid w:val="004949A1"/>
    <w:rsid w:val="004949DF"/>
    <w:rsid w:val="00494A2A"/>
    <w:rsid w:val="00494B0B"/>
    <w:rsid w:val="00494BA3"/>
    <w:rsid w:val="00494E4C"/>
    <w:rsid w:val="00494E50"/>
    <w:rsid w:val="00494E66"/>
    <w:rsid w:val="00494F52"/>
    <w:rsid w:val="00494F94"/>
    <w:rsid w:val="00494FB5"/>
    <w:rsid w:val="00494FEC"/>
    <w:rsid w:val="00495078"/>
    <w:rsid w:val="0049508F"/>
    <w:rsid w:val="004950AF"/>
    <w:rsid w:val="004950E6"/>
    <w:rsid w:val="0049510A"/>
    <w:rsid w:val="00495156"/>
    <w:rsid w:val="004951B3"/>
    <w:rsid w:val="004951C1"/>
    <w:rsid w:val="0049539D"/>
    <w:rsid w:val="004953DD"/>
    <w:rsid w:val="00495408"/>
    <w:rsid w:val="00495456"/>
    <w:rsid w:val="00495490"/>
    <w:rsid w:val="00495491"/>
    <w:rsid w:val="004954ED"/>
    <w:rsid w:val="004955FF"/>
    <w:rsid w:val="004956D6"/>
    <w:rsid w:val="00495789"/>
    <w:rsid w:val="00495813"/>
    <w:rsid w:val="00495817"/>
    <w:rsid w:val="004959AC"/>
    <w:rsid w:val="00495A08"/>
    <w:rsid w:val="00495A17"/>
    <w:rsid w:val="00495AA0"/>
    <w:rsid w:val="00495AEB"/>
    <w:rsid w:val="00495B54"/>
    <w:rsid w:val="00495BFB"/>
    <w:rsid w:val="00495C28"/>
    <w:rsid w:val="00495D7C"/>
    <w:rsid w:val="00495DD7"/>
    <w:rsid w:val="00495E30"/>
    <w:rsid w:val="00495E58"/>
    <w:rsid w:val="0049601E"/>
    <w:rsid w:val="00496046"/>
    <w:rsid w:val="00496067"/>
    <w:rsid w:val="00496203"/>
    <w:rsid w:val="004963BE"/>
    <w:rsid w:val="004963D6"/>
    <w:rsid w:val="00496489"/>
    <w:rsid w:val="00496508"/>
    <w:rsid w:val="00496594"/>
    <w:rsid w:val="004965B6"/>
    <w:rsid w:val="00496646"/>
    <w:rsid w:val="004966F6"/>
    <w:rsid w:val="004967C9"/>
    <w:rsid w:val="00496858"/>
    <w:rsid w:val="004968DD"/>
    <w:rsid w:val="00496916"/>
    <w:rsid w:val="0049692C"/>
    <w:rsid w:val="00496A16"/>
    <w:rsid w:val="00496A5F"/>
    <w:rsid w:val="00496AC5"/>
    <w:rsid w:val="00496AC8"/>
    <w:rsid w:val="00496B51"/>
    <w:rsid w:val="00496C02"/>
    <w:rsid w:val="00496C17"/>
    <w:rsid w:val="00496CF5"/>
    <w:rsid w:val="00496D81"/>
    <w:rsid w:val="00496DBF"/>
    <w:rsid w:val="00496EC1"/>
    <w:rsid w:val="00496EC6"/>
    <w:rsid w:val="00496EE9"/>
    <w:rsid w:val="00496FC9"/>
    <w:rsid w:val="00496FDF"/>
    <w:rsid w:val="0049706B"/>
    <w:rsid w:val="00497135"/>
    <w:rsid w:val="0049725F"/>
    <w:rsid w:val="00497347"/>
    <w:rsid w:val="004974E2"/>
    <w:rsid w:val="004975A0"/>
    <w:rsid w:val="004975DA"/>
    <w:rsid w:val="00497623"/>
    <w:rsid w:val="00497671"/>
    <w:rsid w:val="0049768C"/>
    <w:rsid w:val="00497693"/>
    <w:rsid w:val="0049776F"/>
    <w:rsid w:val="00497803"/>
    <w:rsid w:val="0049799D"/>
    <w:rsid w:val="00497B73"/>
    <w:rsid w:val="00497B7C"/>
    <w:rsid w:val="00497BDA"/>
    <w:rsid w:val="00497C9E"/>
    <w:rsid w:val="00497CA0"/>
    <w:rsid w:val="00497F59"/>
    <w:rsid w:val="00497FA6"/>
    <w:rsid w:val="004A0083"/>
    <w:rsid w:val="004A00AB"/>
    <w:rsid w:val="004A00DD"/>
    <w:rsid w:val="004A011F"/>
    <w:rsid w:val="004A0336"/>
    <w:rsid w:val="004A03A6"/>
    <w:rsid w:val="004A03BB"/>
    <w:rsid w:val="004A0448"/>
    <w:rsid w:val="004A045C"/>
    <w:rsid w:val="004A0471"/>
    <w:rsid w:val="004A0604"/>
    <w:rsid w:val="004A083B"/>
    <w:rsid w:val="004A0968"/>
    <w:rsid w:val="004A096B"/>
    <w:rsid w:val="004A09E6"/>
    <w:rsid w:val="004A0A75"/>
    <w:rsid w:val="004A0A79"/>
    <w:rsid w:val="004A0ACC"/>
    <w:rsid w:val="004A0C3C"/>
    <w:rsid w:val="004A0CE2"/>
    <w:rsid w:val="004A0D9A"/>
    <w:rsid w:val="004A0DBA"/>
    <w:rsid w:val="004A0EBC"/>
    <w:rsid w:val="004A0F17"/>
    <w:rsid w:val="004A0F1E"/>
    <w:rsid w:val="004A1325"/>
    <w:rsid w:val="004A139B"/>
    <w:rsid w:val="004A159E"/>
    <w:rsid w:val="004A15D3"/>
    <w:rsid w:val="004A15E1"/>
    <w:rsid w:val="004A17EB"/>
    <w:rsid w:val="004A1951"/>
    <w:rsid w:val="004A1979"/>
    <w:rsid w:val="004A1AC5"/>
    <w:rsid w:val="004A1B65"/>
    <w:rsid w:val="004A1CBC"/>
    <w:rsid w:val="004A1D94"/>
    <w:rsid w:val="004A1E53"/>
    <w:rsid w:val="004A1F0D"/>
    <w:rsid w:val="004A1F49"/>
    <w:rsid w:val="004A200E"/>
    <w:rsid w:val="004A211E"/>
    <w:rsid w:val="004A21AB"/>
    <w:rsid w:val="004A21AD"/>
    <w:rsid w:val="004A21AE"/>
    <w:rsid w:val="004A2351"/>
    <w:rsid w:val="004A2372"/>
    <w:rsid w:val="004A24A3"/>
    <w:rsid w:val="004A24C7"/>
    <w:rsid w:val="004A26EF"/>
    <w:rsid w:val="004A273D"/>
    <w:rsid w:val="004A2780"/>
    <w:rsid w:val="004A283D"/>
    <w:rsid w:val="004A29C2"/>
    <w:rsid w:val="004A2B8E"/>
    <w:rsid w:val="004A2C1D"/>
    <w:rsid w:val="004A2D53"/>
    <w:rsid w:val="004A2F90"/>
    <w:rsid w:val="004A2F94"/>
    <w:rsid w:val="004A305E"/>
    <w:rsid w:val="004A311B"/>
    <w:rsid w:val="004A3170"/>
    <w:rsid w:val="004A31D8"/>
    <w:rsid w:val="004A3481"/>
    <w:rsid w:val="004A34A2"/>
    <w:rsid w:val="004A3639"/>
    <w:rsid w:val="004A3663"/>
    <w:rsid w:val="004A36CB"/>
    <w:rsid w:val="004A36EA"/>
    <w:rsid w:val="004A384F"/>
    <w:rsid w:val="004A38AB"/>
    <w:rsid w:val="004A390A"/>
    <w:rsid w:val="004A3913"/>
    <w:rsid w:val="004A392D"/>
    <w:rsid w:val="004A39AC"/>
    <w:rsid w:val="004A3A01"/>
    <w:rsid w:val="004A3C57"/>
    <w:rsid w:val="004A3C5E"/>
    <w:rsid w:val="004A3CD5"/>
    <w:rsid w:val="004A3CFA"/>
    <w:rsid w:val="004A3E5B"/>
    <w:rsid w:val="004A3E62"/>
    <w:rsid w:val="004A3E99"/>
    <w:rsid w:val="004A3ED8"/>
    <w:rsid w:val="004A3EDC"/>
    <w:rsid w:val="004A3EEB"/>
    <w:rsid w:val="004A3EF9"/>
    <w:rsid w:val="004A3F61"/>
    <w:rsid w:val="004A4360"/>
    <w:rsid w:val="004A4394"/>
    <w:rsid w:val="004A43D7"/>
    <w:rsid w:val="004A44DD"/>
    <w:rsid w:val="004A44E3"/>
    <w:rsid w:val="004A4650"/>
    <w:rsid w:val="004A477C"/>
    <w:rsid w:val="004A4854"/>
    <w:rsid w:val="004A4880"/>
    <w:rsid w:val="004A49CF"/>
    <w:rsid w:val="004A4B0E"/>
    <w:rsid w:val="004A4B29"/>
    <w:rsid w:val="004A4BD9"/>
    <w:rsid w:val="004A4C77"/>
    <w:rsid w:val="004A4D14"/>
    <w:rsid w:val="004A4D4F"/>
    <w:rsid w:val="004A4D8D"/>
    <w:rsid w:val="004A4DDF"/>
    <w:rsid w:val="004A4F26"/>
    <w:rsid w:val="004A4F74"/>
    <w:rsid w:val="004A4FE7"/>
    <w:rsid w:val="004A50F2"/>
    <w:rsid w:val="004A510C"/>
    <w:rsid w:val="004A516A"/>
    <w:rsid w:val="004A51E2"/>
    <w:rsid w:val="004A5289"/>
    <w:rsid w:val="004A5314"/>
    <w:rsid w:val="004A536F"/>
    <w:rsid w:val="004A539B"/>
    <w:rsid w:val="004A53C1"/>
    <w:rsid w:val="004A5553"/>
    <w:rsid w:val="004A559C"/>
    <w:rsid w:val="004A55D0"/>
    <w:rsid w:val="004A562C"/>
    <w:rsid w:val="004A5672"/>
    <w:rsid w:val="004A581D"/>
    <w:rsid w:val="004A5855"/>
    <w:rsid w:val="004A5893"/>
    <w:rsid w:val="004A589A"/>
    <w:rsid w:val="004A58EA"/>
    <w:rsid w:val="004A5939"/>
    <w:rsid w:val="004A595C"/>
    <w:rsid w:val="004A5A64"/>
    <w:rsid w:val="004A5AAC"/>
    <w:rsid w:val="004A5AF0"/>
    <w:rsid w:val="004A5BC6"/>
    <w:rsid w:val="004A5E83"/>
    <w:rsid w:val="004A5ED8"/>
    <w:rsid w:val="004A5F38"/>
    <w:rsid w:val="004A5F9B"/>
    <w:rsid w:val="004A5FEC"/>
    <w:rsid w:val="004A6000"/>
    <w:rsid w:val="004A6003"/>
    <w:rsid w:val="004A6077"/>
    <w:rsid w:val="004A618B"/>
    <w:rsid w:val="004A61EA"/>
    <w:rsid w:val="004A6224"/>
    <w:rsid w:val="004A632D"/>
    <w:rsid w:val="004A6330"/>
    <w:rsid w:val="004A6332"/>
    <w:rsid w:val="004A6450"/>
    <w:rsid w:val="004A65FA"/>
    <w:rsid w:val="004A6610"/>
    <w:rsid w:val="004A6638"/>
    <w:rsid w:val="004A6665"/>
    <w:rsid w:val="004A67B5"/>
    <w:rsid w:val="004A686C"/>
    <w:rsid w:val="004A69AC"/>
    <w:rsid w:val="004A6A35"/>
    <w:rsid w:val="004A6C43"/>
    <w:rsid w:val="004A6C60"/>
    <w:rsid w:val="004A6CA0"/>
    <w:rsid w:val="004A6CBC"/>
    <w:rsid w:val="004A6ED0"/>
    <w:rsid w:val="004A6ED9"/>
    <w:rsid w:val="004A6EF0"/>
    <w:rsid w:val="004A6FEC"/>
    <w:rsid w:val="004A7017"/>
    <w:rsid w:val="004A7064"/>
    <w:rsid w:val="004A7096"/>
    <w:rsid w:val="004A71A5"/>
    <w:rsid w:val="004A71BA"/>
    <w:rsid w:val="004A720E"/>
    <w:rsid w:val="004A7227"/>
    <w:rsid w:val="004A72A9"/>
    <w:rsid w:val="004A72F8"/>
    <w:rsid w:val="004A7452"/>
    <w:rsid w:val="004A7533"/>
    <w:rsid w:val="004A7611"/>
    <w:rsid w:val="004A762D"/>
    <w:rsid w:val="004A7661"/>
    <w:rsid w:val="004A76A5"/>
    <w:rsid w:val="004A76FA"/>
    <w:rsid w:val="004A771C"/>
    <w:rsid w:val="004A7854"/>
    <w:rsid w:val="004A78CD"/>
    <w:rsid w:val="004A7A7F"/>
    <w:rsid w:val="004A7AD2"/>
    <w:rsid w:val="004A7C56"/>
    <w:rsid w:val="004A7CE4"/>
    <w:rsid w:val="004A7DF5"/>
    <w:rsid w:val="004A7E5A"/>
    <w:rsid w:val="004A7E80"/>
    <w:rsid w:val="004A7FEA"/>
    <w:rsid w:val="004B004D"/>
    <w:rsid w:val="004B0186"/>
    <w:rsid w:val="004B021E"/>
    <w:rsid w:val="004B023E"/>
    <w:rsid w:val="004B0291"/>
    <w:rsid w:val="004B0367"/>
    <w:rsid w:val="004B037D"/>
    <w:rsid w:val="004B04AF"/>
    <w:rsid w:val="004B053B"/>
    <w:rsid w:val="004B058C"/>
    <w:rsid w:val="004B0755"/>
    <w:rsid w:val="004B0767"/>
    <w:rsid w:val="004B0879"/>
    <w:rsid w:val="004B0945"/>
    <w:rsid w:val="004B0947"/>
    <w:rsid w:val="004B0A8E"/>
    <w:rsid w:val="004B0B24"/>
    <w:rsid w:val="004B0BBF"/>
    <w:rsid w:val="004B0BD5"/>
    <w:rsid w:val="004B0D55"/>
    <w:rsid w:val="004B0D73"/>
    <w:rsid w:val="004B0D8C"/>
    <w:rsid w:val="004B0E37"/>
    <w:rsid w:val="004B0F66"/>
    <w:rsid w:val="004B0F72"/>
    <w:rsid w:val="004B10B4"/>
    <w:rsid w:val="004B10EF"/>
    <w:rsid w:val="004B12A7"/>
    <w:rsid w:val="004B1422"/>
    <w:rsid w:val="004B149F"/>
    <w:rsid w:val="004B14B9"/>
    <w:rsid w:val="004B1591"/>
    <w:rsid w:val="004B15C3"/>
    <w:rsid w:val="004B15DC"/>
    <w:rsid w:val="004B15ED"/>
    <w:rsid w:val="004B15F9"/>
    <w:rsid w:val="004B163F"/>
    <w:rsid w:val="004B1647"/>
    <w:rsid w:val="004B16A2"/>
    <w:rsid w:val="004B1797"/>
    <w:rsid w:val="004B1828"/>
    <w:rsid w:val="004B183E"/>
    <w:rsid w:val="004B1899"/>
    <w:rsid w:val="004B18DE"/>
    <w:rsid w:val="004B19E5"/>
    <w:rsid w:val="004B1A44"/>
    <w:rsid w:val="004B1AE2"/>
    <w:rsid w:val="004B1B4B"/>
    <w:rsid w:val="004B2009"/>
    <w:rsid w:val="004B21C3"/>
    <w:rsid w:val="004B21DB"/>
    <w:rsid w:val="004B2220"/>
    <w:rsid w:val="004B2285"/>
    <w:rsid w:val="004B2423"/>
    <w:rsid w:val="004B242F"/>
    <w:rsid w:val="004B24DB"/>
    <w:rsid w:val="004B2529"/>
    <w:rsid w:val="004B259F"/>
    <w:rsid w:val="004B2644"/>
    <w:rsid w:val="004B2657"/>
    <w:rsid w:val="004B265B"/>
    <w:rsid w:val="004B284D"/>
    <w:rsid w:val="004B28CC"/>
    <w:rsid w:val="004B2935"/>
    <w:rsid w:val="004B29A3"/>
    <w:rsid w:val="004B29C2"/>
    <w:rsid w:val="004B29FF"/>
    <w:rsid w:val="004B2A0F"/>
    <w:rsid w:val="004B2B07"/>
    <w:rsid w:val="004B2B2D"/>
    <w:rsid w:val="004B2D5D"/>
    <w:rsid w:val="004B2E5E"/>
    <w:rsid w:val="004B2F0C"/>
    <w:rsid w:val="004B2F46"/>
    <w:rsid w:val="004B2F4A"/>
    <w:rsid w:val="004B30D0"/>
    <w:rsid w:val="004B3170"/>
    <w:rsid w:val="004B3241"/>
    <w:rsid w:val="004B3264"/>
    <w:rsid w:val="004B35A1"/>
    <w:rsid w:val="004B35EB"/>
    <w:rsid w:val="004B3864"/>
    <w:rsid w:val="004B395E"/>
    <w:rsid w:val="004B397D"/>
    <w:rsid w:val="004B398D"/>
    <w:rsid w:val="004B3A6B"/>
    <w:rsid w:val="004B3AD2"/>
    <w:rsid w:val="004B3AD5"/>
    <w:rsid w:val="004B3B04"/>
    <w:rsid w:val="004B3BF9"/>
    <w:rsid w:val="004B3CC6"/>
    <w:rsid w:val="004B3D42"/>
    <w:rsid w:val="004B3D6B"/>
    <w:rsid w:val="004B3E38"/>
    <w:rsid w:val="004B3E80"/>
    <w:rsid w:val="004B3E85"/>
    <w:rsid w:val="004B3F08"/>
    <w:rsid w:val="004B3FA5"/>
    <w:rsid w:val="004B3FF0"/>
    <w:rsid w:val="004B400A"/>
    <w:rsid w:val="004B4130"/>
    <w:rsid w:val="004B420D"/>
    <w:rsid w:val="004B42A4"/>
    <w:rsid w:val="004B432B"/>
    <w:rsid w:val="004B439D"/>
    <w:rsid w:val="004B43AB"/>
    <w:rsid w:val="004B440B"/>
    <w:rsid w:val="004B445F"/>
    <w:rsid w:val="004B44F9"/>
    <w:rsid w:val="004B45BA"/>
    <w:rsid w:val="004B4624"/>
    <w:rsid w:val="004B4639"/>
    <w:rsid w:val="004B467C"/>
    <w:rsid w:val="004B48D7"/>
    <w:rsid w:val="004B4AF2"/>
    <w:rsid w:val="004B4B06"/>
    <w:rsid w:val="004B4C12"/>
    <w:rsid w:val="004B4D14"/>
    <w:rsid w:val="004B4E39"/>
    <w:rsid w:val="004B4E81"/>
    <w:rsid w:val="004B5087"/>
    <w:rsid w:val="004B546A"/>
    <w:rsid w:val="004B548D"/>
    <w:rsid w:val="004B5549"/>
    <w:rsid w:val="004B55BE"/>
    <w:rsid w:val="004B56C6"/>
    <w:rsid w:val="004B57AF"/>
    <w:rsid w:val="004B5947"/>
    <w:rsid w:val="004B59F3"/>
    <w:rsid w:val="004B5A19"/>
    <w:rsid w:val="004B5B2F"/>
    <w:rsid w:val="004B5B3A"/>
    <w:rsid w:val="004B5B4A"/>
    <w:rsid w:val="004B5D0E"/>
    <w:rsid w:val="004B5DCF"/>
    <w:rsid w:val="004B5DDF"/>
    <w:rsid w:val="004B5E03"/>
    <w:rsid w:val="004B5F27"/>
    <w:rsid w:val="004B604B"/>
    <w:rsid w:val="004B60AA"/>
    <w:rsid w:val="004B6150"/>
    <w:rsid w:val="004B615C"/>
    <w:rsid w:val="004B61E4"/>
    <w:rsid w:val="004B62B1"/>
    <w:rsid w:val="004B62CD"/>
    <w:rsid w:val="004B633D"/>
    <w:rsid w:val="004B6497"/>
    <w:rsid w:val="004B6614"/>
    <w:rsid w:val="004B6791"/>
    <w:rsid w:val="004B67C3"/>
    <w:rsid w:val="004B67F7"/>
    <w:rsid w:val="004B68AB"/>
    <w:rsid w:val="004B69E6"/>
    <w:rsid w:val="004B6A42"/>
    <w:rsid w:val="004B6A8B"/>
    <w:rsid w:val="004B6ABC"/>
    <w:rsid w:val="004B6B0C"/>
    <w:rsid w:val="004B6BEB"/>
    <w:rsid w:val="004B6C20"/>
    <w:rsid w:val="004B6C2C"/>
    <w:rsid w:val="004B6CFA"/>
    <w:rsid w:val="004B6DEC"/>
    <w:rsid w:val="004B6EBF"/>
    <w:rsid w:val="004B6F3B"/>
    <w:rsid w:val="004B6F6B"/>
    <w:rsid w:val="004B6F8C"/>
    <w:rsid w:val="004B6F92"/>
    <w:rsid w:val="004B6FDD"/>
    <w:rsid w:val="004B6FDE"/>
    <w:rsid w:val="004B70AE"/>
    <w:rsid w:val="004B7122"/>
    <w:rsid w:val="004B7142"/>
    <w:rsid w:val="004B7173"/>
    <w:rsid w:val="004B720E"/>
    <w:rsid w:val="004B72CB"/>
    <w:rsid w:val="004B735A"/>
    <w:rsid w:val="004B7388"/>
    <w:rsid w:val="004B73DB"/>
    <w:rsid w:val="004B7438"/>
    <w:rsid w:val="004B7447"/>
    <w:rsid w:val="004B744D"/>
    <w:rsid w:val="004B7482"/>
    <w:rsid w:val="004B7499"/>
    <w:rsid w:val="004B74CE"/>
    <w:rsid w:val="004B7695"/>
    <w:rsid w:val="004B76CB"/>
    <w:rsid w:val="004B76DF"/>
    <w:rsid w:val="004B7746"/>
    <w:rsid w:val="004B77EF"/>
    <w:rsid w:val="004B7816"/>
    <w:rsid w:val="004B797F"/>
    <w:rsid w:val="004B79CA"/>
    <w:rsid w:val="004B79FB"/>
    <w:rsid w:val="004B79FD"/>
    <w:rsid w:val="004B7A11"/>
    <w:rsid w:val="004B7A81"/>
    <w:rsid w:val="004B7B8C"/>
    <w:rsid w:val="004B7BF1"/>
    <w:rsid w:val="004B7C04"/>
    <w:rsid w:val="004B7CBB"/>
    <w:rsid w:val="004B7CF2"/>
    <w:rsid w:val="004B7D3B"/>
    <w:rsid w:val="004B7D44"/>
    <w:rsid w:val="004B7E0B"/>
    <w:rsid w:val="004B7EB6"/>
    <w:rsid w:val="004B7F5E"/>
    <w:rsid w:val="004C00D2"/>
    <w:rsid w:val="004C0108"/>
    <w:rsid w:val="004C011F"/>
    <w:rsid w:val="004C01B9"/>
    <w:rsid w:val="004C02C1"/>
    <w:rsid w:val="004C02D2"/>
    <w:rsid w:val="004C03A0"/>
    <w:rsid w:val="004C0413"/>
    <w:rsid w:val="004C0414"/>
    <w:rsid w:val="004C0496"/>
    <w:rsid w:val="004C057C"/>
    <w:rsid w:val="004C06D0"/>
    <w:rsid w:val="004C08C7"/>
    <w:rsid w:val="004C092E"/>
    <w:rsid w:val="004C093E"/>
    <w:rsid w:val="004C099A"/>
    <w:rsid w:val="004C09AC"/>
    <w:rsid w:val="004C0A8A"/>
    <w:rsid w:val="004C0AF6"/>
    <w:rsid w:val="004C0B1B"/>
    <w:rsid w:val="004C0C4D"/>
    <w:rsid w:val="004C0D23"/>
    <w:rsid w:val="004C0D9C"/>
    <w:rsid w:val="004C0DDE"/>
    <w:rsid w:val="004C0F2E"/>
    <w:rsid w:val="004C0F68"/>
    <w:rsid w:val="004C1069"/>
    <w:rsid w:val="004C13CA"/>
    <w:rsid w:val="004C1547"/>
    <w:rsid w:val="004C164D"/>
    <w:rsid w:val="004C1701"/>
    <w:rsid w:val="004C171E"/>
    <w:rsid w:val="004C17BE"/>
    <w:rsid w:val="004C17FE"/>
    <w:rsid w:val="004C1808"/>
    <w:rsid w:val="004C18F8"/>
    <w:rsid w:val="004C19A3"/>
    <w:rsid w:val="004C19EE"/>
    <w:rsid w:val="004C19F3"/>
    <w:rsid w:val="004C1ABA"/>
    <w:rsid w:val="004C1B82"/>
    <w:rsid w:val="004C1BB7"/>
    <w:rsid w:val="004C1C41"/>
    <w:rsid w:val="004C1C89"/>
    <w:rsid w:val="004C1CB9"/>
    <w:rsid w:val="004C1D65"/>
    <w:rsid w:val="004C1E3F"/>
    <w:rsid w:val="004C1E97"/>
    <w:rsid w:val="004C1ECC"/>
    <w:rsid w:val="004C1F14"/>
    <w:rsid w:val="004C1F3E"/>
    <w:rsid w:val="004C2175"/>
    <w:rsid w:val="004C219A"/>
    <w:rsid w:val="004C2301"/>
    <w:rsid w:val="004C23B9"/>
    <w:rsid w:val="004C24FC"/>
    <w:rsid w:val="004C24FE"/>
    <w:rsid w:val="004C255C"/>
    <w:rsid w:val="004C25C2"/>
    <w:rsid w:val="004C278B"/>
    <w:rsid w:val="004C27FE"/>
    <w:rsid w:val="004C285B"/>
    <w:rsid w:val="004C2899"/>
    <w:rsid w:val="004C28D3"/>
    <w:rsid w:val="004C2916"/>
    <w:rsid w:val="004C2922"/>
    <w:rsid w:val="004C295C"/>
    <w:rsid w:val="004C2980"/>
    <w:rsid w:val="004C299A"/>
    <w:rsid w:val="004C2A2C"/>
    <w:rsid w:val="004C2B51"/>
    <w:rsid w:val="004C2CA0"/>
    <w:rsid w:val="004C2E51"/>
    <w:rsid w:val="004C2F1A"/>
    <w:rsid w:val="004C2F31"/>
    <w:rsid w:val="004C301F"/>
    <w:rsid w:val="004C306C"/>
    <w:rsid w:val="004C30E6"/>
    <w:rsid w:val="004C3116"/>
    <w:rsid w:val="004C32DA"/>
    <w:rsid w:val="004C3430"/>
    <w:rsid w:val="004C34F8"/>
    <w:rsid w:val="004C3591"/>
    <w:rsid w:val="004C35BA"/>
    <w:rsid w:val="004C35DF"/>
    <w:rsid w:val="004C3804"/>
    <w:rsid w:val="004C38B3"/>
    <w:rsid w:val="004C3A9F"/>
    <w:rsid w:val="004C3AFA"/>
    <w:rsid w:val="004C3CFC"/>
    <w:rsid w:val="004C3D48"/>
    <w:rsid w:val="004C3D61"/>
    <w:rsid w:val="004C3DA6"/>
    <w:rsid w:val="004C3E03"/>
    <w:rsid w:val="004C3FD7"/>
    <w:rsid w:val="004C3FE4"/>
    <w:rsid w:val="004C4022"/>
    <w:rsid w:val="004C413D"/>
    <w:rsid w:val="004C41AF"/>
    <w:rsid w:val="004C41B4"/>
    <w:rsid w:val="004C41DC"/>
    <w:rsid w:val="004C4280"/>
    <w:rsid w:val="004C4330"/>
    <w:rsid w:val="004C463F"/>
    <w:rsid w:val="004C4686"/>
    <w:rsid w:val="004C46E6"/>
    <w:rsid w:val="004C4825"/>
    <w:rsid w:val="004C4870"/>
    <w:rsid w:val="004C4884"/>
    <w:rsid w:val="004C4892"/>
    <w:rsid w:val="004C4918"/>
    <w:rsid w:val="004C4938"/>
    <w:rsid w:val="004C4940"/>
    <w:rsid w:val="004C4AC1"/>
    <w:rsid w:val="004C4B33"/>
    <w:rsid w:val="004C4B75"/>
    <w:rsid w:val="004C4BCA"/>
    <w:rsid w:val="004C4D52"/>
    <w:rsid w:val="004C4F95"/>
    <w:rsid w:val="004C4FC2"/>
    <w:rsid w:val="004C4FFA"/>
    <w:rsid w:val="004C515F"/>
    <w:rsid w:val="004C5199"/>
    <w:rsid w:val="004C529B"/>
    <w:rsid w:val="004C5347"/>
    <w:rsid w:val="004C5354"/>
    <w:rsid w:val="004C5410"/>
    <w:rsid w:val="004C545D"/>
    <w:rsid w:val="004C546C"/>
    <w:rsid w:val="004C5616"/>
    <w:rsid w:val="004C5629"/>
    <w:rsid w:val="004C574A"/>
    <w:rsid w:val="004C5759"/>
    <w:rsid w:val="004C5805"/>
    <w:rsid w:val="004C5859"/>
    <w:rsid w:val="004C58D9"/>
    <w:rsid w:val="004C59C5"/>
    <w:rsid w:val="004C59DF"/>
    <w:rsid w:val="004C59EB"/>
    <w:rsid w:val="004C5B65"/>
    <w:rsid w:val="004C5D42"/>
    <w:rsid w:val="004C5D91"/>
    <w:rsid w:val="004C5EF7"/>
    <w:rsid w:val="004C5F24"/>
    <w:rsid w:val="004C5F37"/>
    <w:rsid w:val="004C5F93"/>
    <w:rsid w:val="004C6054"/>
    <w:rsid w:val="004C606D"/>
    <w:rsid w:val="004C60ED"/>
    <w:rsid w:val="004C6138"/>
    <w:rsid w:val="004C6187"/>
    <w:rsid w:val="004C645F"/>
    <w:rsid w:val="004C64F8"/>
    <w:rsid w:val="004C652A"/>
    <w:rsid w:val="004C65A3"/>
    <w:rsid w:val="004C6621"/>
    <w:rsid w:val="004C6633"/>
    <w:rsid w:val="004C66F2"/>
    <w:rsid w:val="004C6866"/>
    <w:rsid w:val="004C68B9"/>
    <w:rsid w:val="004C68D7"/>
    <w:rsid w:val="004C6A18"/>
    <w:rsid w:val="004C6AFC"/>
    <w:rsid w:val="004C6C0A"/>
    <w:rsid w:val="004C6C2B"/>
    <w:rsid w:val="004C6C97"/>
    <w:rsid w:val="004C6CD7"/>
    <w:rsid w:val="004C6DEC"/>
    <w:rsid w:val="004C6E05"/>
    <w:rsid w:val="004C6F47"/>
    <w:rsid w:val="004C7009"/>
    <w:rsid w:val="004C7135"/>
    <w:rsid w:val="004C72A0"/>
    <w:rsid w:val="004C73E6"/>
    <w:rsid w:val="004C7494"/>
    <w:rsid w:val="004C74D4"/>
    <w:rsid w:val="004C7654"/>
    <w:rsid w:val="004C767D"/>
    <w:rsid w:val="004C7781"/>
    <w:rsid w:val="004C77D7"/>
    <w:rsid w:val="004C7927"/>
    <w:rsid w:val="004C79E3"/>
    <w:rsid w:val="004C7BA0"/>
    <w:rsid w:val="004C7C54"/>
    <w:rsid w:val="004C7D2B"/>
    <w:rsid w:val="004C7D45"/>
    <w:rsid w:val="004C7DA9"/>
    <w:rsid w:val="004D0011"/>
    <w:rsid w:val="004D0019"/>
    <w:rsid w:val="004D00A1"/>
    <w:rsid w:val="004D01BD"/>
    <w:rsid w:val="004D01D7"/>
    <w:rsid w:val="004D01FE"/>
    <w:rsid w:val="004D03DC"/>
    <w:rsid w:val="004D0434"/>
    <w:rsid w:val="004D043E"/>
    <w:rsid w:val="004D0478"/>
    <w:rsid w:val="004D04C8"/>
    <w:rsid w:val="004D04D7"/>
    <w:rsid w:val="004D0703"/>
    <w:rsid w:val="004D0734"/>
    <w:rsid w:val="004D07DD"/>
    <w:rsid w:val="004D0830"/>
    <w:rsid w:val="004D0B32"/>
    <w:rsid w:val="004D0B94"/>
    <w:rsid w:val="004D0C5F"/>
    <w:rsid w:val="004D0CBF"/>
    <w:rsid w:val="004D0D02"/>
    <w:rsid w:val="004D0D19"/>
    <w:rsid w:val="004D0E1E"/>
    <w:rsid w:val="004D0EEF"/>
    <w:rsid w:val="004D1013"/>
    <w:rsid w:val="004D1031"/>
    <w:rsid w:val="004D10F9"/>
    <w:rsid w:val="004D11E8"/>
    <w:rsid w:val="004D1291"/>
    <w:rsid w:val="004D13A8"/>
    <w:rsid w:val="004D14C9"/>
    <w:rsid w:val="004D1504"/>
    <w:rsid w:val="004D1602"/>
    <w:rsid w:val="004D16D7"/>
    <w:rsid w:val="004D174F"/>
    <w:rsid w:val="004D1765"/>
    <w:rsid w:val="004D1823"/>
    <w:rsid w:val="004D18D0"/>
    <w:rsid w:val="004D1919"/>
    <w:rsid w:val="004D1AE7"/>
    <w:rsid w:val="004D1CEC"/>
    <w:rsid w:val="004D1D2A"/>
    <w:rsid w:val="004D1D54"/>
    <w:rsid w:val="004D1DED"/>
    <w:rsid w:val="004D1E0B"/>
    <w:rsid w:val="004D1E58"/>
    <w:rsid w:val="004D1EB2"/>
    <w:rsid w:val="004D1FDC"/>
    <w:rsid w:val="004D2090"/>
    <w:rsid w:val="004D20D7"/>
    <w:rsid w:val="004D2101"/>
    <w:rsid w:val="004D2180"/>
    <w:rsid w:val="004D23B3"/>
    <w:rsid w:val="004D24A7"/>
    <w:rsid w:val="004D24CC"/>
    <w:rsid w:val="004D24FB"/>
    <w:rsid w:val="004D2520"/>
    <w:rsid w:val="004D253C"/>
    <w:rsid w:val="004D294A"/>
    <w:rsid w:val="004D29F0"/>
    <w:rsid w:val="004D2A2F"/>
    <w:rsid w:val="004D2AF7"/>
    <w:rsid w:val="004D2C71"/>
    <w:rsid w:val="004D2D3B"/>
    <w:rsid w:val="004D2D93"/>
    <w:rsid w:val="004D2DF5"/>
    <w:rsid w:val="004D2E19"/>
    <w:rsid w:val="004D2EEB"/>
    <w:rsid w:val="004D2F16"/>
    <w:rsid w:val="004D2F26"/>
    <w:rsid w:val="004D2FCC"/>
    <w:rsid w:val="004D3066"/>
    <w:rsid w:val="004D3096"/>
    <w:rsid w:val="004D30DF"/>
    <w:rsid w:val="004D3340"/>
    <w:rsid w:val="004D3384"/>
    <w:rsid w:val="004D34D1"/>
    <w:rsid w:val="004D34F1"/>
    <w:rsid w:val="004D36C9"/>
    <w:rsid w:val="004D36D5"/>
    <w:rsid w:val="004D37B5"/>
    <w:rsid w:val="004D37E3"/>
    <w:rsid w:val="004D3807"/>
    <w:rsid w:val="004D380B"/>
    <w:rsid w:val="004D385F"/>
    <w:rsid w:val="004D38C1"/>
    <w:rsid w:val="004D38E1"/>
    <w:rsid w:val="004D39A0"/>
    <w:rsid w:val="004D3A08"/>
    <w:rsid w:val="004D3A28"/>
    <w:rsid w:val="004D3B3C"/>
    <w:rsid w:val="004D3B86"/>
    <w:rsid w:val="004D3D8E"/>
    <w:rsid w:val="004D3DA4"/>
    <w:rsid w:val="004D4051"/>
    <w:rsid w:val="004D40A0"/>
    <w:rsid w:val="004D40AC"/>
    <w:rsid w:val="004D410A"/>
    <w:rsid w:val="004D429A"/>
    <w:rsid w:val="004D42AB"/>
    <w:rsid w:val="004D454C"/>
    <w:rsid w:val="004D45CD"/>
    <w:rsid w:val="004D4662"/>
    <w:rsid w:val="004D4698"/>
    <w:rsid w:val="004D4776"/>
    <w:rsid w:val="004D47AD"/>
    <w:rsid w:val="004D47DF"/>
    <w:rsid w:val="004D4994"/>
    <w:rsid w:val="004D49BA"/>
    <w:rsid w:val="004D4A9E"/>
    <w:rsid w:val="004D4C6F"/>
    <w:rsid w:val="004D4CF3"/>
    <w:rsid w:val="004D4D27"/>
    <w:rsid w:val="004D4DB6"/>
    <w:rsid w:val="004D4E33"/>
    <w:rsid w:val="004D50B9"/>
    <w:rsid w:val="004D51DF"/>
    <w:rsid w:val="004D5229"/>
    <w:rsid w:val="004D52EF"/>
    <w:rsid w:val="004D5487"/>
    <w:rsid w:val="004D54B0"/>
    <w:rsid w:val="004D54B3"/>
    <w:rsid w:val="004D54CC"/>
    <w:rsid w:val="004D5593"/>
    <w:rsid w:val="004D55CC"/>
    <w:rsid w:val="004D56A6"/>
    <w:rsid w:val="004D5743"/>
    <w:rsid w:val="004D581F"/>
    <w:rsid w:val="004D586A"/>
    <w:rsid w:val="004D58BA"/>
    <w:rsid w:val="004D58F1"/>
    <w:rsid w:val="004D592D"/>
    <w:rsid w:val="004D5953"/>
    <w:rsid w:val="004D59A3"/>
    <w:rsid w:val="004D59B9"/>
    <w:rsid w:val="004D5B3D"/>
    <w:rsid w:val="004D5B65"/>
    <w:rsid w:val="004D5B72"/>
    <w:rsid w:val="004D5C05"/>
    <w:rsid w:val="004D5C7F"/>
    <w:rsid w:val="004D5C86"/>
    <w:rsid w:val="004D5C92"/>
    <w:rsid w:val="004D5D18"/>
    <w:rsid w:val="004D5E6D"/>
    <w:rsid w:val="004D5E95"/>
    <w:rsid w:val="004D5EE7"/>
    <w:rsid w:val="004D600D"/>
    <w:rsid w:val="004D6125"/>
    <w:rsid w:val="004D61C3"/>
    <w:rsid w:val="004D62D9"/>
    <w:rsid w:val="004D6389"/>
    <w:rsid w:val="004D6408"/>
    <w:rsid w:val="004D646E"/>
    <w:rsid w:val="004D647F"/>
    <w:rsid w:val="004D64A7"/>
    <w:rsid w:val="004D6611"/>
    <w:rsid w:val="004D6692"/>
    <w:rsid w:val="004D675C"/>
    <w:rsid w:val="004D6796"/>
    <w:rsid w:val="004D682B"/>
    <w:rsid w:val="004D689C"/>
    <w:rsid w:val="004D68E3"/>
    <w:rsid w:val="004D6907"/>
    <w:rsid w:val="004D6959"/>
    <w:rsid w:val="004D6A23"/>
    <w:rsid w:val="004D6A38"/>
    <w:rsid w:val="004D6AA4"/>
    <w:rsid w:val="004D6CE7"/>
    <w:rsid w:val="004D6D4E"/>
    <w:rsid w:val="004D6DA7"/>
    <w:rsid w:val="004D6E20"/>
    <w:rsid w:val="004D6EED"/>
    <w:rsid w:val="004D6F8F"/>
    <w:rsid w:val="004D7134"/>
    <w:rsid w:val="004D715B"/>
    <w:rsid w:val="004D717F"/>
    <w:rsid w:val="004D71AB"/>
    <w:rsid w:val="004D7395"/>
    <w:rsid w:val="004D7436"/>
    <w:rsid w:val="004D74E6"/>
    <w:rsid w:val="004D74FC"/>
    <w:rsid w:val="004D7520"/>
    <w:rsid w:val="004D78C0"/>
    <w:rsid w:val="004D7999"/>
    <w:rsid w:val="004D79FB"/>
    <w:rsid w:val="004D7A24"/>
    <w:rsid w:val="004D7A3C"/>
    <w:rsid w:val="004D7A43"/>
    <w:rsid w:val="004D7B19"/>
    <w:rsid w:val="004D7B3B"/>
    <w:rsid w:val="004D7BB1"/>
    <w:rsid w:val="004D7C3F"/>
    <w:rsid w:val="004D7C51"/>
    <w:rsid w:val="004D7D95"/>
    <w:rsid w:val="004D7E28"/>
    <w:rsid w:val="004D7FF1"/>
    <w:rsid w:val="004E0057"/>
    <w:rsid w:val="004E005C"/>
    <w:rsid w:val="004E00A3"/>
    <w:rsid w:val="004E0168"/>
    <w:rsid w:val="004E01BD"/>
    <w:rsid w:val="004E0236"/>
    <w:rsid w:val="004E0354"/>
    <w:rsid w:val="004E03E7"/>
    <w:rsid w:val="004E040F"/>
    <w:rsid w:val="004E05B8"/>
    <w:rsid w:val="004E05D6"/>
    <w:rsid w:val="004E0601"/>
    <w:rsid w:val="004E060C"/>
    <w:rsid w:val="004E06DB"/>
    <w:rsid w:val="004E0900"/>
    <w:rsid w:val="004E0A44"/>
    <w:rsid w:val="004E0A9F"/>
    <w:rsid w:val="004E0AB1"/>
    <w:rsid w:val="004E0ACC"/>
    <w:rsid w:val="004E0B5C"/>
    <w:rsid w:val="004E0BA7"/>
    <w:rsid w:val="004E0D00"/>
    <w:rsid w:val="004E0D6C"/>
    <w:rsid w:val="004E0DDD"/>
    <w:rsid w:val="004E0E63"/>
    <w:rsid w:val="004E0EA8"/>
    <w:rsid w:val="004E0EC3"/>
    <w:rsid w:val="004E0F0A"/>
    <w:rsid w:val="004E0F43"/>
    <w:rsid w:val="004E0F73"/>
    <w:rsid w:val="004E1027"/>
    <w:rsid w:val="004E1064"/>
    <w:rsid w:val="004E12B5"/>
    <w:rsid w:val="004E1547"/>
    <w:rsid w:val="004E18B4"/>
    <w:rsid w:val="004E1955"/>
    <w:rsid w:val="004E19B3"/>
    <w:rsid w:val="004E1AA1"/>
    <w:rsid w:val="004E1B0F"/>
    <w:rsid w:val="004E1B23"/>
    <w:rsid w:val="004E1B63"/>
    <w:rsid w:val="004E1D40"/>
    <w:rsid w:val="004E1DD8"/>
    <w:rsid w:val="004E1F52"/>
    <w:rsid w:val="004E2026"/>
    <w:rsid w:val="004E20C8"/>
    <w:rsid w:val="004E20CC"/>
    <w:rsid w:val="004E2120"/>
    <w:rsid w:val="004E21AB"/>
    <w:rsid w:val="004E21CF"/>
    <w:rsid w:val="004E22F6"/>
    <w:rsid w:val="004E2320"/>
    <w:rsid w:val="004E23C3"/>
    <w:rsid w:val="004E23F5"/>
    <w:rsid w:val="004E2524"/>
    <w:rsid w:val="004E252C"/>
    <w:rsid w:val="004E25AB"/>
    <w:rsid w:val="004E25B6"/>
    <w:rsid w:val="004E25E8"/>
    <w:rsid w:val="004E26C1"/>
    <w:rsid w:val="004E26D1"/>
    <w:rsid w:val="004E2787"/>
    <w:rsid w:val="004E27AC"/>
    <w:rsid w:val="004E2802"/>
    <w:rsid w:val="004E28A5"/>
    <w:rsid w:val="004E2951"/>
    <w:rsid w:val="004E2995"/>
    <w:rsid w:val="004E29F1"/>
    <w:rsid w:val="004E2A0E"/>
    <w:rsid w:val="004E2C8A"/>
    <w:rsid w:val="004E2CBE"/>
    <w:rsid w:val="004E2D6D"/>
    <w:rsid w:val="004E2E37"/>
    <w:rsid w:val="004E2E39"/>
    <w:rsid w:val="004E2E8E"/>
    <w:rsid w:val="004E2FB0"/>
    <w:rsid w:val="004E304D"/>
    <w:rsid w:val="004E306C"/>
    <w:rsid w:val="004E329D"/>
    <w:rsid w:val="004E32EB"/>
    <w:rsid w:val="004E32EC"/>
    <w:rsid w:val="004E339E"/>
    <w:rsid w:val="004E34F6"/>
    <w:rsid w:val="004E353F"/>
    <w:rsid w:val="004E3550"/>
    <w:rsid w:val="004E355C"/>
    <w:rsid w:val="004E3572"/>
    <w:rsid w:val="004E357A"/>
    <w:rsid w:val="004E35AE"/>
    <w:rsid w:val="004E3629"/>
    <w:rsid w:val="004E3649"/>
    <w:rsid w:val="004E3757"/>
    <w:rsid w:val="004E3798"/>
    <w:rsid w:val="004E39B0"/>
    <w:rsid w:val="004E3A66"/>
    <w:rsid w:val="004E3A97"/>
    <w:rsid w:val="004E3B2F"/>
    <w:rsid w:val="004E3B97"/>
    <w:rsid w:val="004E3C21"/>
    <w:rsid w:val="004E3CE4"/>
    <w:rsid w:val="004E3EC6"/>
    <w:rsid w:val="004E3F86"/>
    <w:rsid w:val="004E3FD3"/>
    <w:rsid w:val="004E4119"/>
    <w:rsid w:val="004E413A"/>
    <w:rsid w:val="004E42DE"/>
    <w:rsid w:val="004E43A0"/>
    <w:rsid w:val="004E4400"/>
    <w:rsid w:val="004E480E"/>
    <w:rsid w:val="004E487A"/>
    <w:rsid w:val="004E487D"/>
    <w:rsid w:val="004E48B8"/>
    <w:rsid w:val="004E48BC"/>
    <w:rsid w:val="004E49EE"/>
    <w:rsid w:val="004E4A4E"/>
    <w:rsid w:val="004E4C05"/>
    <w:rsid w:val="004E4D0A"/>
    <w:rsid w:val="004E4DFD"/>
    <w:rsid w:val="004E4E1A"/>
    <w:rsid w:val="004E4E36"/>
    <w:rsid w:val="004E4EBE"/>
    <w:rsid w:val="004E4F4A"/>
    <w:rsid w:val="004E4FE2"/>
    <w:rsid w:val="004E5005"/>
    <w:rsid w:val="004E5026"/>
    <w:rsid w:val="004E5096"/>
    <w:rsid w:val="004E50BF"/>
    <w:rsid w:val="004E5100"/>
    <w:rsid w:val="004E52E2"/>
    <w:rsid w:val="004E530F"/>
    <w:rsid w:val="004E53AF"/>
    <w:rsid w:val="004E53E8"/>
    <w:rsid w:val="004E53F6"/>
    <w:rsid w:val="004E5415"/>
    <w:rsid w:val="004E5560"/>
    <w:rsid w:val="004E5587"/>
    <w:rsid w:val="004E5591"/>
    <w:rsid w:val="004E55DC"/>
    <w:rsid w:val="004E5662"/>
    <w:rsid w:val="004E5669"/>
    <w:rsid w:val="004E5707"/>
    <w:rsid w:val="004E581D"/>
    <w:rsid w:val="004E5ABB"/>
    <w:rsid w:val="004E5ADA"/>
    <w:rsid w:val="004E5B2A"/>
    <w:rsid w:val="004E5BAE"/>
    <w:rsid w:val="004E5CF3"/>
    <w:rsid w:val="004E5E19"/>
    <w:rsid w:val="004E5E3A"/>
    <w:rsid w:val="004E5EF6"/>
    <w:rsid w:val="004E5F41"/>
    <w:rsid w:val="004E5F81"/>
    <w:rsid w:val="004E5F93"/>
    <w:rsid w:val="004E5FE6"/>
    <w:rsid w:val="004E60AC"/>
    <w:rsid w:val="004E60E9"/>
    <w:rsid w:val="004E612C"/>
    <w:rsid w:val="004E62A2"/>
    <w:rsid w:val="004E62BD"/>
    <w:rsid w:val="004E6449"/>
    <w:rsid w:val="004E6527"/>
    <w:rsid w:val="004E6568"/>
    <w:rsid w:val="004E662E"/>
    <w:rsid w:val="004E664B"/>
    <w:rsid w:val="004E6680"/>
    <w:rsid w:val="004E66A3"/>
    <w:rsid w:val="004E677D"/>
    <w:rsid w:val="004E67BE"/>
    <w:rsid w:val="004E67ED"/>
    <w:rsid w:val="004E67FD"/>
    <w:rsid w:val="004E683B"/>
    <w:rsid w:val="004E68C6"/>
    <w:rsid w:val="004E6954"/>
    <w:rsid w:val="004E696F"/>
    <w:rsid w:val="004E697A"/>
    <w:rsid w:val="004E69B7"/>
    <w:rsid w:val="004E6A48"/>
    <w:rsid w:val="004E6A78"/>
    <w:rsid w:val="004E6AF7"/>
    <w:rsid w:val="004E6C1C"/>
    <w:rsid w:val="004E6C2D"/>
    <w:rsid w:val="004E6C46"/>
    <w:rsid w:val="004E6CE1"/>
    <w:rsid w:val="004E6CF4"/>
    <w:rsid w:val="004E6D66"/>
    <w:rsid w:val="004E6D89"/>
    <w:rsid w:val="004E6DBA"/>
    <w:rsid w:val="004E6E62"/>
    <w:rsid w:val="004E6ED9"/>
    <w:rsid w:val="004E6FE1"/>
    <w:rsid w:val="004E70CB"/>
    <w:rsid w:val="004E715F"/>
    <w:rsid w:val="004E71C1"/>
    <w:rsid w:val="004E725E"/>
    <w:rsid w:val="004E72C8"/>
    <w:rsid w:val="004E775A"/>
    <w:rsid w:val="004E7808"/>
    <w:rsid w:val="004E78BE"/>
    <w:rsid w:val="004E79CA"/>
    <w:rsid w:val="004E79F2"/>
    <w:rsid w:val="004E7A90"/>
    <w:rsid w:val="004E7AE1"/>
    <w:rsid w:val="004E7C61"/>
    <w:rsid w:val="004E7D10"/>
    <w:rsid w:val="004E7D5F"/>
    <w:rsid w:val="004E7E58"/>
    <w:rsid w:val="004E7F21"/>
    <w:rsid w:val="004E7F34"/>
    <w:rsid w:val="004E7F92"/>
    <w:rsid w:val="004F00CC"/>
    <w:rsid w:val="004F01D0"/>
    <w:rsid w:val="004F0261"/>
    <w:rsid w:val="004F0269"/>
    <w:rsid w:val="004F0284"/>
    <w:rsid w:val="004F02A0"/>
    <w:rsid w:val="004F02EE"/>
    <w:rsid w:val="004F0367"/>
    <w:rsid w:val="004F03B1"/>
    <w:rsid w:val="004F0400"/>
    <w:rsid w:val="004F04E2"/>
    <w:rsid w:val="004F0659"/>
    <w:rsid w:val="004F0660"/>
    <w:rsid w:val="004F06CB"/>
    <w:rsid w:val="004F06F0"/>
    <w:rsid w:val="004F0796"/>
    <w:rsid w:val="004F0842"/>
    <w:rsid w:val="004F0881"/>
    <w:rsid w:val="004F0906"/>
    <w:rsid w:val="004F0916"/>
    <w:rsid w:val="004F0960"/>
    <w:rsid w:val="004F09EE"/>
    <w:rsid w:val="004F0B94"/>
    <w:rsid w:val="004F0C05"/>
    <w:rsid w:val="004F0D62"/>
    <w:rsid w:val="004F0DCC"/>
    <w:rsid w:val="004F0E0C"/>
    <w:rsid w:val="004F0E39"/>
    <w:rsid w:val="004F0EA1"/>
    <w:rsid w:val="004F0F67"/>
    <w:rsid w:val="004F0F91"/>
    <w:rsid w:val="004F12A2"/>
    <w:rsid w:val="004F134E"/>
    <w:rsid w:val="004F1431"/>
    <w:rsid w:val="004F143A"/>
    <w:rsid w:val="004F14CE"/>
    <w:rsid w:val="004F1542"/>
    <w:rsid w:val="004F169E"/>
    <w:rsid w:val="004F16AF"/>
    <w:rsid w:val="004F17CA"/>
    <w:rsid w:val="004F180B"/>
    <w:rsid w:val="004F18A1"/>
    <w:rsid w:val="004F1985"/>
    <w:rsid w:val="004F1A0F"/>
    <w:rsid w:val="004F1B20"/>
    <w:rsid w:val="004F1BE2"/>
    <w:rsid w:val="004F1BFC"/>
    <w:rsid w:val="004F1C98"/>
    <w:rsid w:val="004F1CCE"/>
    <w:rsid w:val="004F1D20"/>
    <w:rsid w:val="004F1D51"/>
    <w:rsid w:val="004F1D5C"/>
    <w:rsid w:val="004F1E90"/>
    <w:rsid w:val="004F1FB1"/>
    <w:rsid w:val="004F207A"/>
    <w:rsid w:val="004F20ED"/>
    <w:rsid w:val="004F2102"/>
    <w:rsid w:val="004F21BB"/>
    <w:rsid w:val="004F2277"/>
    <w:rsid w:val="004F22FC"/>
    <w:rsid w:val="004F2528"/>
    <w:rsid w:val="004F2538"/>
    <w:rsid w:val="004F265B"/>
    <w:rsid w:val="004F26D8"/>
    <w:rsid w:val="004F280D"/>
    <w:rsid w:val="004F282C"/>
    <w:rsid w:val="004F282F"/>
    <w:rsid w:val="004F2940"/>
    <w:rsid w:val="004F296F"/>
    <w:rsid w:val="004F2A7B"/>
    <w:rsid w:val="004F2A99"/>
    <w:rsid w:val="004F2AC9"/>
    <w:rsid w:val="004F2B24"/>
    <w:rsid w:val="004F2BDE"/>
    <w:rsid w:val="004F2CC3"/>
    <w:rsid w:val="004F2D48"/>
    <w:rsid w:val="004F2E05"/>
    <w:rsid w:val="004F2E2E"/>
    <w:rsid w:val="004F2E88"/>
    <w:rsid w:val="004F2F09"/>
    <w:rsid w:val="004F2F99"/>
    <w:rsid w:val="004F3218"/>
    <w:rsid w:val="004F3343"/>
    <w:rsid w:val="004F33A7"/>
    <w:rsid w:val="004F33A8"/>
    <w:rsid w:val="004F3436"/>
    <w:rsid w:val="004F34BC"/>
    <w:rsid w:val="004F357D"/>
    <w:rsid w:val="004F35A5"/>
    <w:rsid w:val="004F35EC"/>
    <w:rsid w:val="004F35F0"/>
    <w:rsid w:val="004F3681"/>
    <w:rsid w:val="004F3690"/>
    <w:rsid w:val="004F37E8"/>
    <w:rsid w:val="004F3A0B"/>
    <w:rsid w:val="004F3BC6"/>
    <w:rsid w:val="004F3BCF"/>
    <w:rsid w:val="004F3CAA"/>
    <w:rsid w:val="004F3D35"/>
    <w:rsid w:val="004F3D6C"/>
    <w:rsid w:val="004F3E94"/>
    <w:rsid w:val="004F3EB9"/>
    <w:rsid w:val="004F3F01"/>
    <w:rsid w:val="004F3F30"/>
    <w:rsid w:val="004F4051"/>
    <w:rsid w:val="004F4152"/>
    <w:rsid w:val="004F41E9"/>
    <w:rsid w:val="004F41FD"/>
    <w:rsid w:val="004F422D"/>
    <w:rsid w:val="004F4242"/>
    <w:rsid w:val="004F446A"/>
    <w:rsid w:val="004F44E0"/>
    <w:rsid w:val="004F45F4"/>
    <w:rsid w:val="004F4617"/>
    <w:rsid w:val="004F4765"/>
    <w:rsid w:val="004F477E"/>
    <w:rsid w:val="004F47D8"/>
    <w:rsid w:val="004F47DC"/>
    <w:rsid w:val="004F4808"/>
    <w:rsid w:val="004F482F"/>
    <w:rsid w:val="004F4858"/>
    <w:rsid w:val="004F4897"/>
    <w:rsid w:val="004F4970"/>
    <w:rsid w:val="004F4987"/>
    <w:rsid w:val="004F4A51"/>
    <w:rsid w:val="004F4B96"/>
    <w:rsid w:val="004F4BB8"/>
    <w:rsid w:val="004F4BEE"/>
    <w:rsid w:val="004F4C1F"/>
    <w:rsid w:val="004F4C73"/>
    <w:rsid w:val="004F4CB4"/>
    <w:rsid w:val="004F4CB6"/>
    <w:rsid w:val="004F4DA1"/>
    <w:rsid w:val="004F4E69"/>
    <w:rsid w:val="004F4FF5"/>
    <w:rsid w:val="004F5106"/>
    <w:rsid w:val="004F5234"/>
    <w:rsid w:val="004F524E"/>
    <w:rsid w:val="004F52C1"/>
    <w:rsid w:val="004F52F9"/>
    <w:rsid w:val="004F5312"/>
    <w:rsid w:val="004F53CF"/>
    <w:rsid w:val="004F53D9"/>
    <w:rsid w:val="004F5405"/>
    <w:rsid w:val="004F5468"/>
    <w:rsid w:val="004F547A"/>
    <w:rsid w:val="004F5857"/>
    <w:rsid w:val="004F5882"/>
    <w:rsid w:val="004F58A7"/>
    <w:rsid w:val="004F58DB"/>
    <w:rsid w:val="004F599E"/>
    <w:rsid w:val="004F59C3"/>
    <w:rsid w:val="004F5A87"/>
    <w:rsid w:val="004F5A9D"/>
    <w:rsid w:val="004F5CC2"/>
    <w:rsid w:val="004F5F0B"/>
    <w:rsid w:val="004F600E"/>
    <w:rsid w:val="004F60AA"/>
    <w:rsid w:val="004F60CE"/>
    <w:rsid w:val="004F627B"/>
    <w:rsid w:val="004F630E"/>
    <w:rsid w:val="004F6314"/>
    <w:rsid w:val="004F6324"/>
    <w:rsid w:val="004F636E"/>
    <w:rsid w:val="004F6515"/>
    <w:rsid w:val="004F6669"/>
    <w:rsid w:val="004F66BD"/>
    <w:rsid w:val="004F67A3"/>
    <w:rsid w:val="004F67B8"/>
    <w:rsid w:val="004F67C8"/>
    <w:rsid w:val="004F6903"/>
    <w:rsid w:val="004F6985"/>
    <w:rsid w:val="004F6AD3"/>
    <w:rsid w:val="004F6AD6"/>
    <w:rsid w:val="004F6B99"/>
    <w:rsid w:val="004F6C31"/>
    <w:rsid w:val="004F6D0A"/>
    <w:rsid w:val="004F6D69"/>
    <w:rsid w:val="004F6DB4"/>
    <w:rsid w:val="004F6DDE"/>
    <w:rsid w:val="004F6F3C"/>
    <w:rsid w:val="004F6F55"/>
    <w:rsid w:val="004F6FE4"/>
    <w:rsid w:val="004F7012"/>
    <w:rsid w:val="004F706D"/>
    <w:rsid w:val="004F708D"/>
    <w:rsid w:val="004F7150"/>
    <w:rsid w:val="004F736D"/>
    <w:rsid w:val="004F738D"/>
    <w:rsid w:val="004F7419"/>
    <w:rsid w:val="004F741D"/>
    <w:rsid w:val="004F74F4"/>
    <w:rsid w:val="004F7518"/>
    <w:rsid w:val="004F7569"/>
    <w:rsid w:val="004F760C"/>
    <w:rsid w:val="004F76EE"/>
    <w:rsid w:val="004F774E"/>
    <w:rsid w:val="004F7807"/>
    <w:rsid w:val="004F7966"/>
    <w:rsid w:val="004F79C7"/>
    <w:rsid w:val="004F7A5B"/>
    <w:rsid w:val="004F7ACE"/>
    <w:rsid w:val="004F7AD1"/>
    <w:rsid w:val="004F7ADF"/>
    <w:rsid w:val="004F7BDA"/>
    <w:rsid w:val="004F7C94"/>
    <w:rsid w:val="004F7ED3"/>
    <w:rsid w:val="004F7F3B"/>
    <w:rsid w:val="004F7FEB"/>
    <w:rsid w:val="00500059"/>
    <w:rsid w:val="0050006D"/>
    <w:rsid w:val="005000CE"/>
    <w:rsid w:val="00500119"/>
    <w:rsid w:val="00500127"/>
    <w:rsid w:val="005001B9"/>
    <w:rsid w:val="00500234"/>
    <w:rsid w:val="00500257"/>
    <w:rsid w:val="00500349"/>
    <w:rsid w:val="005003EB"/>
    <w:rsid w:val="00500438"/>
    <w:rsid w:val="0050044D"/>
    <w:rsid w:val="0050047A"/>
    <w:rsid w:val="00500635"/>
    <w:rsid w:val="00500668"/>
    <w:rsid w:val="0050068E"/>
    <w:rsid w:val="005006E0"/>
    <w:rsid w:val="00500705"/>
    <w:rsid w:val="005007EC"/>
    <w:rsid w:val="0050084F"/>
    <w:rsid w:val="005008BC"/>
    <w:rsid w:val="00500A7F"/>
    <w:rsid w:val="00500A8F"/>
    <w:rsid w:val="00500AAA"/>
    <w:rsid w:val="00500BFC"/>
    <w:rsid w:val="00500C8E"/>
    <w:rsid w:val="00500D29"/>
    <w:rsid w:val="00500D8E"/>
    <w:rsid w:val="00500E3D"/>
    <w:rsid w:val="00500E43"/>
    <w:rsid w:val="00500EB6"/>
    <w:rsid w:val="00500F26"/>
    <w:rsid w:val="00500F4C"/>
    <w:rsid w:val="00500FF7"/>
    <w:rsid w:val="00501020"/>
    <w:rsid w:val="00501028"/>
    <w:rsid w:val="00501088"/>
    <w:rsid w:val="0050109A"/>
    <w:rsid w:val="005010CA"/>
    <w:rsid w:val="00501134"/>
    <w:rsid w:val="00501191"/>
    <w:rsid w:val="005011A6"/>
    <w:rsid w:val="00501233"/>
    <w:rsid w:val="005012D8"/>
    <w:rsid w:val="00501301"/>
    <w:rsid w:val="005013F7"/>
    <w:rsid w:val="00501405"/>
    <w:rsid w:val="00501431"/>
    <w:rsid w:val="00501493"/>
    <w:rsid w:val="0050152A"/>
    <w:rsid w:val="00501681"/>
    <w:rsid w:val="005018D2"/>
    <w:rsid w:val="00501A59"/>
    <w:rsid w:val="00501AA8"/>
    <w:rsid w:val="00501B17"/>
    <w:rsid w:val="00501B34"/>
    <w:rsid w:val="00501BCB"/>
    <w:rsid w:val="00501BCF"/>
    <w:rsid w:val="00501BD7"/>
    <w:rsid w:val="00501C22"/>
    <w:rsid w:val="00501C8D"/>
    <w:rsid w:val="00501D13"/>
    <w:rsid w:val="00501E26"/>
    <w:rsid w:val="00501FB7"/>
    <w:rsid w:val="00501FC8"/>
    <w:rsid w:val="0050203F"/>
    <w:rsid w:val="0050209F"/>
    <w:rsid w:val="00502344"/>
    <w:rsid w:val="0050242E"/>
    <w:rsid w:val="0050248D"/>
    <w:rsid w:val="005024AD"/>
    <w:rsid w:val="005024CB"/>
    <w:rsid w:val="005024D1"/>
    <w:rsid w:val="00502597"/>
    <w:rsid w:val="005025A8"/>
    <w:rsid w:val="005026C2"/>
    <w:rsid w:val="005026F3"/>
    <w:rsid w:val="00502742"/>
    <w:rsid w:val="005029E4"/>
    <w:rsid w:val="00502A0B"/>
    <w:rsid w:val="00502AAB"/>
    <w:rsid w:val="00502AFE"/>
    <w:rsid w:val="00502BEF"/>
    <w:rsid w:val="00502C3F"/>
    <w:rsid w:val="00502C63"/>
    <w:rsid w:val="00502E29"/>
    <w:rsid w:val="00502ECC"/>
    <w:rsid w:val="00502EDD"/>
    <w:rsid w:val="00503004"/>
    <w:rsid w:val="00503012"/>
    <w:rsid w:val="00503086"/>
    <w:rsid w:val="005030D4"/>
    <w:rsid w:val="0050311F"/>
    <w:rsid w:val="005031CD"/>
    <w:rsid w:val="00503211"/>
    <w:rsid w:val="005032D4"/>
    <w:rsid w:val="00503330"/>
    <w:rsid w:val="0050335A"/>
    <w:rsid w:val="005033B3"/>
    <w:rsid w:val="0050347F"/>
    <w:rsid w:val="005034C5"/>
    <w:rsid w:val="0050350A"/>
    <w:rsid w:val="0050358E"/>
    <w:rsid w:val="005036B2"/>
    <w:rsid w:val="005036E9"/>
    <w:rsid w:val="00503728"/>
    <w:rsid w:val="00503874"/>
    <w:rsid w:val="00503907"/>
    <w:rsid w:val="00503AE4"/>
    <w:rsid w:val="00503B64"/>
    <w:rsid w:val="00503B86"/>
    <w:rsid w:val="00503C23"/>
    <w:rsid w:val="00503C45"/>
    <w:rsid w:val="00503C62"/>
    <w:rsid w:val="00503C99"/>
    <w:rsid w:val="00503D86"/>
    <w:rsid w:val="00503D9E"/>
    <w:rsid w:val="00503E14"/>
    <w:rsid w:val="00503E6B"/>
    <w:rsid w:val="00504034"/>
    <w:rsid w:val="0050431D"/>
    <w:rsid w:val="0050438E"/>
    <w:rsid w:val="00504455"/>
    <w:rsid w:val="00504485"/>
    <w:rsid w:val="0050449F"/>
    <w:rsid w:val="00504524"/>
    <w:rsid w:val="005045CE"/>
    <w:rsid w:val="005045D4"/>
    <w:rsid w:val="00504836"/>
    <w:rsid w:val="005048D6"/>
    <w:rsid w:val="00504957"/>
    <w:rsid w:val="005049EC"/>
    <w:rsid w:val="00504B28"/>
    <w:rsid w:val="00504C1D"/>
    <w:rsid w:val="00504C9D"/>
    <w:rsid w:val="00504CDE"/>
    <w:rsid w:val="00504D75"/>
    <w:rsid w:val="00504E06"/>
    <w:rsid w:val="00504F4C"/>
    <w:rsid w:val="00504F61"/>
    <w:rsid w:val="00504F78"/>
    <w:rsid w:val="005050DB"/>
    <w:rsid w:val="00505184"/>
    <w:rsid w:val="005051B2"/>
    <w:rsid w:val="005051D4"/>
    <w:rsid w:val="005051F8"/>
    <w:rsid w:val="005052F0"/>
    <w:rsid w:val="00505329"/>
    <w:rsid w:val="0050536C"/>
    <w:rsid w:val="00505372"/>
    <w:rsid w:val="00505513"/>
    <w:rsid w:val="0050551F"/>
    <w:rsid w:val="00505533"/>
    <w:rsid w:val="0050554C"/>
    <w:rsid w:val="00505657"/>
    <w:rsid w:val="00505725"/>
    <w:rsid w:val="00505749"/>
    <w:rsid w:val="00505796"/>
    <w:rsid w:val="005057B6"/>
    <w:rsid w:val="00505826"/>
    <w:rsid w:val="0050586A"/>
    <w:rsid w:val="00505879"/>
    <w:rsid w:val="005058F5"/>
    <w:rsid w:val="00505950"/>
    <w:rsid w:val="00505A8B"/>
    <w:rsid w:val="00505C88"/>
    <w:rsid w:val="00505C8A"/>
    <w:rsid w:val="00505CC2"/>
    <w:rsid w:val="00505E47"/>
    <w:rsid w:val="00505E75"/>
    <w:rsid w:val="00506038"/>
    <w:rsid w:val="0050606D"/>
    <w:rsid w:val="005061C9"/>
    <w:rsid w:val="005061D5"/>
    <w:rsid w:val="00506270"/>
    <w:rsid w:val="005062D6"/>
    <w:rsid w:val="0050641D"/>
    <w:rsid w:val="00506449"/>
    <w:rsid w:val="00506501"/>
    <w:rsid w:val="005065B2"/>
    <w:rsid w:val="00506609"/>
    <w:rsid w:val="00506657"/>
    <w:rsid w:val="005067A6"/>
    <w:rsid w:val="00506895"/>
    <w:rsid w:val="005069EC"/>
    <w:rsid w:val="00506B92"/>
    <w:rsid w:val="00506B97"/>
    <w:rsid w:val="00506E1D"/>
    <w:rsid w:val="00506E33"/>
    <w:rsid w:val="00506F55"/>
    <w:rsid w:val="00506FBE"/>
    <w:rsid w:val="00506FC2"/>
    <w:rsid w:val="0050700A"/>
    <w:rsid w:val="00507045"/>
    <w:rsid w:val="0050705C"/>
    <w:rsid w:val="005070F5"/>
    <w:rsid w:val="0050714A"/>
    <w:rsid w:val="005071B6"/>
    <w:rsid w:val="005071C9"/>
    <w:rsid w:val="005071D4"/>
    <w:rsid w:val="00507348"/>
    <w:rsid w:val="005074C1"/>
    <w:rsid w:val="00507507"/>
    <w:rsid w:val="0050753C"/>
    <w:rsid w:val="00507597"/>
    <w:rsid w:val="005075BB"/>
    <w:rsid w:val="005075ED"/>
    <w:rsid w:val="00507637"/>
    <w:rsid w:val="005079BB"/>
    <w:rsid w:val="005079CA"/>
    <w:rsid w:val="00507A37"/>
    <w:rsid w:val="00507B1E"/>
    <w:rsid w:val="00507B53"/>
    <w:rsid w:val="00507BC4"/>
    <w:rsid w:val="00507C68"/>
    <w:rsid w:val="00507C7E"/>
    <w:rsid w:val="00507CCE"/>
    <w:rsid w:val="00507D46"/>
    <w:rsid w:val="00507E46"/>
    <w:rsid w:val="00507EDF"/>
    <w:rsid w:val="00507F08"/>
    <w:rsid w:val="00510054"/>
    <w:rsid w:val="005101DD"/>
    <w:rsid w:val="005102D7"/>
    <w:rsid w:val="005103BD"/>
    <w:rsid w:val="005104A8"/>
    <w:rsid w:val="005104E8"/>
    <w:rsid w:val="00510503"/>
    <w:rsid w:val="00510679"/>
    <w:rsid w:val="00510684"/>
    <w:rsid w:val="00510754"/>
    <w:rsid w:val="00510769"/>
    <w:rsid w:val="0051077B"/>
    <w:rsid w:val="005108D0"/>
    <w:rsid w:val="005108F4"/>
    <w:rsid w:val="00510923"/>
    <w:rsid w:val="00510997"/>
    <w:rsid w:val="005109B5"/>
    <w:rsid w:val="005109C0"/>
    <w:rsid w:val="00510A20"/>
    <w:rsid w:val="00510A3C"/>
    <w:rsid w:val="00510A97"/>
    <w:rsid w:val="00510C21"/>
    <w:rsid w:val="00510C28"/>
    <w:rsid w:val="00510E1D"/>
    <w:rsid w:val="00511056"/>
    <w:rsid w:val="0051115B"/>
    <w:rsid w:val="005111C1"/>
    <w:rsid w:val="0051123E"/>
    <w:rsid w:val="00511277"/>
    <w:rsid w:val="005112AE"/>
    <w:rsid w:val="0051131C"/>
    <w:rsid w:val="0051131D"/>
    <w:rsid w:val="005113A0"/>
    <w:rsid w:val="005113BD"/>
    <w:rsid w:val="005113FC"/>
    <w:rsid w:val="0051144F"/>
    <w:rsid w:val="00511468"/>
    <w:rsid w:val="005114AE"/>
    <w:rsid w:val="005114CF"/>
    <w:rsid w:val="00511540"/>
    <w:rsid w:val="00511592"/>
    <w:rsid w:val="00511607"/>
    <w:rsid w:val="0051170A"/>
    <w:rsid w:val="0051171B"/>
    <w:rsid w:val="005117AF"/>
    <w:rsid w:val="005117D0"/>
    <w:rsid w:val="00511813"/>
    <w:rsid w:val="005118DF"/>
    <w:rsid w:val="0051197B"/>
    <w:rsid w:val="005119A8"/>
    <w:rsid w:val="00511A6B"/>
    <w:rsid w:val="00511A99"/>
    <w:rsid w:val="00511AA8"/>
    <w:rsid w:val="00511C6D"/>
    <w:rsid w:val="00511D7D"/>
    <w:rsid w:val="00511D8C"/>
    <w:rsid w:val="00511E87"/>
    <w:rsid w:val="00511EF7"/>
    <w:rsid w:val="00511F0E"/>
    <w:rsid w:val="00511F81"/>
    <w:rsid w:val="005121D7"/>
    <w:rsid w:val="00512298"/>
    <w:rsid w:val="005122DA"/>
    <w:rsid w:val="00512343"/>
    <w:rsid w:val="0051237A"/>
    <w:rsid w:val="00512394"/>
    <w:rsid w:val="005123EF"/>
    <w:rsid w:val="00512429"/>
    <w:rsid w:val="00512440"/>
    <w:rsid w:val="0051252E"/>
    <w:rsid w:val="00512552"/>
    <w:rsid w:val="0051255B"/>
    <w:rsid w:val="005126D8"/>
    <w:rsid w:val="005127C5"/>
    <w:rsid w:val="00512862"/>
    <w:rsid w:val="0051289A"/>
    <w:rsid w:val="00512932"/>
    <w:rsid w:val="0051294B"/>
    <w:rsid w:val="005129B7"/>
    <w:rsid w:val="00512A9B"/>
    <w:rsid w:val="00512C6D"/>
    <w:rsid w:val="00512C76"/>
    <w:rsid w:val="00512C7A"/>
    <w:rsid w:val="00512C85"/>
    <w:rsid w:val="00512CC9"/>
    <w:rsid w:val="00512D4B"/>
    <w:rsid w:val="00512D60"/>
    <w:rsid w:val="00512D69"/>
    <w:rsid w:val="00512DAD"/>
    <w:rsid w:val="00512E10"/>
    <w:rsid w:val="00512E41"/>
    <w:rsid w:val="00512FEA"/>
    <w:rsid w:val="005130A6"/>
    <w:rsid w:val="0051314B"/>
    <w:rsid w:val="00513264"/>
    <w:rsid w:val="005133E8"/>
    <w:rsid w:val="005134F4"/>
    <w:rsid w:val="00513568"/>
    <w:rsid w:val="005136DD"/>
    <w:rsid w:val="005137A2"/>
    <w:rsid w:val="0051384D"/>
    <w:rsid w:val="0051390C"/>
    <w:rsid w:val="0051394A"/>
    <w:rsid w:val="00513A15"/>
    <w:rsid w:val="00513B97"/>
    <w:rsid w:val="00513BF2"/>
    <w:rsid w:val="00513C25"/>
    <w:rsid w:val="00513C45"/>
    <w:rsid w:val="00513C92"/>
    <w:rsid w:val="00513D31"/>
    <w:rsid w:val="00513E01"/>
    <w:rsid w:val="00513EF3"/>
    <w:rsid w:val="00513F5C"/>
    <w:rsid w:val="00513F60"/>
    <w:rsid w:val="00514134"/>
    <w:rsid w:val="005142DF"/>
    <w:rsid w:val="005143D5"/>
    <w:rsid w:val="00514476"/>
    <w:rsid w:val="005144BA"/>
    <w:rsid w:val="005144D7"/>
    <w:rsid w:val="00514504"/>
    <w:rsid w:val="00514660"/>
    <w:rsid w:val="005146E6"/>
    <w:rsid w:val="00514724"/>
    <w:rsid w:val="0051474F"/>
    <w:rsid w:val="005148BE"/>
    <w:rsid w:val="0051497F"/>
    <w:rsid w:val="00514AF1"/>
    <w:rsid w:val="00514B51"/>
    <w:rsid w:val="00514C13"/>
    <w:rsid w:val="00514C3C"/>
    <w:rsid w:val="00514CD5"/>
    <w:rsid w:val="00514D31"/>
    <w:rsid w:val="00514DAE"/>
    <w:rsid w:val="00514EDB"/>
    <w:rsid w:val="00514EFB"/>
    <w:rsid w:val="00514F9F"/>
    <w:rsid w:val="00514FE2"/>
    <w:rsid w:val="005150E2"/>
    <w:rsid w:val="00515145"/>
    <w:rsid w:val="00515158"/>
    <w:rsid w:val="005151EB"/>
    <w:rsid w:val="005153E2"/>
    <w:rsid w:val="005155B8"/>
    <w:rsid w:val="005155F6"/>
    <w:rsid w:val="005156D2"/>
    <w:rsid w:val="0051573E"/>
    <w:rsid w:val="0051574C"/>
    <w:rsid w:val="00515765"/>
    <w:rsid w:val="005158BA"/>
    <w:rsid w:val="00515915"/>
    <w:rsid w:val="0051596F"/>
    <w:rsid w:val="005159AD"/>
    <w:rsid w:val="005159C6"/>
    <w:rsid w:val="005159FC"/>
    <w:rsid w:val="00515B1B"/>
    <w:rsid w:val="00515B7C"/>
    <w:rsid w:val="00515BC4"/>
    <w:rsid w:val="00515C81"/>
    <w:rsid w:val="00515C98"/>
    <w:rsid w:val="00515D27"/>
    <w:rsid w:val="00515D53"/>
    <w:rsid w:val="00515D67"/>
    <w:rsid w:val="00515D73"/>
    <w:rsid w:val="00515DE5"/>
    <w:rsid w:val="00515E63"/>
    <w:rsid w:val="00515F1E"/>
    <w:rsid w:val="00515F9F"/>
    <w:rsid w:val="00515FA2"/>
    <w:rsid w:val="00515FC3"/>
    <w:rsid w:val="00516087"/>
    <w:rsid w:val="0051619C"/>
    <w:rsid w:val="0051623B"/>
    <w:rsid w:val="00516268"/>
    <w:rsid w:val="0051626C"/>
    <w:rsid w:val="005162ED"/>
    <w:rsid w:val="0051646C"/>
    <w:rsid w:val="0051646E"/>
    <w:rsid w:val="00516580"/>
    <w:rsid w:val="005165B8"/>
    <w:rsid w:val="0051661A"/>
    <w:rsid w:val="0051665A"/>
    <w:rsid w:val="00516673"/>
    <w:rsid w:val="00516708"/>
    <w:rsid w:val="00516877"/>
    <w:rsid w:val="005169E2"/>
    <w:rsid w:val="00516A37"/>
    <w:rsid w:val="00516BC1"/>
    <w:rsid w:val="00516C37"/>
    <w:rsid w:val="00516CAF"/>
    <w:rsid w:val="00516DD9"/>
    <w:rsid w:val="00516DEC"/>
    <w:rsid w:val="00516DF2"/>
    <w:rsid w:val="00516E48"/>
    <w:rsid w:val="00516ED0"/>
    <w:rsid w:val="005170F0"/>
    <w:rsid w:val="005171F9"/>
    <w:rsid w:val="00517289"/>
    <w:rsid w:val="005172F5"/>
    <w:rsid w:val="005173C4"/>
    <w:rsid w:val="0051746B"/>
    <w:rsid w:val="00517474"/>
    <w:rsid w:val="005174D3"/>
    <w:rsid w:val="0051757E"/>
    <w:rsid w:val="005175BB"/>
    <w:rsid w:val="005176FF"/>
    <w:rsid w:val="0051776F"/>
    <w:rsid w:val="0051788B"/>
    <w:rsid w:val="005179F0"/>
    <w:rsid w:val="00517A74"/>
    <w:rsid w:val="00517B76"/>
    <w:rsid w:val="00517D7D"/>
    <w:rsid w:val="00517DC3"/>
    <w:rsid w:val="00517E6C"/>
    <w:rsid w:val="00517FC2"/>
    <w:rsid w:val="0052003D"/>
    <w:rsid w:val="005201B5"/>
    <w:rsid w:val="00520239"/>
    <w:rsid w:val="005202DC"/>
    <w:rsid w:val="005203AA"/>
    <w:rsid w:val="005204AD"/>
    <w:rsid w:val="00520513"/>
    <w:rsid w:val="0052055B"/>
    <w:rsid w:val="0052074B"/>
    <w:rsid w:val="0052077C"/>
    <w:rsid w:val="0052082A"/>
    <w:rsid w:val="00520AB2"/>
    <w:rsid w:val="00520AFE"/>
    <w:rsid w:val="00520B7C"/>
    <w:rsid w:val="00520C48"/>
    <w:rsid w:val="00520CFC"/>
    <w:rsid w:val="00520D94"/>
    <w:rsid w:val="00520DDE"/>
    <w:rsid w:val="00520E0A"/>
    <w:rsid w:val="00520E36"/>
    <w:rsid w:val="00520EA7"/>
    <w:rsid w:val="00520EB4"/>
    <w:rsid w:val="00520F24"/>
    <w:rsid w:val="00520F33"/>
    <w:rsid w:val="00520FA5"/>
    <w:rsid w:val="00520FC5"/>
    <w:rsid w:val="005210C4"/>
    <w:rsid w:val="005210DA"/>
    <w:rsid w:val="00521119"/>
    <w:rsid w:val="005211AE"/>
    <w:rsid w:val="0052129A"/>
    <w:rsid w:val="0052135D"/>
    <w:rsid w:val="005213DF"/>
    <w:rsid w:val="0052142A"/>
    <w:rsid w:val="005215B3"/>
    <w:rsid w:val="005215CC"/>
    <w:rsid w:val="005216EB"/>
    <w:rsid w:val="00521A1C"/>
    <w:rsid w:val="00521A36"/>
    <w:rsid w:val="00521B8C"/>
    <w:rsid w:val="00521EA7"/>
    <w:rsid w:val="00521F11"/>
    <w:rsid w:val="00521F91"/>
    <w:rsid w:val="00521FC2"/>
    <w:rsid w:val="00521FE3"/>
    <w:rsid w:val="005221B2"/>
    <w:rsid w:val="005221E8"/>
    <w:rsid w:val="005223AD"/>
    <w:rsid w:val="0052244F"/>
    <w:rsid w:val="0052260B"/>
    <w:rsid w:val="00522798"/>
    <w:rsid w:val="005227CE"/>
    <w:rsid w:val="005227D5"/>
    <w:rsid w:val="00522838"/>
    <w:rsid w:val="00522849"/>
    <w:rsid w:val="00522878"/>
    <w:rsid w:val="0052289B"/>
    <w:rsid w:val="00522919"/>
    <w:rsid w:val="005229DF"/>
    <w:rsid w:val="00522ACA"/>
    <w:rsid w:val="00522BCC"/>
    <w:rsid w:val="00522C4F"/>
    <w:rsid w:val="00522CBF"/>
    <w:rsid w:val="00522CE3"/>
    <w:rsid w:val="00522D2B"/>
    <w:rsid w:val="00522D61"/>
    <w:rsid w:val="00522E0C"/>
    <w:rsid w:val="00522FD1"/>
    <w:rsid w:val="00523033"/>
    <w:rsid w:val="0052308C"/>
    <w:rsid w:val="005230C8"/>
    <w:rsid w:val="0052314B"/>
    <w:rsid w:val="00523315"/>
    <w:rsid w:val="00523372"/>
    <w:rsid w:val="00523380"/>
    <w:rsid w:val="005233BC"/>
    <w:rsid w:val="005233F6"/>
    <w:rsid w:val="005234E2"/>
    <w:rsid w:val="005234E3"/>
    <w:rsid w:val="00523502"/>
    <w:rsid w:val="0052355A"/>
    <w:rsid w:val="00523567"/>
    <w:rsid w:val="00523579"/>
    <w:rsid w:val="005238B9"/>
    <w:rsid w:val="00523950"/>
    <w:rsid w:val="00523965"/>
    <w:rsid w:val="00523985"/>
    <w:rsid w:val="00523A24"/>
    <w:rsid w:val="00523A8A"/>
    <w:rsid w:val="00523D13"/>
    <w:rsid w:val="00523D63"/>
    <w:rsid w:val="00523FDA"/>
    <w:rsid w:val="00523FFC"/>
    <w:rsid w:val="0052407A"/>
    <w:rsid w:val="00524136"/>
    <w:rsid w:val="00524182"/>
    <w:rsid w:val="00524196"/>
    <w:rsid w:val="005241FD"/>
    <w:rsid w:val="0052431F"/>
    <w:rsid w:val="005244B5"/>
    <w:rsid w:val="00524589"/>
    <w:rsid w:val="00524699"/>
    <w:rsid w:val="0052473B"/>
    <w:rsid w:val="0052473F"/>
    <w:rsid w:val="00524854"/>
    <w:rsid w:val="00524897"/>
    <w:rsid w:val="005248DA"/>
    <w:rsid w:val="00524975"/>
    <w:rsid w:val="00524A05"/>
    <w:rsid w:val="00524C53"/>
    <w:rsid w:val="00524DC5"/>
    <w:rsid w:val="00524F62"/>
    <w:rsid w:val="00524F96"/>
    <w:rsid w:val="005250C3"/>
    <w:rsid w:val="0052517F"/>
    <w:rsid w:val="00525252"/>
    <w:rsid w:val="005252D5"/>
    <w:rsid w:val="00525335"/>
    <w:rsid w:val="00525352"/>
    <w:rsid w:val="005254A9"/>
    <w:rsid w:val="0052557A"/>
    <w:rsid w:val="005258DF"/>
    <w:rsid w:val="005258F9"/>
    <w:rsid w:val="0052591F"/>
    <w:rsid w:val="00525954"/>
    <w:rsid w:val="005259A1"/>
    <w:rsid w:val="00525A72"/>
    <w:rsid w:val="00525B0D"/>
    <w:rsid w:val="00525B1B"/>
    <w:rsid w:val="00525BB2"/>
    <w:rsid w:val="00525BEE"/>
    <w:rsid w:val="00525C44"/>
    <w:rsid w:val="00525C91"/>
    <w:rsid w:val="00525CBD"/>
    <w:rsid w:val="00525CF5"/>
    <w:rsid w:val="00525D40"/>
    <w:rsid w:val="00525EC9"/>
    <w:rsid w:val="0052600F"/>
    <w:rsid w:val="00526144"/>
    <w:rsid w:val="0052626A"/>
    <w:rsid w:val="0052626D"/>
    <w:rsid w:val="00526288"/>
    <w:rsid w:val="0052654F"/>
    <w:rsid w:val="00526583"/>
    <w:rsid w:val="00526626"/>
    <w:rsid w:val="005266A3"/>
    <w:rsid w:val="005266DC"/>
    <w:rsid w:val="00526742"/>
    <w:rsid w:val="0052674C"/>
    <w:rsid w:val="0052676D"/>
    <w:rsid w:val="005267A6"/>
    <w:rsid w:val="005267A7"/>
    <w:rsid w:val="005267F4"/>
    <w:rsid w:val="005268C6"/>
    <w:rsid w:val="00526B3F"/>
    <w:rsid w:val="00526B40"/>
    <w:rsid w:val="00526BEE"/>
    <w:rsid w:val="00526C23"/>
    <w:rsid w:val="00526C3E"/>
    <w:rsid w:val="00526D5E"/>
    <w:rsid w:val="00526DF8"/>
    <w:rsid w:val="00526E82"/>
    <w:rsid w:val="00526ECE"/>
    <w:rsid w:val="00526F35"/>
    <w:rsid w:val="00526F62"/>
    <w:rsid w:val="00526FCF"/>
    <w:rsid w:val="00527023"/>
    <w:rsid w:val="00527066"/>
    <w:rsid w:val="00527085"/>
    <w:rsid w:val="00527258"/>
    <w:rsid w:val="00527268"/>
    <w:rsid w:val="005272A9"/>
    <w:rsid w:val="00527406"/>
    <w:rsid w:val="0052741F"/>
    <w:rsid w:val="005274A0"/>
    <w:rsid w:val="0052768E"/>
    <w:rsid w:val="005276FF"/>
    <w:rsid w:val="0052786A"/>
    <w:rsid w:val="0052798F"/>
    <w:rsid w:val="005279F9"/>
    <w:rsid w:val="00527A8A"/>
    <w:rsid w:val="00527AF3"/>
    <w:rsid w:val="00527C18"/>
    <w:rsid w:val="00527C95"/>
    <w:rsid w:val="00527D8A"/>
    <w:rsid w:val="00527E5B"/>
    <w:rsid w:val="00527ECA"/>
    <w:rsid w:val="00527F26"/>
    <w:rsid w:val="00527F9E"/>
    <w:rsid w:val="00527FF9"/>
    <w:rsid w:val="00530024"/>
    <w:rsid w:val="00530122"/>
    <w:rsid w:val="00530127"/>
    <w:rsid w:val="00530263"/>
    <w:rsid w:val="0053029B"/>
    <w:rsid w:val="0053031D"/>
    <w:rsid w:val="0053037D"/>
    <w:rsid w:val="0053044F"/>
    <w:rsid w:val="00530647"/>
    <w:rsid w:val="005306E0"/>
    <w:rsid w:val="005307A2"/>
    <w:rsid w:val="00530833"/>
    <w:rsid w:val="00530866"/>
    <w:rsid w:val="0053089B"/>
    <w:rsid w:val="005308DF"/>
    <w:rsid w:val="00530928"/>
    <w:rsid w:val="00530A02"/>
    <w:rsid w:val="00530A5A"/>
    <w:rsid w:val="00530B03"/>
    <w:rsid w:val="00530B74"/>
    <w:rsid w:val="00530BFA"/>
    <w:rsid w:val="00530C9D"/>
    <w:rsid w:val="00530D75"/>
    <w:rsid w:val="00530FE2"/>
    <w:rsid w:val="005311B1"/>
    <w:rsid w:val="005311B5"/>
    <w:rsid w:val="005311E3"/>
    <w:rsid w:val="00531239"/>
    <w:rsid w:val="00531286"/>
    <w:rsid w:val="0053139F"/>
    <w:rsid w:val="005313CE"/>
    <w:rsid w:val="0053174E"/>
    <w:rsid w:val="00531751"/>
    <w:rsid w:val="005317AD"/>
    <w:rsid w:val="005317BB"/>
    <w:rsid w:val="005317F3"/>
    <w:rsid w:val="0053183D"/>
    <w:rsid w:val="0053189F"/>
    <w:rsid w:val="005318B0"/>
    <w:rsid w:val="00531999"/>
    <w:rsid w:val="00531A20"/>
    <w:rsid w:val="00531A68"/>
    <w:rsid w:val="00531B7E"/>
    <w:rsid w:val="00531C99"/>
    <w:rsid w:val="00531D04"/>
    <w:rsid w:val="00531D2B"/>
    <w:rsid w:val="00531D70"/>
    <w:rsid w:val="00531DB2"/>
    <w:rsid w:val="00531DE6"/>
    <w:rsid w:val="00531DF1"/>
    <w:rsid w:val="00531E2F"/>
    <w:rsid w:val="00531E50"/>
    <w:rsid w:val="00531E87"/>
    <w:rsid w:val="00531EA7"/>
    <w:rsid w:val="00531F3F"/>
    <w:rsid w:val="00531F8E"/>
    <w:rsid w:val="00531FCB"/>
    <w:rsid w:val="00532015"/>
    <w:rsid w:val="005320A2"/>
    <w:rsid w:val="0053214C"/>
    <w:rsid w:val="005322F1"/>
    <w:rsid w:val="005323D8"/>
    <w:rsid w:val="005323F0"/>
    <w:rsid w:val="005324D4"/>
    <w:rsid w:val="00532560"/>
    <w:rsid w:val="005325BA"/>
    <w:rsid w:val="005326C4"/>
    <w:rsid w:val="0053280D"/>
    <w:rsid w:val="00532827"/>
    <w:rsid w:val="0053283F"/>
    <w:rsid w:val="00532997"/>
    <w:rsid w:val="00532AA6"/>
    <w:rsid w:val="00532B3F"/>
    <w:rsid w:val="00532BEB"/>
    <w:rsid w:val="00532C0F"/>
    <w:rsid w:val="00532C52"/>
    <w:rsid w:val="00532CF3"/>
    <w:rsid w:val="00532D2C"/>
    <w:rsid w:val="00532D2D"/>
    <w:rsid w:val="00532D81"/>
    <w:rsid w:val="00532DD5"/>
    <w:rsid w:val="00532F0D"/>
    <w:rsid w:val="00532F26"/>
    <w:rsid w:val="00532F7A"/>
    <w:rsid w:val="00533051"/>
    <w:rsid w:val="00533178"/>
    <w:rsid w:val="0053320E"/>
    <w:rsid w:val="0053326C"/>
    <w:rsid w:val="005332A8"/>
    <w:rsid w:val="00533369"/>
    <w:rsid w:val="005333EB"/>
    <w:rsid w:val="00533521"/>
    <w:rsid w:val="00533550"/>
    <w:rsid w:val="00533686"/>
    <w:rsid w:val="005337CE"/>
    <w:rsid w:val="0053381E"/>
    <w:rsid w:val="00533862"/>
    <w:rsid w:val="00533929"/>
    <w:rsid w:val="0053398A"/>
    <w:rsid w:val="005339C4"/>
    <w:rsid w:val="00533ABB"/>
    <w:rsid w:val="00533AED"/>
    <w:rsid w:val="00533B1D"/>
    <w:rsid w:val="00533BA7"/>
    <w:rsid w:val="00533C07"/>
    <w:rsid w:val="00533C7B"/>
    <w:rsid w:val="00533CB8"/>
    <w:rsid w:val="00533D0C"/>
    <w:rsid w:val="00533EAF"/>
    <w:rsid w:val="00534006"/>
    <w:rsid w:val="0053404A"/>
    <w:rsid w:val="005340ED"/>
    <w:rsid w:val="005341AA"/>
    <w:rsid w:val="005341BA"/>
    <w:rsid w:val="00534243"/>
    <w:rsid w:val="005343FC"/>
    <w:rsid w:val="00534442"/>
    <w:rsid w:val="00534447"/>
    <w:rsid w:val="00534455"/>
    <w:rsid w:val="0053466C"/>
    <w:rsid w:val="005347FF"/>
    <w:rsid w:val="00534820"/>
    <w:rsid w:val="00534918"/>
    <w:rsid w:val="005349C5"/>
    <w:rsid w:val="00534A02"/>
    <w:rsid w:val="00534A25"/>
    <w:rsid w:val="00534A26"/>
    <w:rsid w:val="00534C26"/>
    <w:rsid w:val="00535030"/>
    <w:rsid w:val="00535037"/>
    <w:rsid w:val="0053503E"/>
    <w:rsid w:val="00535042"/>
    <w:rsid w:val="00535047"/>
    <w:rsid w:val="0053504E"/>
    <w:rsid w:val="00535095"/>
    <w:rsid w:val="00535170"/>
    <w:rsid w:val="005351B1"/>
    <w:rsid w:val="005351D1"/>
    <w:rsid w:val="00535437"/>
    <w:rsid w:val="005354CF"/>
    <w:rsid w:val="00535513"/>
    <w:rsid w:val="005355A6"/>
    <w:rsid w:val="005356B4"/>
    <w:rsid w:val="00535759"/>
    <w:rsid w:val="005357AB"/>
    <w:rsid w:val="0053589B"/>
    <w:rsid w:val="005358BD"/>
    <w:rsid w:val="00535924"/>
    <w:rsid w:val="00535A1E"/>
    <w:rsid w:val="00535A87"/>
    <w:rsid w:val="00535AE3"/>
    <w:rsid w:val="00535D92"/>
    <w:rsid w:val="00535DE6"/>
    <w:rsid w:val="00535E35"/>
    <w:rsid w:val="00535E9A"/>
    <w:rsid w:val="00535EA9"/>
    <w:rsid w:val="00535EF2"/>
    <w:rsid w:val="00535F3C"/>
    <w:rsid w:val="00535F40"/>
    <w:rsid w:val="00535FB0"/>
    <w:rsid w:val="00536102"/>
    <w:rsid w:val="005361CD"/>
    <w:rsid w:val="005361EB"/>
    <w:rsid w:val="00536234"/>
    <w:rsid w:val="00536248"/>
    <w:rsid w:val="005362F8"/>
    <w:rsid w:val="00536393"/>
    <w:rsid w:val="005364E0"/>
    <w:rsid w:val="00536529"/>
    <w:rsid w:val="00536553"/>
    <w:rsid w:val="005366B3"/>
    <w:rsid w:val="00536770"/>
    <w:rsid w:val="00536851"/>
    <w:rsid w:val="005368F0"/>
    <w:rsid w:val="005369DE"/>
    <w:rsid w:val="005369E1"/>
    <w:rsid w:val="00536B3C"/>
    <w:rsid w:val="00536BEC"/>
    <w:rsid w:val="00536CF7"/>
    <w:rsid w:val="00536D09"/>
    <w:rsid w:val="00536DCA"/>
    <w:rsid w:val="00536DE4"/>
    <w:rsid w:val="00536E78"/>
    <w:rsid w:val="00537016"/>
    <w:rsid w:val="005370C1"/>
    <w:rsid w:val="005372D7"/>
    <w:rsid w:val="005372FF"/>
    <w:rsid w:val="005374C8"/>
    <w:rsid w:val="0053750E"/>
    <w:rsid w:val="005375D9"/>
    <w:rsid w:val="00537644"/>
    <w:rsid w:val="0053770E"/>
    <w:rsid w:val="0053772D"/>
    <w:rsid w:val="0053777A"/>
    <w:rsid w:val="00537791"/>
    <w:rsid w:val="00537798"/>
    <w:rsid w:val="0053779B"/>
    <w:rsid w:val="005377B2"/>
    <w:rsid w:val="0053788C"/>
    <w:rsid w:val="005378FC"/>
    <w:rsid w:val="00537930"/>
    <w:rsid w:val="00537942"/>
    <w:rsid w:val="005379EE"/>
    <w:rsid w:val="00537A92"/>
    <w:rsid w:val="00537E81"/>
    <w:rsid w:val="00537E91"/>
    <w:rsid w:val="00537EA5"/>
    <w:rsid w:val="00537ECA"/>
    <w:rsid w:val="00537F80"/>
    <w:rsid w:val="0054007B"/>
    <w:rsid w:val="00540101"/>
    <w:rsid w:val="00540232"/>
    <w:rsid w:val="005402A9"/>
    <w:rsid w:val="00540315"/>
    <w:rsid w:val="00540449"/>
    <w:rsid w:val="00540477"/>
    <w:rsid w:val="0054077F"/>
    <w:rsid w:val="005407CA"/>
    <w:rsid w:val="00540843"/>
    <w:rsid w:val="00540955"/>
    <w:rsid w:val="00540A97"/>
    <w:rsid w:val="00540AC9"/>
    <w:rsid w:val="00540AD0"/>
    <w:rsid w:val="00540AD6"/>
    <w:rsid w:val="00540C5E"/>
    <w:rsid w:val="00540E51"/>
    <w:rsid w:val="00540FF0"/>
    <w:rsid w:val="0054109A"/>
    <w:rsid w:val="00541250"/>
    <w:rsid w:val="00541251"/>
    <w:rsid w:val="005413BC"/>
    <w:rsid w:val="005413EB"/>
    <w:rsid w:val="0054142B"/>
    <w:rsid w:val="0054146F"/>
    <w:rsid w:val="00541486"/>
    <w:rsid w:val="0054148C"/>
    <w:rsid w:val="0054150A"/>
    <w:rsid w:val="0054152B"/>
    <w:rsid w:val="00541610"/>
    <w:rsid w:val="00541687"/>
    <w:rsid w:val="005416BD"/>
    <w:rsid w:val="00541780"/>
    <w:rsid w:val="00541880"/>
    <w:rsid w:val="00541AAA"/>
    <w:rsid w:val="00541AB4"/>
    <w:rsid w:val="00541B03"/>
    <w:rsid w:val="00541B10"/>
    <w:rsid w:val="00541D54"/>
    <w:rsid w:val="00541D66"/>
    <w:rsid w:val="00541DFE"/>
    <w:rsid w:val="00541F0D"/>
    <w:rsid w:val="00542183"/>
    <w:rsid w:val="00542281"/>
    <w:rsid w:val="0054228A"/>
    <w:rsid w:val="0054228B"/>
    <w:rsid w:val="00542292"/>
    <w:rsid w:val="005422DC"/>
    <w:rsid w:val="0054241E"/>
    <w:rsid w:val="0054247E"/>
    <w:rsid w:val="005424AB"/>
    <w:rsid w:val="005424B0"/>
    <w:rsid w:val="0054254D"/>
    <w:rsid w:val="00542637"/>
    <w:rsid w:val="005426A0"/>
    <w:rsid w:val="00542735"/>
    <w:rsid w:val="00542745"/>
    <w:rsid w:val="005427AB"/>
    <w:rsid w:val="00542894"/>
    <w:rsid w:val="00542899"/>
    <w:rsid w:val="005428E5"/>
    <w:rsid w:val="00542946"/>
    <w:rsid w:val="005429FB"/>
    <w:rsid w:val="00542C04"/>
    <w:rsid w:val="00542C46"/>
    <w:rsid w:val="00542DD7"/>
    <w:rsid w:val="00542F4D"/>
    <w:rsid w:val="00543157"/>
    <w:rsid w:val="0054316E"/>
    <w:rsid w:val="0054319A"/>
    <w:rsid w:val="005431D3"/>
    <w:rsid w:val="00543339"/>
    <w:rsid w:val="005433CE"/>
    <w:rsid w:val="005433F5"/>
    <w:rsid w:val="00543445"/>
    <w:rsid w:val="00543458"/>
    <w:rsid w:val="00543529"/>
    <w:rsid w:val="0054366C"/>
    <w:rsid w:val="0054378C"/>
    <w:rsid w:val="00543793"/>
    <w:rsid w:val="00543813"/>
    <w:rsid w:val="00543832"/>
    <w:rsid w:val="00543A86"/>
    <w:rsid w:val="00543B36"/>
    <w:rsid w:val="00543B48"/>
    <w:rsid w:val="00543C1A"/>
    <w:rsid w:val="00543CDC"/>
    <w:rsid w:val="00543D44"/>
    <w:rsid w:val="00543D81"/>
    <w:rsid w:val="00543F03"/>
    <w:rsid w:val="00543F4D"/>
    <w:rsid w:val="00543FDD"/>
    <w:rsid w:val="00543FF8"/>
    <w:rsid w:val="00544107"/>
    <w:rsid w:val="00544138"/>
    <w:rsid w:val="0054413B"/>
    <w:rsid w:val="005441E4"/>
    <w:rsid w:val="005441F1"/>
    <w:rsid w:val="00544367"/>
    <w:rsid w:val="00544474"/>
    <w:rsid w:val="00544481"/>
    <w:rsid w:val="005444F1"/>
    <w:rsid w:val="00544500"/>
    <w:rsid w:val="0054451B"/>
    <w:rsid w:val="00544522"/>
    <w:rsid w:val="00544528"/>
    <w:rsid w:val="00544535"/>
    <w:rsid w:val="005445D5"/>
    <w:rsid w:val="00544669"/>
    <w:rsid w:val="00544767"/>
    <w:rsid w:val="005447BB"/>
    <w:rsid w:val="00544872"/>
    <w:rsid w:val="00544874"/>
    <w:rsid w:val="00544AEC"/>
    <w:rsid w:val="00544AED"/>
    <w:rsid w:val="00544B92"/>
    <w:rsid w:val="00544BF2"/>
    <w:rsid w:val="00544DA9"/>
    <w:rsid w:val="00544E80"/>
    <w:rsid w:val="00544EE0"/>
    <w:rsid w:val="00544FA4"/>
    <w:rsid w:val="00544FB9"/>
    <w:rsid w:val="00544FC9"/>
    <w:rsid w:val="00544FE8"/>
    <w:rsid w:val="00545173"/>
    <w:rsid w:val="00545265"/>
    <w:rsid w:val="0054552D"/>
    <w:rsid w:val="00545554"/>
    <w:rsid w:val="0054556E"/>
    <w:rsid w:val="00545642"/>
    <w:rsid w:val="005456B1"/>
    <w:rsid w:val="00545791"/>
    <w:rsid w:val="00545809"/>
    <w:rsid w:val="00545830"/>
    <w:rsid w:val="005459BB"/>
    <w:rsid w:val="005459DC"/>
    <w:rsid w:val="00545AA4"/>
    <w:rsid w:val="00545CC1"/>
    <w:rsid w:val="00545D6F"/>
    <w:rsid w:val="00545DDF"/>
    <w:rsid w:val="00545E31"/>
    <w:rsid w:val="00546006"/>
    <w:rsid w:val="00546011"/>
    <w:rsid w:val="005460C0"/>
    <w:rsid w:val="00546148"/>
    <w:rsid w:val="005461BB"/>
    <w:rsid w:val="00546203"/>
    <w:rsid w:val="00546221"/>
    <w:rsid w:val="00546263"/>
    <w:rsid w:val="005462B3"/>
    <w:rsid w:val="005462D6"/>
    <w:rsid w:val="00546306"/>
    <w:rsid w:val="00546331"/>
    <w:rsid w:val="00546335"/>
    <w:rsid w:val="00546361"/>
    <w:rsid w:val="005464B0"/>
    <w:rsid w:val="0054651D"/>
    <w:rsid w:val="00546535"/>
    <w:rsid w:val="0054657B"/>
    <w:rsid w:val="0054665B"/>
    <w:rsid w:val="00546700"/>
    <w:rsid w:val="0054680A"/>
    <w:rsid w:val="00546842"/>
    <w:rsid w:val="00546962"/>
    <w:rsid w:val="00546A52"/>
    <w:rsid w:val="00546AA2"/>
    <w:rsid w:val="00546BB4"/>
    <w:rsid w:val="00546C5C"/>
    <w:rsid w:val="00546D34"/>
    <w:rsid w:val="00546D7D"/>
    <w:rsid w:val="00546EC0"/>
    <w:rsid w:val="00546F14"/>
    <w:rsid w:val="00546F4B"/>
    <w:rsid w:val="00546FF5"/>
    <w:rsid w:val="0054705A"/>
    <w:rsid w:val="005471D3"/>
    <w:rsid w:val="00547315"/>
    <w:rsid w:val="0054747C"/>
    <w:rsid w:val="005474A5"/>
    <w:rsid w:val="005474A9"/>
    <w:rsid w:val="00547556"/>
    <w:rsid w:val="00547799"/>
    <w:rsid w:val="005478A9"/>
    <w:rsid w:val="005479B7"/>
    <w:rsid w:val="00547A97"/>
    <w:rsid w:val="00547AD0"/>
    <w:rsid w:val="00547B3E"/>
    <w:rsid w:val="00547C8D"/>
    <w:rsid w:val="00547D2D"/>
    <w:rsid w:val="00547D4F"/>
    <w:rsid w:val="00547D7F"/>
    <w:rsid w:val="00547D9F"/>
    <w:rsid w:val="00547F28"/>
    <w:rsid w:val="005500AB"/>
    <w:rsid w:val="005502B0"/>
    <w:rsid w:val="005503BE"/>
    <w:rsid w:val="005503DC"/>
    <w:rsid w:val="005504B3"/>
    <w:rsid w:val="0055055C"/>
    <w:rsid w:val="00550637"/>
    <w:rsid w:val="005506E8"/>
    <w:rsid w:val="0055070B"/>
    <w:rsid w:val="0055086A"/>
    <w:rsid w:val="00550887"/>
    <w:rsid w:val="005509B5"/>
    <w:rsid w:val="00550A3F"/>
    <w:rsid w:val="00550AFB"/>
    <w:rsid w:val="00550D82"/>
    <w:rsid w:val="00550D99"/>
    <w:rsid w:val="00550E03"/>
    <w:rsid w:val="00550E4C"/>
    <w:rsid w:val="00550EEB"/>
    <w:rsid w:val="00550F06"/>
    <w:rsid w:val="00550F9C"/>
    <w:rsid w:val="0055106A"/>
    <w:rsid w:val="00551091"/>
    <w:rsid w:val="00551590"/>
    <w:rsid w:val="005515D6"/>
    <w:rsid w:val="005515FD"/>
    <w:rsid w:val="00551606"/>
    <w:rsid w:val="0055162E"/>
    <w:rsid w:val="00551785"/>
    <w:rsid w:val="005517C9"/>
    <w:rsid w:val="00551816"/>
    <w:rsid w:val="005518E9"/>
    <w:rsid w:val="00551B6A"/>
    <w:rsid w:val="00551B7D"/>
    <w:rsid w:val="00551C44"/>
    <w:rsid w:val="00551D78"/>
    <w:rsid w:val="00551E54"/>
    <w:rsid w:val="00551E9B"/>
    <w:rsid w:val="00551F2B"/>
    <w:rsid w:val="00551F74"/>
    <w:rsid w:val="005520A4"/>
    <w:rsid w:val="005520B4"/>
    <w:rsid w:val="005520C9"/>
    <w:rsid w:val="005521B3"/>
    <w:rsid w:val="0055230F"/>
    <w:rsid w:val="00552352"/>
    <w:rsid w:val="0055239C"/>
    <w:rsid w:val="0055252D"/>
    <w:rsid w:val="00552630"/>
    <w:rsid w:val="00552711"/>
    <w:rsid w:val="0055276D"/>
    <w:rsid w:val="005528E5"/>
    <w:rsid w:val="00552939"/>
    <w:rsid w:val="005529E7"/>
    <w:rsid w:val="00552BAD"/>
    <w:rsid w:val="00552BDB"/>
    <w:rsid w:val="00552C31"/>
    <w:rsid w:val="00552D05"/>
    <w:rsid w:val="00552D39"/>
    <w:rsid w:val="00552D70"/>
    <w:rsid w:val="00552DBB"/>
    <w:rsid w:val="0055303F"/>
    <w:rsid w:val="005530B5"/>
    <w:rsid w:val="005532D5"/>
    <w:rsid w:val="005534AC"/>
    <w:rsid w:val="005534D8"/>
    <w:rsid w:val="00553705"/>
    <w:rsid w:val="00553720"/>
    <w:rsid w:val="0055379C"/>
    <w:rsid w:val="00553841"/>
    <w:rsid w:val="005538A3"/>
    <w:rsid w:val="005538D6"/>
    <w:rsid w:val="00553999"/>
    <w:rsid w:val="00553A7D"/>
    <w:rsid w:val="00553B0C"/>
    <w:rsid w:val="00553BAF"/>
    <w:rsid w:val="00553C70"/>
    <w:rsid w:val="00553CBD"/>
    <w:rsid w:val="00553D62"/>
    <w:rsid w:val="00553D9A"/>
    <w:rsid w:val="00553E11"/>
    <w:rsid w:val="00553F4F"/>
    <w:rsid w:val="00553FFD"/>
    <w:rsid w:val="00554052"/>
    <w:rsid w:val="0055410E"/>
    <w:rsid w:val="0055414D"/>
    <w:rsid w:val="005541BD"/>
    <w:rsid w:val="0055424D"/>
    <w:rsid w:val="0055426A"/>
    <w:rsid w:val="0055428C"/>
    <w:rsid w:val="0055437E"/>
    <w:rsid w:val="00554499"/>
    <w:rsid w:val="005544E6"/>
    <w:rsid w:val="005544F5"/>
    <w:rsid w:val="005545B8"/>
    <w:rsid w:val="0055463B"/>
    <w:rsid w:val="005546CF"/>
    <w:rsid w:val="005548BC"/>
    <w:rsid w:val="005548F0"/>
    <w:rsid w:val="00554949"/>
    <w:rsid w:val="005549AF"/>
    <w:rsid w:val="00554A47"/>
    <w:rsid w:val="00554C37"/>
    <w:rsid w:val="00554C51"/>
    <w:rsid w:val="00554C7F"/>
    <w:rsid w:val="00554D23"/>
    <w:rsid w:val="00554E08"/>
    <w:rsid w:val="00554E2D"/>
    <w:rsid w:val="00554E47"/>
    <w:rsid w:val="00554EA8"/>
    <w:rsid w:val="00554EC7"/>
    <w:rsid w:val="00554EE5"/>
    <w:rsid w:val="00554F3E"/>
    <w:rsid w:val="005550CA"/>
    <w:rsid w:val="00555159"/>
    <w:rsid w:val="005551D2"/>
    <w:rsid w:val="005551D5"/>
    <w:rsid w:val="0055533A"/>
    <w:rsid w:val="00555381"/>
    <w:rsid w:val="005553F0"/>
    <w:rsid w:val="005555D6"/>
    <w:rsid w:val="005555D8"/>
    <w:rsid w:val="0055561D"/>
    <w:rsid w:val="005556A8"/>
    <w:rsid w:val="005557BE"/>
    <w:rsid w:val="005557C4"/>
    <w:rsid w:val="005557E8"/>
    <w:rsid w:val="00555843"/>
    <w:rsid w:val="00555892"/>
    <w:rsid w:val="00555A5D"/>
    <w:rsid w:val="00555AEB"/>
    <w:rsid w:val="00555B98"/>
    <w:rsid w:val="00555B9F"/>
    <w:rsid w:val="00555BE6"/>
    <w:rsid w:val="00555C0B"/>
    <w:rsid w:val="00555CEB"/>
    <w:rsid w:val="00555F4A"/>
    <w:rsid w:val="0055613F"/>
    <w:rsid w:val="00556198"/>
    <w:rsid w:val="0055621B"/>
    <w:rsid w:val="0055626F"/>
    <w:rsid w:val="00556295"/>
    <w:rsid w:val="0055633C"/>
    <w:rsid w:val="0055635B"/>
    <w:rsid w:val="0055636A"/>
    <w:rsid w:val="00556474"/>
    <w:rsid w:val="0055647C"/>
    <w:rsid w:val="005564A3"/>
    <w:rsid w:val="00556569"/>
    <w:rsid w:val="005565A9"/>
    <w:rsid w:val="005566BA"/>
    <w:rsid w:val="0055681D"/>
    <w:rsid w:val="005568F5"/>
    <w:rsid w:val="00556A7D"/>
    <w:rsid w:val="00556A99"/>
    <w:rsid w:val="00556AE3"/>
    <w:rsid w:val="00556AE6"/>
    <w:rsid w:val="00556CA3"/>
    <w:rsid w:val="00556CCF"/>
    <w:rsid w:val="00556EDC"/>
    <w:rsid w:val="00556FDC"/>
    <w:rsid w:val="00557072"/>
    <w:rsid w:val="00557149"/>
    <w:rsid w:val="00557163"/>
    <w:rsid w:val="00557311"/>
    <w:rsid w:val="005573A0"/>
    <w:rsid w:val="0055743E"/>
    <w:rsid w:val="00557459"/>
    <w:rsid w:val="00557505"/>
    <w:rsid w:val="0055763E"/>
    <w:rsid w:val="005576BD"/>
    <w:rsid w:val="00557713"/>
    <w:rsid w:val="00557879"/>
    <w:rsid w:val="005579E1"/>
    <w:rsid w:val="00557A60"/>
    <w:rsid w:val="00557BAD"/>
    <w:rsid w:val="00557C04"/>
    <w:rsid w:val="00557DBA"/>
    <w:rsid w:val="00557E6D"/>
    <w:rsid w:val="00560044"/>
    <w:rsid w:val="005601F5"/>
    <w:rsid w:val="0056036E"/>
    <w:rsid w:val="00560484"/>
    <w:rsid w:val="005604D1"/>
    <w:rsid w:val="005605A9"/>
    <w:rsid w:val="005606B6"/>
    <w:rsid w:val="0056076E"/>
    <w:rsid w:val="005608A0"/>
    <w:rsid w:val="0056099B"/>
    <w:rsid w:val="005609DE"/>
    <w:rsid w:val="00560B22"/>
    <w:rsid w:val="00560BD7"/>
    <w:rsid w:val="00560CF9"/>
    <w:rsid w:val="00560D63"/>
    <w:rsid w:val="00560D6C"/>
    <w:rsid w:val="00560D93"/>
    <w:rsid w:val="00560E01"/>
    <w:rsid w:val="00560EB2"/>
    <w:rsid w:val="00560F56"/>
    <w:rsid w:val="00560FE8"/>
    <w:rsid w:val="00560FF7"/>
    <w:rsid w:val="0056100D"/>
    <w:rsid w:val="005610B2"/>
    <w:rsid w:val="00561188"/>
    <w:rsid w:val="00561223"/>
    <w:rsid w:val="00561294"/>
    <w:rsid w:val="005612E7"/>
    <w:rsid w:val="005613CE"/>
    <w:rsid w:val="005613E8"/>
    <w:rsid w:val="0056141B"/>
    <w:rsid w:val="0056149C"/>
    <w:rsid w:val="005614E3"/>
    <w:rsid w:val="005614E6"/>
    <w:rsid w:val="00561598"/>
    <w:rsid w:val="00561664"/>
    <w:rsid w:val="00561691"/>
    <w:rsid w:val="00561751"/>
    <w:rsid w:val="00561761"/>
    <w:rsid w:val="0056184C"/>
    <w:rsid w:val="005618A5"/>
    <w:rsid w:val="005618E3"/>
    <w:rsid w:val="00561943"/>
    <w:rsid w:val="0056197D"/>
    <w:rsid w:val="005619F0"/>
    <w:rsid w:val="00561BF4"/>
    <w:rsid w:val="00561CBF"/>
    <w:rsid w:val="00561DBE"/>
    <w:rsid w:val="00561DBF"/>
    <w:rsid w:val="00561DCA"/>
    <w:rsid w:val="00561F14"/>
    <w:rsid w:val="00561FFD"/>
    <w:rsid w:val="00562027"/>
    <w:rsid w:val="00562149"/>
    <w:rsid w:val="00562157"/>
    <w:rsid w:val="0056219E"/>
    <w:rsid w:val="005621B1"/>
    <w:rsid w:val="005621F1"/>
    <w:rsid w:val="005623EA"/>
    <w:rsid w:val="005623F0"/>
    <w:rsid w:val="00562433"/>
    <w:rsid w:val="005624B6"/>
    <w:rsid w:val="0056254B"/>
    <w:rsid w:val="00562750"/>
    <w:rsid w:val="0056276D"/>
    <w:rsid w:val="00562978"/>
    <w:rsid w:val="00562A42"/>
    <w:rsid w:val="00562A90"/>
    <w:rsid w:val="00562B5D"/>
    <w:rsid w:val="00562C3A"/>
    <w:rsid w:val="00562CC6"/>
    <w:rsid w:val="00562D3C"/>
    <w:rsid w:val="00562DBF"/>
    <w:rsid w:val="005630F0"/>
    <w:rsid w:val="00563121"/>
    <w:rsid w:val="005631CA"/>
    <w:rsid w:val="00563235"/>
    <w:rsid w:val="00563238"/>
    <w:rsid w:val="00563559"/>
    <w:rsid w:val="00563561"/>
    <w:rsid w:val="0056356E"/>
    <w:rsid w:val="00563598"/>
    <w:rsid w:val="0056366D"/>
    <w:rsid w:val="005637D7"/>
    <w:rsid w:val="0056399A"/>
    <w:rsid w:val="00563A11"/>
    <w:rsid w:val="00563AAF"/>
    <w:rsid w:val="00563AB4"/>
    <w:rsid w:val="00563B0B"/>
    <w:rsid w:val="00563B41"/>
    <w:rsid w:val="00563BDD"/>
    <w:rsid w:val="00563D57"/>
    <w:rsid w:val="00563EB7"/>
    <w:rsid w:val="00563ED5"/>
    <w:rsid w:val="005640A0"/>
    <w:rsid w:val="00564167"/>
    <w:rsid w:val="005641F5"/>
    <w:rsid w:val="005642C0"/>
    <w:rsid w:val="0056438C"/>
    <w:rsid w:val="005643D1"/>
    <w:rsid w:val="005643F8"/>
    <w:rsid w:val="0056453A"/>
    <w:rsid w:val="00564598"/>
    <w:rsid w:val="00564604"/>
    <w:rsid w:val="005646B7"/>
    <w:rsid w:val="005646E2"/>
    <w:rsid w:val="0056473A"/>
    <w:rsid w:val="0056479C"/>
    <w:rsid w:val="00564821"/>
    <w:rsid w:val="0056490B"/>
    <w:rsid w:val="005649C9"/>
    <w:rsid w:val="005649CF"/>
    <w:rsid w:val="00564B16"/>
    <w:rsid w:val="00564BE1"/>
    <w:rsid w:val="00564C83"/>
    <w:rsid w:val="00564C91"/>
    <w:rsid w:val="00564DBB"/>
    <w:rsid w:val="00564E9A"/>
    <w:rsid w:val="00564EF4"/>
    <w:rsid w:val="00564EFD"/>
    <w:rsid w:val="00565270"/>
    <w:rsid w:val="00565282"/>
    <w:rsid w:val="005652F6"/>
    <w:rsid w:val="00565306"/>
    <w:rsid w:val="00565371"/>
    <w:rsid w:val="0056548F"/>
    <w:rsid w:val="00565544"/>
    <w:rsid w:val="00565568"/>
    <w:rsid w:val="005655F8"/>
    <w:rsid w:val="00565678"/>
    <w:rsid w:val="00565704"/>
    <w:rsid w:val="0056572F"/>
    <w:rsid w:val="0056578B"/>
    <w:rsid w:val="0056585E"/>
    <w:rsid w:val="0056587A"/>
    <w:rsid w:val="00565914"/>
    <w:rsid w:val="00565B28"/>
    <w:rsid w:val="00565B51"/>
    <w:rsid w:val="00565B73"/>
    <w:rsid w:val="00565B94"/>
    <w:rsid w:val="00565BC9"/>
    <w:rsid w:val="00565BF1"/>
    <w:rsid w:val="00565C6D"/>
    <w:rsid w:val="00565CFF"/>
    <w:rsid w:val="00565E21"/>
    <w:rsid w:val="00565E7C"/>
    <w:rsid w:val="00565F65"/>
    <w:rsid w:val="005660C1"/>
    <w:rsid w:val="005660D5"/>
    <w:rsid w:val="005660DD"/>
    <w:rsid w:val="005661D3"/>
    <w:rsid w:val="0056629C"/>
    <w:rsid w:val="0056632E"/>
    <w:rsid w:val="00566426"/>
    <w:rsid w:val="00566447"/>
    <w:rsid w:val="0056645B"/>
    <w:rsid w:val="005665F9"/>
    <w:rsid w:val="00566718"/>
    <w:rsid w:val="005667C1"/>
    <w:rsid w:val="005667FE"/>
    <w:rsid w:val="00566829"/>
    <w:rsid w:val="00566943"/>
    <w:rsid w:val="00566A70"/>
    <w:rsid w:val="00566A99"/>
    <w:rsid w:val="00566A9F"/>
    <w:rsid w:val="00566ACC"/>
    <w:rsid w:val="00566BA3"/>
    <w:rsid w:val="00566BD6"/>
    <w:rsid w:val="00566BEF"/>
    <w:rsid w:val="00566E3B"/>
    <w:rsid w:val="00566E43"/>
    <w:rsid w:val="00566E66"/>
    <w:rsid w:val="00566EB8"/>
    <w:rsid w:val="00566F02"/>
    <w:rsid w:val="0056704E"/>
    <w:rsid w:val="005670AD"/>
    <w:rsid w:val="005672AC"/>
    <w:rsid w:val="0056737E"/>
    <w:rsid w:val="0056743B"/>
    <w:rsid w:val="0056757F"/>
    <w:rsid w:val="005675C5"/>
    <w:rsid w:val="0056763E"/>
    <w:rsid w:val="005676A4"/>
    <w:rsid w:val="0056777C"/>
    <w:rsid w:val="005678A1"/>
    <w:rsid w:val="005678B1"/>
    <w:rsid w:val="005679FA"/>
    <w:rsid w:val="00567BD0"/>
    <w:rsid w:val="00567C2D"/>
    <w:rsid w:val="00567CA5"/>
    <w:rsid w:val="00567CEC"/>
    <w:rsid w:val="00567EDD"/>
    <w:rsid w:val="00567EE1"/>
    <w:rsid w:val="00567FCD"/>
    <w:rsid w:val="00570041"/>
    <w:rsid w:val="00570050"/>
    <w:rsid w:val="00570082"/>
    <w:rsid w:val="005700CC"/>
    <w:rsid w:val="00570364"/>
    <w:rsid w:val="005703FE"/>
    <w:rsid w:val="005704D5"/>
    <w:rsid w:val="00570586"/>
    <w:rsid w:val="005705D2"/>
    <w:rsid w:val="00570647"/>
    <w:rsid w:val="005706A4"/>
    <w:rsid w:val="00570B72"/>
    <w:rsid w:val="00570BDD"/>
    <w:rsid w:val="00570C0F"/>
    <w:rsid w:val="00570C60"/>
    <w:rsid w:val="00570C78"/>
    <w:rsid w:val="00570F3A"/>
    <w:rsid w:val="00570F55"/>
    <w:rsid w:val="00571174"/>
    <w:rsid w:val="00571496"/>
    <w:rsid w:val="005714FD"/>
    <w:rsid w:val="00571535"/>
    <w:rsid w:val="0057153C"/>
    <w:rsid w:val="00571597"/>
    <w:rsid w:val="005715DC"/>
    <w:rsid w:val="005718FE"/>
    <w:rsid w:val="00571994"/>
    <w:rsid w:val="00571A29"/>
    <w:rsid w:val="00571A4D"/>
    <w:rsid w:val="00571A5A"/>
    <w:rsid w:val="00571AE3"/>
    <w:rsid w:val="00571D1B"/>
    <w:rsid w:val="00571E25"/>
    <w:rsid w:val="00571F02"/>
    <w:rsid w:val="00571F12"/>
    <w:rsid w:val="00571F8F"/>
    <w:rsid w:val="00571F98"/>
    <w:rsid w:val="00572274"/>
    <w:rsid w:val="00572336"/>
    <w:rsid w:val="0057240C"/>
    <w:rsid w:val="0057240E"/>
    <w:rsid w:val="00572470"/>
    <w:rsid w:val="0057249F"/>
    <w:rsid w:val="00572536"/>
    <w:rsid w:val="0057256D"/>
    <w:rsid w:val="00572593"/>
    <w:rsid w:val="00572626"/>
    <w:rsid w:val="00572698"/>
    <w:rsid w:val="0057269B"/>
    <w:rsid w:val="005726A4"/>
    <w:rsid w:val="005726FF"/>
    <w:rsid w:val="00572789"/>
    <w:rsid w:val="005727DF"/>
    <w:rsid w:val="00572805"/>
    <w:rsid w:val="005728B3"/>
    <w:rsid w:val="0057296B"/>
    <w:rsid w:val="005729DB"/>
    <w:rsid w:val="00572B8F"/>
    <w:rsid w:val="00572C91"/>
    <w:rsid w:val="00572D3B"/>
    <w:rsid w:val="00572DEF"/>
    <w:rsid w:val="00572EB1"/>
    <w:rsid w:val="00572ECB"/>
    <w:rsid w:val="00572FC5"/>
    <w:rsid w:val="005731EF"/>
    <w:rsid w:val="005731F6"/>
    <w:rsid w:val="00573345"/>
    <w:rsid w:val="005734E4"/>
    <w:rsid w:val="0057353C"/>
    <w:rsid w:val="005735A9"/>
    <w:rsid w:val="005736AA"/>
    <w:rsid w:val="005736BF"/>
    <w:rsid w:val="005737CE"/>
    <w:rsid w:val="0057390E"/>
    <w:rsid w:val="00573A79"/>
    <w:rsid w:val="00573B29"/>
    <w:rsid w:val="00573CE5"/>
    <w:rsid w:val="00573E2A"/>
    <w:rsid w:val="00573F1B"/>
    <w:rsid w:val="00573FBF"/>
    <w:rsid w:val="00574071"/>
    <w:rsid w:val="005741BA"/>
    <w:rsid w:val="00574347"/>
    <w:rsid w:val="0057441E"/>
    <w:rsid w:val="0057442C"/>
    <w:rsid w:val="00574633"/>
    <w:rsid w:val="00574664"/>
    <w:rsid w:val="0057473F"/>
    <w:rsid w:val="00574882"/>
    <w:rsid w:val="00574AD1"/>
    <w:rsid w:val="00574AF0"/>
    <w:rsid w:val="00574C97"/>
    <w:rsid w:val="00574C9E"/>
    <w:rsid w:val="00574CE0"/>
    <w:rsid w:val="00574DEC"/>
    <w:rsid w:val="00574DF2"/>
    <w:rsid w:val="00574F40"/>
    <w:rsid w:val="0057508F"/>
    <w:rsid w:val="0057509F"/>
    <w:rsid w:val="00575156"/>
    <w:rsid w:val="0057515A"/>
    <w:rsid w:val="00575172"/>
    <w:rsid w:val="00575183"/>
    <w:rsid w:val="00575279"/>
    <w:rsid w:val="00575287"/>
    <w:rsid w:val="00575322"/>
    <w:rsid w:val="005753F4"/>
    <w:rsid w:val="005754B8"/>
    <w:rsid w:val="005756CF"/>
    <w:rsid w:val="005758D4"/>
    <w:rsid w:val="00575941"/>
    <w:rsid w:val="005759D9"/>
    <w:rsid w:val="005759DE"/>
    <w:rsid w:val="00575A0F"/>
    <w:rsid w:val="00575BE0"/>
    <w:rsid w:val="00575C1E"/>
    <w:rsid w:val="00575C21"/>
    <w:rsid w:val="00576013"/>
    <w:rsid w:val="00576026"/>
    <w:rsid w:val="00576045"/>
    <w:rsid w:val="00576066"/>
    <w:rsid w:val="005760FC"/>
    <w:rsid w:val="0057620B"/>
    <w:rsid w:val="005762C8"/>
    <w:rsid w:val="0057633B"/>
    <w:rsid w:val="00576355"/>
    <w:rsid w:val="0057637C"/>
    <w:rsid w:val="0057649F"/>
    <w:rsid w:val="00576599"/>
    <w:rsid w:val="0057668B"/>
    <w:rsid w:val="00576785"/>
    <w:rsid w:val="005767E6"/>
    <w:rsid w:val="00576A1D"/>
    <w:rsid w:val="00576B9A"/>
    <w:rsid w:val="00576BC5"/>
    <w:rsid w:val="00576EA8"/>
    <w:rsid w:val="00576F2B"/>
    <w:rsid w:val="005770DA"/>
    <w:rsid w:val="00577101"/>
    <w:rsid w:val="0057715D"/>
    <w:rsid w:val="00577165"/>
    <w:rsid w:val="00577265"/>
    <w:rsid w:val="005772DA"/>
    <w:rsid w:val="0057730A"/>
    <w:rsid w:val="0057731C"/>
    <w:rsid w:val="00577388"/>
    <w:rsid w:val="00577463"/>
    <w:rsid w:val="005775FA"/>
    <w:rsid w:val="00577604"/>
    <w:rsid w:val="00577726"/>
    <w:rsid w:val="0057777A"/>
    <w:rsid w:val="0057778D"/>
    <w:rsid w:val="0057781D"/>
    <w:rsid w:val="00577830"/>
    <w:rsid w:val="0057789B"/>
    <w:rsid w:val="0057790B"/>
    <w:rsid w:val="00577968"/>
    <w:rsid w:val="0057798D"/>
    <w:rsid w:val="00577AD2"/>
    <w:rsid w:val="00577CC3"/>
    <w:rsid w:val="00577D9A"/>
    <w:rsid w:val="00577D9B"/>
    <w:rsid w:val="00577E0A"/>
    <w:rsid w:val="00577F8C"/>
    <w:rsid w:val="00577F96"/>
    <w:rsid w:val="00577FA9"/>
    <w:rsid w:val="0058019F"/>
    <w:rsid w:val="0058026C"/>
    <w:rsid w:val="005802BF"/>
    <w:rsid w:val="005803F3"/>
    <w:rsid w:val="00580450"/>
    <w:rsid w:val="00580592"/>
    <w:rsid w:val="005805CF"/>
    <w:rsid w:val="005805DF"/>
    <w:rsid w:val="0058066A"/>
    <w:rsid w:val="0058075E"/>
    <w:rsid w:val="00580789"/>
    <w:rsid w:val="005807C6"/>
    <w:rsid w:val="0058081D"/>
    <w:rsid w:val="005808C6"/>
    <w:rsid w:val="005808FA"/>
    <w:rsid w:val="005809AA"/>
    <w:rsid w:val="00580B3E"/>
    <w:rsid w:val="00580B44"/>
    <w:rsid w:val="00580B4B"/>
    <w:rsid w:val="00580C20"/>
    <w:rsid w:val="00580C8A"/>
    <w:rsid w:val="00580E0C"/>
    <w:rsid w:val="00580EC5"/>
    <w:rsid w:val="00580F75"/>
    <w:rsid w:val="00580FD7"/>
    <w:rsid w:val="00580FEC"/>
    <w:rsid w:val="00581192"/>
    <w:rsid w:val="005811A7"/>
    <w:rsid w:val="0058127E"/>
    <w:rsid w:val="005812DA"/>
    <w:rsid w:val="005813F2"/>
    <w:rsid w:val="0058141B"/>
    <w:rsid w:val="00581447"/>
    <w:rsid w:val="00581545"/>
    <w:rsid w:val="005815B6"/>
    <w:rsid w:val="00581643"/>
    <w:rsid w:val="00581700"/>
    <w:rsid w:val="0058177C"/>
    <w:rsid w:val="005817D3"/>
    <w:rsid w:val="0058183A"/>
    <w:rsid w:val="005818C1"/>
    <w:rsid w:val="00581A34"/>
    <w:rsid w:val="00581AC6"/>
    <w:rsid w:val="00581B2F"/>
    <w:rsid w:val="00581BD9"/>
    <w:rsid w:val="00581C3B"/>
    <w:rsid w:val="00581D1B"/>
    <w:rsid w:val="00581D1C"/>
    <w:rsid w:val="00581D2B"/>
    <w:rsid w:val="00581E4D"/>
    <w:rsid w:val="00581EA1"/>
    <w:rsid w:val="00581F3B"/>
    <w:rsid w:val="00581FE8"/>
    <w:rsid w:val="0058229F"/>
    <w:rsid w:val="005823D9"/>
    <w:rsid w:val="005824B7"/>
    <w:rsid w:val="005824EE"/>
    <w:rsid w:val="00582509"/>
    <w:rsid w:val="0058253C"/>
    <w:rsid w:val="00582608"/>
    <w:rsid w:val="00582891"/>
    <w:rsid w:val="005828DF"/>
    <w:rsid w:val="00582953"/>
    <w:rsid w:val="0058295D"/>
    <w:rsid w:val="0058298C"/>
    <w:rsid w:val="0058298D"/>
    <w:rsid w:val="00582A36"/>
    <w:rsid w:val="00582AAD"/>
    <w:rsid w:val="00582AB3"/>
    <w:rsid w:val="00582C6E"/>
    <w:rsid w:val="00582DA1"/>
    <w:rsid w:val="00582DBE"/>
    <w:rsid w:val="00582DE0"/>
    <w:rsid w:val="00582E2B"/>
    <w:rsid w:val="00582FEF"/>
    <w:rsid w:val="0058301B"/>
    <w:rsid w:val="00583165"/>
    <w:rsid w:val="00583291"/>
    <w:rsid w:val="0058345F"/>
    <w:rsid w:val="005834F4"/>
    <w:rsid w:val="005836AE"/>
    <w:rsid w:val="005838C5"/>
    <w:rsid w:val="005838E3"/>
    <w:rsid w:val="005838FB"/>
    <w:rsid w:val="00583959"/>
    <w:rsid w:val="005839C3"/>
    <w:rsid w:val="00583A75"/>
    <w:rsid w:val="00583B4A"/>
    <w:rsid w:val="00583B9B"/>
    <w:rsid w:val="00583BBC"/>
    <w:rsid w:val="00583BFD"/>
    <w:rsid w:val="00583CAE"/>
    <w:rsid w:val="00583D1E"/>
    <w:rsid w:val="00583DBE"/>
    <w:rsid w:val="00583E67"/>
    <w:rsid w:val="00583E9C"/>
    <w:rsid w:val="0058406B"/>
    <w:rsid w:val="0058415C"/>
    <w:rsid w:val="005841B1"/>
    <w:rsid w:val="005842CD"/>
    <w:rsid w:val="005842F9"/>
    <w:rsid w:val="00584337"/>
    <w:rsid w:val="005843AF"/>
    <w:rsid w:val="0058447D"/>
    <w:rsid w:val="005845DB"/>
    <w:rsid w:val="00584613"/>
    <w:rsid w:val="00584634"/>
    <w:rsid w:val="005846B1"/>
    <w:rsid w:val="005846EF"/>
    <w:rsid w:val="00584766"/>
    <w:rsid w:val="005847CC"/>
    <w:rsid w:val="005848A0"/>
    <w:rsid w:val="005848CE"/>
    <w:rsid w:val="00584AF1"/>
    <w:rsid w:val="00584B93"/>
    <w:rsid w:val="00584D78"/>
    <w:rsid w:val="00584DAE"/>
    <w:rsid w:val="00584E87"/>
    <w:rsid w:val="00584ED8"/>
    <w:rsid w:val="00585005"/>
    <w:rsid w:val="005850A5"/>
    <w:rsid w:val="005850B4"/>
    <w:rsid w:val="00585345"/>
    <w:rsid w:val="005853A8"/>
    <w:rsid w:val="005853D7"/>
    <w:rsid w:val="00585467"/>
    <w:rsid w:val="00585569"/>
    <w:rsid w:val="0058565A"/>
    <w:rsid w:val="005856B0"/>
    <w:rsid w:val="005856BD"/>
    <w:rsid w:val="00585712"/>
    <w:rsid w:val="00585833"/>
    <w:rsid w:val="005858E6"/>
    <w:rsid w:val="00585940"/>
    <w:rsid w:val="0058594A"/>
    <w:rsid w:val="00585AC4"/>
    <w:rsid w:val="00585B28"/>
    <w:rsid w:val="00585C00"/>
    <w:rsid w:val="00585D0B"/>
    <w:rsid w:val="00585D3E"/>
    <w:rsid w:val="00585D51"/>
    <w:rsid w:val="00585D8D"/>
    <w:rsid w:val="00585DB2"/>
    <w:rsid w:val="00585E08"/>
    <w:rsid w:val="00585E21"/>
    <w:rsid w:val="00585F32"/>
    <w:rsid w:val="00585F59"/>
    <w:rsid w:val="00585F6F"/>
    <w:rsid w:val="00585F70"/>
    <w:rsid w:val="00585F73"/>
    <w:rsid w:val="00586014"/>
    <w:rsid w:val="0058603D"/>
    <w:rsid w:val="0058609C"/>
    <w:rsid w:val="0058611F"/>
    <w:rsid w:val="00586294"/>
    <w:rsid w:val="005862C8"/>
    <w:rsid w:val="005862CA"/>
    <w:rsid w:val="0058636B"/>
    <w:rsid w:val="00586380"/>
    <w:rsid w:val="0058649A"/>
    <w:rsid w:val="005864F3"/>
    <w:rsid w:val="005865EF"/>
    <w:rsid w:val="005866D7"/>
    <w:rsid w:val="0058676D"/>
    <w:rsid w:val="005867CA"/>
    <w:rsid w:val="005867F1"/>
    <w:rsid w:val="0058699C"/>
    <w:rsid w:val="00586A32"/>
    <w:rsid w:val="00586A4D"/>
    <w:rsid w:val="00586A8D"/>
    <w:rsid w:val="00586B4F"/>
    <w:rsid w:val="00586CED"/>
    <w:rsid w:val="00586DC3"/>
    <w:rsid w:val="00586E1C"/>
    <w:rsid w:val="00586E53"/>
    <w:rsid w:val="00586E91"/>
    <w:rsid w:val="00586E9D"/>
    <w:rsid w:val="00586F90"/>
    <w:rsid w:val="0058701F"/>
    <w:rsid w:val="0058707F"/>
    <w:rsid w:val="00587132"/>
    <w:rsid w:val="0058713F"/>
    <w:rsid w:val="005871E7"/>
    <w:rsid w:val="005872CB"/>
    <w:rsid w:val="005872D5"/>
    <w:rsid w:val="00587430"/>
    <w:rsid w:val="00587440"/>
    <w:rsid w:val="00587497"/>
    <w:rsid w:val="005875C8"/>
    <w:rsid w:val="00587615"/>
    <w:rsid w:val="0058764C"/>
    <w:rsid w:val="00587682"/>
    <w:rsid w:val="005876EC"/>
    <w:rsid w:val="00587750"/>
    <w:rsid w:val="00587877"/>
    <w:rsid w:val="0058798D"/>
    <w:rsid w:val="00587A72"/>
    <w:rsid w:val="00587C9C"/>
    <w:rsid w:val="00587D20"/>
    <w:rsid w:val="00587D58"/>
    <w:rsid w:val="00587EA3"/>
    <w:rsid w:val="00587EF4"/>
    <w:rsid w:val="0059001E"/>
    <w:rsid w:val="00590226"/>
    <w:rsid w:val="00590283"/>
    <w:rsid w:val="00590399"/>
    <w:rsid w:val="0059041D"/>
    <w:rsid w:val="005905EE"/>
    <w:rsid w:val="00590607"/>
    <w:rsid w:val="00590649"/>
    <w:rsid w:val="005906C7"/>
    <w:rsid w:val="005906F5"/>
    <w:rsid w:val="00590716"/>
    <w:rsid w:val="0059071A"/>
    <w:rsid w:val="00590785"/>
    <w:rsid w:val="005908AC"/>
    <w:rsid w:val="00590912"/>
    <w:rsid w:val="00590AD2"/>
    <w:rsid w:val="00590AF0"/>
    <w:rsid w:val="00590B2E"/>
    <w:rsid w:val="00590B9B"/>
    <w:rsid w:val="00590BA2"/>
    <w:rsid w:val="00590C06"/>
    <w:rsid w:val="00590D0A"/>
    <w:rsid w:val="00590D1A"/>
    <w:rsid w:val="00590D32"/>
    <w:rsid w:val="00590D3A"/>
    <w:rsid w:val="00590DE0"/>
    <w:rsid w:val="00590DE3"/>
    <w:rsid w:val="00590E7F"/>
    <w:rsid w:val="00591054"/>
    <w:rsid w:val="005910FB"/>
    <w:rsid w:val="0059112E"/>
    <w:rsid w:val="0059116D"/>
    <w:rsid w:val="0059117B"/>
    <w:rsid w:val="00591193"/>
    <w:rsid w:val="0059126A"/>
    <w:rsid w:val="00591296"/>
    <w:rsid w:val="005913E0"/>
    <w:rsid w:val="00591417"/>
    <w:rsid w:val="00591462"/>
    <w:rsid w:val="005914B6"/>
    <w:rsid w:val="005915C2"/>
    <w:rsid w:val="005918C1"/>
    <w:rsid w:val="005918CE"/>
    <w:rsid w:val="00591A84"/>
    <w:rsid w:val="00591CD6"/>
    <w:rsid w:val="00591D1B"/>
    <w:rsid w:val="00591D61"/>
    <w:rsid w:val="00591E26"/>
    <w:rsid w:val="00591EA2"/>
    <w:rsid w:val="00591F11"/>
    <w:rsid w:val="00591F12"/>
    <w:rsid w:val="0059209D"/>
    <w:rsid w:val="005920B3"/>
    <w:rsid w:val="00592121"/>
    <w:rsid w:val="00592180"/>
    <w:rsid w:val="00592285"/>
    <w:rsid w:val="005923F4"/>
    <w:rsid w:val="00592458"/>
    <w:rsid w:val="005924B4"/>
    <w:rsid w:val="00592723"/>
    <w:rsid w:val="005927FF"/>
    <w:rsid w:val="0059284D"/>
    <w:rsid w:val="00592851"/>
    <w:rsid w:val="0059286C"/>
    <w:rsid w:val="005928BD"/>
    <w:rsid w:val="00592B88"/>
    <w:rsid w:val="00592BB4"/>
    <w:rsid w:val="00592C85"/>
    <w:rsid w:val="00592CC4"/>
    <w:rsid w:val="00592CC8"/>
    <w:rsid w:val="00592CCB"/>
    <w:rsid w:val="00592D4B"/>
    <w:rsid w:val="00592DB9"/>
    <w:rsid w:val="00592FE8"/>
    <w:rsid w:val="0059313B"/>
    <w:rsid w:val="0059318B"/>
    <w:rsid w:val="005932B6"/>
    <w:rsid w:val="005932DA"/>
    <w:rsid w:val="00593333"/>
    <w:rsid w:val="00593490"/>
    <w:rsid w:val="00593538"/>
    <w:rsid w:val="0059369A"/>
    <w:rsid w:val="00593707"/>
    <w:rsid w:val="005937A4"/>
    <w:rsid w:val="005937D7"/>
    <w:rsid w:val="00593813"/>
    <w:rsid w:val="0059384F"/>
    <w:rsid w:val="00593B45"/>
    <w:rsid w:val="00593BA3"/>
    <w:rsid w:val="00593BFA"/>
    <w:rsid w:val="00593DD9"/>
    <w:rsid w:val="00593ECE"/>
    <w:rsid w:val="00593EDA"/>
    <w:rsid w:val="00593F07"/>
    <w:rsid w:val="00593F53"/>
    <w:rsid w:val="00593FA7"/>
    <w:rsid w:val="00593FF5"/>
    <w:rsid w:val="005941A1"/>
    <w:rsid w:val="005941B0"/>
    <w:rsid w:val="00594296"/>
    <w:rsid w:val="00594342"/>
    <w:rsid w:val="0059435E"/>
    <w:rsid w:val="00594434"/>
    <w:rsid w:val="0059450A"/>
    <w:rsid w:val="00594528"/>
    <w:rsid w:val="00594591"/>
    <w:rsid w:val="0059475F"/>
    <w:rsid w:val="0059476D"/>
    <w:rsid w:val="00594789"/>
    <w:rsid w:val="00594A38"/>
    <w:rsid w:val="00594AF6"/>
    <w:rsid w:val="00594B02"/>
    <w:rsid w:val="00594B91"/>
    <w:rsid w:val="00594BA7"/>
    <w:rsid w:val="00594C0C"/>
    <w:rsid w:val="00594DD8"/>
    <w:rsid w:val="00594E50"/>
    <w:rsid w:val="00594EE2"/>
    <w:rsid w:val="00594FCA"/>
    <w:rsid w:val="00595144"/>
    <w:rsid w:val="00595213"/>
    <w:rsid w:val="00595258"/>
    <w:rsid w:val="00595291"/>
    <w:rsid w:val="00595385"/>
    <w:rsid w:val="005953F9"/>
    <w:rsid w:val="0059548E"/>
    <w:rsid w:val="005954E8"/>
    <w:rsid w:val="0059551F"/>
    <w:rsid w:val="00595535"/>
    <w:rsid w:val="005955D7"/>
    <w:rsid w:val="00595623"/>
    <w:rsid w:val="00595862"/>
    <w:rsid w:val="00595892"/>
    <w:rsid w:val="005958BF"/>
    <w:rsid w:val="005958DF"/>
    <w:rsid w:val="005959C5"/>
    <w:rsid w:val="00595A70"/>
    <w:rsid w:val="00595A9D"/>
    <w:rsid w:val="00595ABD"/>
    <w:rsid w:val="00595AD0"/>
    <w:rsid w:val="00595B5A"/>
    <w:rsid w:val="00595C38"/>
    <w:rsid w:val="00595C56"/>
    <w:rsid w:val="00595D12"/>
    <w:rsid w:val="00595DC9"/>
    <w:rsid w:val="00595DE2"/>
    <w:rsid w:val="00595EC7"/>
    <w:rsid w:val="00595FD5"/>
    <w:rsid w:val="005960A9"/>
    <w:rsid w:val="005961DE"/>
    <w:rsid w:val="005961F0"/>
    <w:rsid w:val="0059627E"/>
    <w:rsid w:val="00596280"/>
    <w:rsid w:val="005962BE"/>
    <w:rsid w:val="00596397"/>
    <w:rsid w:val="00596466"/>
    <w:rsid w:val="005964A6"/>
    <w:rsid w:val="00596503"/>
    <w:rsid w:val="0059657D"/>
    <w:rsid w:val="005966E2"/>
    <w:rsid w:val="00596711"/>
    <w:rsid w:val="0059671E"/>
    <w:rsid w:val="00596797"/>
    <w:rsid w:val="005968A2"/>
    <w:rsid w:val="005969AE"/>
    <w:rsid w:val="00596A91"/>
    <w:rsid w:val="00596B24"/>
    <w:rsid w:val="00596C4B"/>
    <w:rsid w:val="00596CC6"/>
    <w:rsid w:val="00596D38"/>
    <w:rsid w:val="00596D4E"/>
    <w:rsid w:val="00596F32"/>
    <w:rsid w:val="00596F7E"/>
    <w:rsid w:val="00596FA4"/>
    <w:rsid w:val="00597020"/>
    <w:rsid w:val="0059709F"/>
    <w:rsid w:val="0059720C"/>
    <w:rsid w:val="00597278"/>
    <w:rsid w:val="00597432"/>
    <w:rsid w:val="005974A6"/>
    <w:rsid w:val="005974E3"/>
    <w:rsid w:val="00597509"/>
    <w:rsid w:val="00597512"/>
    <w:rsid w:val="005975AD"/>
    <w:rsid w:val="00597650"/>
    <w:rsid w:val="00597652"/>
    <w:rsid w:val="00597658"/>
    <w:rsid w:val="005977A3"/>
    <w:rsid w:val="0059785B"/>
    <w:rsid w:val="00597951"/>
    <w:rsid w:val="00597981"/>
    <w:rsid w:val="005979DD"/>
    <w:rsid w:val="00597AA0"/>
    <w:rsid w:val="00597ACF"/>
    <w:rsid w:val="00597B0F"/>
    <w:rsid w:val="00597D8E"/>
    <w:rsid w:val="00597E4A"/>
    <w:rsid w:val="00597EBF"/>
    <w:rsid w:val="00597FAE"/>
    <w:rsid w:val="00597FBC"/>
    <w:rsid w:val="005A00C7"/>
    <w:rsid w:val="005A0102"/>
    <w:rsid w:val="005A01E6"/>
    <w:rsid w:val="005A022D"/>
    <w:rsid w:val="005A02E6"/>
    <w:rsid w:val="005A032F"/>
    <w:rsid w:val="005A0347"/>
    <w:rsid w:val="005A03C2"/>
    <w:rsid w:val="005A0419"/>
    <w:rsid w:val="005A0422"/>
    <w:rsid w:val="005A0638"/>
    <w:rsid w:val="005A0AB6"/>
    <w:rsid w:val="005A0B5F"/>
    <w:rsid w:val="005A0BF0"/>
    <w:rsid w:val="005A0C34"/>
    <w:rsid w:val="005A0CFC"/>
    <w:rsid w:val="005A0E1E"/>
    <w:rsid w:val="005A102F"/>
    <w:rsid w:val="005A1111"/>
    <w:rsid w:val="005A1173"/>
    <w:rsid w:val="005A117F"/>
    <w:rsid w:val="005A11BE"/>
    <w:rsid w:val="005A11DC"/>
    <w:rsid w:val="005A133C"/>
    <w:rsid w:val="005A13F2"/>
    <w:rsid w:val="005A1453"/>
    <w:rsid w:val="005A154B"/>
    <w:rsid w:val="005A1581"/>
    <w:rsid w:val="005A16AF"/>
    <w:rsid w:val="005A1718"/>
    <w:rsid w:val="005A1739"/>
    <w:rsid w:val="005A1778"/>
    <w:rsid w:val="005A17A0"/>
    <w:rsid w:val="005A17E5"/>
    <w:rsid w:val="005A1879"/>
    <w:rsid w:val="005A1B1C"/>
    <w:rsid w:val="005A1B3F"/>
    <w:rsid w:val="005A1C5E"/>
    <w:rsid w:val="005A1D5B"/>
    <w:rsid w:val="005A1E05"/>
    <w:rsid w:val="005A1E7D"/>
    <w:rsid w:val="005A1FB9"/>
    <w:rsid w:val="005A2092"/>
    <w:rsid w:val="005A20D5"/>
    <w:rsid w:val="005A21A1"/>
    <w:rsid w:val="005A21D0"/>
    <w:rsid w:val="005A21F4"/>
    <w:rsid w:val="005A2227"/>
    <w:rsid w:val="005A2236"/>
    <w:rsid w:val="005A223B"/>
    <w:rsid w:val="005A23C2"/>
    <w:rsid w:val="005A25C6"/>
    <w:rsid w:val="005A26E4"/>
    <w:rsid w:val="005A2755"/>
    <w:rsid w:val="005A297B"/>
    <w:rsid w:val="005A2A5C"/>
    <w:rsid w:val="005A2B94"/>
    <w:rsid w:val="005A2C29"/>
    <w:rsid w:val="005A2CAB"/>
    <w:rsid w:val="005A2CCC"/>
    <w:rsid w:val="005A2CF1"/>
    <w:rsid w:val="005A2D63"/>
    <w:rsid w:val="005A2DB7"/>
    <w:rsid w:val="005A2DCE"/>
    <w:rsid w:val="005A2F4B"/>
    <w:rsid w:val="005A3048"/>
    <w:rsid w:val="005A3107"/>
    <w:rsid w:val="005A3108"/>
    <w:rsid w:val="005A31A6"/>
    <w:rsid w:val="005A31F1"/>
    <w:rsid w:val="005A32CE"/>
    <w:rsid w:val="005A3375"/>
    <w:rsid w:val="005A3478"/>
    <w:rsid w:val="005A3538"/>
    <w:rsid w:val="005A3635"/>
    <w:rsid w:val="005A3671"/>
    <w:rsid w:val="005A3685"/>
    <w:rsid w:val="005A368C"/>
    <w:rsid w:val="005A36B6"/>
    <w:rsid w:val="005A36DD"/>
    <w:rsid w:val="005A37F6"/>
    <w:rsid w:val="005A3819"/>
    <w:rsid w:val="005A3948"/>
    <w:rsid w:val="005A3968"/>
    <w:rsid w:val="005A3984"/>
    <w:rsid w:val="005A39C9"/>
    <w:rsid w:val="005A39D1"/>
    <w:rsid w:val="005A39D7"/>
    <w:rsid w:val="005A3AB0"/>
    <w:rsid w:val="005A3C7E"/>
    <w:rsid w:val="005A3D5E"/>
    <w:rsid w:val="005A3D8F"/>
    <w:rsid w:val="005A3F7B"/>
    <w:rsid w:val="005A3F85"/>
    <w:rsid w:val="005A3FE4"/>
    <w:rsid w:val="005A402A"/>
    <w:rsid w:val="005A4302"/>
    <w:rsid w:val="005A43A2"/>
    <w:rsid w:val="005A4445"/>
    <w:rsid w:val="005A44A4"/>
    <w:rsid w:val="005A4540"/>
    <w:rsid w:val="005A45BF"/>
    <w:rsid w:val="005A45E3"/>
    <w:rsid w:val="005A46F3"/>
    <w:rsid w:val="005A47A8"/>
    <w:rsid w:val="005A492D"/>
    <w:rsid w:val="005A4A58"/>
    <w:rsid w:val="005A4B24"/>
    <w:rsid w:val="005A4B6D"/>
    <w:rsid w:val="005A4C8A"/>
    <w:rsid w:val="005A4D63"/>
    <w:rsid w:val="005A4D72"/>
    <w:rsid w:val="005A4E45"/>
    <w:rsid w:val="005A4F0B"/>
    <w:rsid w:val="005A4F4D"/>
    <w:rsid w:val="005A4FC1"/>
    <w:rsid w:val="005A4FF7"/>
    <w:rsid w:val="005A50DB"/>
    <w:rsid w:val="005A5130"/>
    <w:rsid w:val="005A52EC"/>
    <w:rsid w:val="005A537D"/>
    <w:rsid w:val="005A5387"/>
    <w:rsid w:val="005A53CE"/>
    <w:rsid w:val="005A53D7"/>
    <w:rsid w:val="005A54A6"/>
    <w:rsid w:val="005A561B"/>
    <w:rsid w:val="005A5686"/>
    <w:rsid w:val="005A57E5"/>
    <w:rsid w:val="005A591D"/>
    <w:rsid w:val="005A5A7C"/>
    <w:rsid w:val="005A5BFF"/>
    <w:rsid w:val="005A5CCA"/>
    <w:rsid w:val="005A5E28"/>
    <w:rsid w:val="005A5E6F"/>
    <w:rsid w:val="005A5F05"/>
    <w:rsid w:val="005A5FD1"/>
    <w:rsid w:val="005A6005"/>
    <w:rsid w:val="005A6101"/>
    <w:rsid w:val="005A6144"/>
    <w:rsid w:val="005A617E"/>
    <w:rsid w:val="005A61FE"/>
    <w:rsid w:val="005A6205"/>
    <w:rsid w:val="005A6274"/>
    <w:rsid w:val="005A6359"/>
    <w:rsid w:val="005A63E7"/>
    <w:rsid w:val="005A647A"/>
    <w:rsid w:val="005A64F4"/>
    <w:rsid w:val="005A661C"/>
    <w:rsid w:val="005A6627"/>
    <w:rsid w:val="005A6654"/>
    <w:rsid w:val="005A668B"/>
    <w:rsid w:val="005A66FC"/>
    <w:rsid w:val="005A6AFA"/>
    <w:rsid w:val="005A6ECE"/>
    <w:rsid w:val="005A6EE8"/>
    <w:rsid w:val="005A6EEF"/>
    <w:rsid w:val="005A7005"/>
    <w:rsid w:val="005A711B"/>
    <w:rsid w:val="005A7130"/>
    <w:rsid w:val="005A71AB"/>
    <w:rsid w:val="005A72E6"/>
    <w:rsid w:val="005A7319"/>
    <w:rsid w:val="005A747F"/>
    <w:rsid w:val="005A7535"/>
    <w:rsid w:val="005A75F9"/>
    <w:rsid w:val="005A765A"/>
    <w:rsid w:val="005A7742"/>
    <w:rsid w:val="005A777C"/>
    <w:rsid w:val="005A77F1"/>
    <w:rsid w:val="005A7808"/>
    <w:rsid w:val="005A782D"/>
    <w:rsid w:val="005A7842"/>
    <w:rsid w:val="005A78E8"/>
    <w:rsid w:val="005A798C"/>
    <w:rsid w:val="005A79BB"/>
    <w:rsid w:val="005A79CE"/>
    <w:rsid w:val="005A79FF"/>
    <w:rsid w:val="005A7A5B"/>
    <w:rsid w:val="005A7AC5"/>
    <w:rsid w:val="005A7B16"/>
    <w:rsid w:val="005A7B90"/>
    <w:rsid w:val="005A7C47"/>
    <w:rsid w:val="005A7CA5"/>
    <w:rsid w:val="005A7CEC"/>
    <w:rsid w:val="005A7D03"/>
    <w:rsid w:val="005A7E2E"/>
    <w:rsid w:val="005A7FAC"/>
    <w:rsid w:val="005B002B"/>
    <w:rsid w:val="005B003C"/>
    <w:rsid w:val="005B0047"/>
    <w:rsid w:val="005B0065"/>
    <w:rsid w:val="005B008D"/>
    <w:rsid w:val="005B01A7"/>
    <w:rsid w:val="005B0208"/>
    <w:rsid w:val="005B027C"/>
    <w:rsid w:val="005B02BC"/>
    <w:rsid w:val="005B02F3"/>
    <w:rsid w:val="005B034C"/>
    <w:rsid w:val="005B034E"/>
    <w:rsid w:val="005B048C"/>
    <w:rsid w:val="005B053B"/>
    <w:rsid w:val="005B06B0"/>
    <w:rsid w:val="005B06B5"/>
    <w:rsid w:val="005B0706"/>
    <w:rsid w:val="005B0714"/>
    <w:rsid w:val="005B0734"/>
    <w:rsid w:val="005B077E"/>
    <w:rsid w:val="005B082E"/>
    <w:rsid w:val="005B0837"/>
    <w:rsid w:val="005B0854"/>
    <w:rsid w:val="005B0921"/>
    <w:rsid w:val="005B0A04"/>
    <w:rsid w:val="005B0A12"/>
    <w:rsid w:val="005B0A26"/>
    <w:rsid w:val="005B0BCD"/>
    <w:rsid w:val="005B0CA3"/>
    <w:rsid w:val="005B0DE5"/>
    <w:rsid w:val="005B0E72"/>
    <w:rsid w:val="005B0F9E"/>
    <w:rsid w:val="005B118A"/>
    <w:rsid w:val="005B12B6"/>
    <w:rsid w:val="005B1330"/>
    <w:rsid w:val="005B140A"/>
    <w:rsid w:val="005B154B"/>
    <w:rsid w:val="005B1592"/>
    <w:rsid w:val="005B15D4"/>
    <w:rsid w:val="005B178A"/>
    <w:rsid w:val="005B17EB"/>
    <w:rsid w:val="005B1A32"/>
    <w:rsid w:val="005B1BAD"/>
    <w:rsid w:val="005B1BF9"/>
    <w:rsid w:val="005B1D4F"/>
    <w:rsid w:val="005B1E19"/>
    <w:rsid w:val="005B1F15"/>
    <w:rsid w:val="005B1F37"/>
    <w:rsid w:val="005B1F55"/>
    <w:rsid w:val="005B1FAA"/>
    <w:rsid w:val="005B1FEE"/>
    <w:rsid w:val="005B20F1"/>
    <w:rsid w:val="005B2104"/>
    <w:rsid w:val="005B210F"/>
    <w:rsid w:val="005B2189"/>
    <w:rsid w:val="005B2363"/>
    <w:rsid w:val="005B2402"/>
    <w:rsid w:val="005B2463"/>
    <w:rsid w:val="005B24CF"/>
    <w:rsid w:val="005B26D9"/>
    <w:rsid w:val="005B2707"/>
    <w:rsid w:val="005B2769"/>
    <w:rsid w:val="005B278F"/>
    <w:rsid w:val="005B2946"/>
    <w:rsid w:val="005B294A"/>
    <w:rsid w:val="005B294D"/>
    <w:rsid w:val="005B2A12"/>
    <w:rsid w:val="005B2A18"/>
    <w:rsid w:val="005B2A4D"/>
    <w:rsid w:val="005B2A62"/>
    <w:rsid w:val="005B2B03"/>
    <w:rsid w:val="005B2CCC"/>
    <w:rsid w:val="005B2D86"/>
    <w:rsid w:val="005B2D8A"/>
    <w:rsid w:val="005B2DB5"/>
    <w:rsid w:val="005B2DFB"/>
    <w:rsid w:val="005B2E09"/>
    <w:rsid w:val="005B2EA6"/>
    <w:rsid w:val="005B2EC4"/>
    <w:rsid w:val="005B2ED1"/>
    <w:rsid w:val="005B30A6"/>
    <w:rsid w:val="005B30B1"/>
    <w:rsid w:val="005B30D3"/>
    <w:rsid w:val="005B339B"/>
    <w:rsid w:val="005B34C3"/>
    <w:rsid w:val="005B34EC"/>
    <w:rsid w:val="005B3516"/>
    <w:rsid w:val="005B3841"/>
    <w:rsid w:val="005B38CE"/>
    <w:rsid w:val="005B3907"/>
    <w:rsid w:val="005B39B3"/>
    <w:rsid w:val="005B3AA8"/>
    <w:rsid w:val="005B3B02"/>
    <w:rsid w:val="005B3B88"/>
    <w:rsid w:val="005B3C3A"/>
    <w:rsid w:val="005B3DCC"/>
    <w:rsid w:val="005B3FD5"/>
    <w:rsid w:val="005B402D"/>
    <w:rsid w:val="005B4387"/>
    <w:rsid w:val="005B43BF"/>
    <w:rsid w:val="005B4510"/>
    <w:rsid w:val="005B4624"/>
    <w:rsid w:val="005B4631"/>
    <w:rsid w:val="005B469B"/>
    <w:rsid w:val="005B476C"/>
    <w:rsid w:val="005B479E"/>
    <w:rsid w:val="005B47C2"/>
    <w:rsid w:val="005B48A3"/>
    <w:rsid w:val="005B48CF"/>
    <w:rsid w:val="005B48E3"/>
    <w:rsid w:val="005B498D"/>
    <w:rsid w:val="005B49D2"/>
    <w:rsid w:val="005B4D01"/>
    <w:rsid w:val="005B4D39"/>
    <w:rsid w:val="005B4DA8"/>
    <w:rsid w:val="005B4DEF"/>
    <w:rsid w:val="005B4E37"/>
    <w:rsid w:val="005B4EC4"/>
    <w:rsid w:val="005B4EEE"/>
    <w:rsid w:val="005B4F97"/>
    <w:rsid w:val="005B4FB1"/>
    <w:rsid w:val="005B4FED"/>
    <w:rsid w:val="005B5003"/>
    <w:rsid w:val="005B535D"/>
    <w:rsid w:val="005B5435"/>
    <w:rsid w:val="005B5566"/>
    <w:rsid w:val="005B5574"/>
    <w:rsid w:val="005B55A8"/>
    <w:rsid w:val="005B5634"/>
    <w:rsid w:val="005B57A3"/>
    <w:rsid w:val="005B5820"/>
    <w:rsid w:val="005B583A"/>
    <w:rsid w:val="005B58B5"/>
    <w:rsid w:val="005B5AE6"/>
    <w:rsid w:val="005B5AFD"/>
    <w:rsid w:val="005B5B37"/>
    <w:rsid w:val="005B5B56"/>
    <w:rsid w:val="005B5B8A"/>
    <w:rsid w:val="005B5B91"/>
    <w:rsid w:val="005B5BBF"/>
    <w:rsid w:val="005B5C0E"/>
    <w:rsid w:val="005B5CD3"/>
    <w:rsid w:val="005B5CD9"/>
    <w:rsid w:val="005B5D24"/>
    <w:rsid w:val="005B5DA4"/>
    <w:rsid w:val="005B5E1A"/>
    <w:rsid w:val="005B5E46"/>
    <w:rsid w:val="005B5EB7"/>
    <w:rsid w:val="005B5EEC"/>
    <w:rsid w:val="005B60C2"/>
    <w:rsid w:val="005B6104"/>
    <w:rsid w:val="005B61EC"/>
    <w:rsid w:val="005B62AC"/>
    <w:rsid w:val="005B62B1"/>
    <w:rsid w:val="005B63A1"/>
    <w:rsid w:val="005B63CD"/>
    <w:rsid w:val="005B64B0"/>
    <w:rsid w:val="005B64C2"/>
    <w:rsid w:val="005B6592"/>
    <w:rsid w:val="005B65BC"/>
    <w:rsid w:val="005B65EF"/>
    <w:rsid w:val="005B65F6"/>
    <w:rsid w:val="005B6642"/>
    <w:rsid w:val="005B66DF"/>
    <w:rsid w:val="005B6742"/>
    <w:rsid w:val="005B676B"/>
    <w:rsid w:val="005B69CD"/>
    <w:rsid w:val="005B6A5A"/>
    <w:rsid w:val="005B6AED"/>
    <w:rsid w:val="005B6B21"/>
    <w:rsid w:val="005B6B50"/>
    <w:rsid w:val="005B6BD3"/>
    <w:rsid w:val="005B6BE9"/>
    <w:rsid w:val="005B6C19"/>
    <w:rsid w:val="005B6D38"/>
    <w:rsid w:val="005B6DFC"/>
    <w:rsid w:val="005B6E7C"/>
    <w:rsid w:val="005B6EB8"/>
    <w:rsid w:val="005B6F46"/>
    <w:rsid w:val="005B6FF6"/>
    <w:rsid w:val="005B7011"/>
    <w:rsid w:val="005B7030"/>
    <w:rsid w:val="005B704F"/>
    <w:rsid w:val="005B7087"/>
    <w:rsid w:val="005B7192"/>
    <w:rsid w:val="005B71F6"/>
    <w:rsid w:val="005B7213"/>
    <w:rsid w:val="005B7319"/>
    <w:rsid w:val="005B7324"/>
    <w:rsid w:val="005B73DC"/>
    <w:rsid w:val="005B753E"/>
    <w:rsid w:val="005B7832"/>
    <w:rsid w:val="005B7945"/>
    <w:rsid w:val="005B79CB"/>
    <w:rsid w:val="005B79DF"/>
    <w:rsid w:val="005B79E4"/>
    <w:rsid w:val="005B79FD"/>
    <w:rsid w:val="005B7A5B"/>
    <w:rsid w:val="005B7B62"/>
    <w:rsid w:val="005B7BC9"/>
    <w:rsid w:val="005B7CD6"/>
    <w:rsid w:val="005B7D30"/>
    <w:rsid w:val="005B7E0C"/>
    <w:rsid w:val="005B7E2B"/>
    <w:rsid w:val="005B7E65"/>
    <w:rsid w:val="005B7FBD"/>
    <w:rsid w:val="005C00AB"/>
    <w:rsid w:val="005C0175"/>
    <w:rsid w:val="005C02C2"/>
    <w:rsid w:val="005C03C1"/>
    <w:rsid w:val="005C041B"/>
    <w:rsid w:val="005C043D"/>
    <w:rsid w:val="005C05BA"/>
    <w:rsid w:val="005C0673"/>
    <w:rsid w:val="005C06D5"/>
    <w:rsid w:val="005C080D"/>
    <w:rsid w:val="005C081E"/>
    <w:rsid w:val="005C0893"/>
    <w:rsid w:val="005C08B3"/>
    <w:rsid w:val="005C0930"/>
    <w:rsid w:val="005C0940"/>
    <w:rsid w:val="005C09EE"/>
    <w:rsid w:val="005C09F8"/>
    <w:rsid w:val="005C0B13"/>
    <w:rsid w:val="005C0B2D"/>
    <w:rsid w:val="005C0BAA"/>
    <w:rsid w:val="005C0EF0"/>
    <w:rsid w:val="005C0F81"/>
    <w:rsid w:val="005C1005"/>
    <w:rsid w:val="005C1037"/>
    <w:rsid w:val="005C1073"/>
    <w:rsid w:val="005C1076"/>
    <w:rsid w:val="005C1104"/>
    <w:rsid w:val="005C116C"/>
    <w:rsid w:val="005C11D4"/>
    <w:rsid w:val="005C140E"/>
    <w:rsid w:val="005C1563"/>
    <w:rsid w:val="005C159D"/>
    <w:rsid w:val="005C1605"/>
    <w:rsid w:val="005C175C"/>
    <w:rsid w:val="005C17D2"/>
    <w:rsid w:val="005C19DE"/>
    <w:rsid w:val="005C19E0"/>
    <w:rsid w:val="005C1AF1"/>
    <w:rsid w:val="005C1B36"/>
    <w:rsid w:val="005C1C18"/>
    <w:rsid w:val="005C1CA4"/>
    <w:rsid w:val="005C1CB1"/>
    <w:rsid w:val="005C1CB3"/>
    <w:rsid w:val="005C1D7E"/>
    <w:rsid w:val="005C1DE1"/>
    <w:rsid w:val="005C1F49"/>
    <w:rsid w:val="005C2096"/>
    <w:rsid w:val="005C20C0"/>
    <w:rsid w:val="005C2121"/>
    <w:rsid w:val="005C21CA"/>
    <w:rsid w:val="005C21DB"/>
    <w:rsid w:val="005C22A6"/>
    <w:rsid w:val="005C231D"/>
    <w:rsid w:val="005C23ED"/>
    <w:rsid w:val="005C2408"/>
    <w:rsid w:val="005C252F"/>
    <w:rsid w:val="005C2675"/>
    <w:rsid w:val="005C26AE"/>
    <w:rsid w:val="005C26E7"/>
    <w:rsid w:val="005C26E8"/>
    <w:rsid w:val="005C2766"/>
    <w:rsid w:val="005C27A4"/>
    <w:rsid w:val="005C29B2"/>
    <w:rsid w:val="005C29F0"/>
    <w:rsid w:val="005C2B69"/>
    <w:rsid w:val="005C2B9F"/>
    <w:rsid w:val="005C2BAD"/>
    <w:rsid w:val="005C2E6C"/>
    <w:rsid w:val="005C2E73"/>
    <w:rsid w:val="005C2F6B"/>
    <w:rsid w:val="005C2F92"/>
    <w:rsid w:val="005C315E"/>
    <w:rsid w:val="005C3175"/>
    <w:rsid w:val="005C32D2"/>
    <w:rsid w:val="005C32F4"/>
    <w:rsid w:val="005C3309"/>
    <w:rsid w:val="005C3331"/>
    <w:rsid w:val="005C33BD"/>
    <w:rsid w:val="005C33C8"/>
    <w:rsid w:val="005C33D0"/>
    <w:rsid w:val="005C33F3"/>
    <w:rsid w:val="005C3482"/>
    <w:rsid w:val="005C3534"/>
    <w:rsid w:val="005C3673"/>
    <w:rsid w:val="005C36BB"/>
    <w:rsid w:val="005C37D5"/>
    <w:rsid w:val="005C3825"/>
    <w:rsid w:val="005C3967"/>
    <w:rsid w:val="005C3995"/>
    <w:rsid w:val="005C39B5"/>
    <w:rsid w:val="005C3A03"/>
    <w:rsid w:val="005C3ABB"/>
    <w:rsid w:val="005C3AE9"/>
    <w:rsid w:val="005C3C0E"/>
    <w:rsid w:val="005C3CFD"/>
    <w:rsid w:val="005C3D10"/>
    <w:rsid w:val="005C3E18"/>
    <w:rsid w:val="005C3EE3"/>
    <w:rsid w:val="005C3F95"/>
    <w:rsid w:val="005C3F98"/>
    <w:rsid w:val="005C4058"/>
    <w:rsid w:val="005C4089"/>
    <w:rsid w:val="005C40C7"/>
    <w:rsid w:val="005C40D5"/>
    <w:rsid w:val="005C4170"/>
    <w:rsid w:val="005C419A"/>
    <w:rsid w:val="005C421E"/>
    <w:rsid w:val="005C423A"/>
    <w:rsid w:val="005C423D"/>
    <w:rsid w:val="005C4263"/>
    <w:rsid w:val="005C4308"/>
    <w:rsid w:val="005C431E"/>
    <w:rsid w:val="005C436A"/>
    <w:rsid w:val="005C43CA"/>
    <w:rsid w:val="005C4475"/>
    <w:rsid w:val="005C44AA"/>
    <w:rsid w:val="005C460F"/>
    <w:rsid w:val="005C464A"/>
    <w:rsid w:val="005C46E3"/>
    <w:rsid w:val="005C46ED"/>
    <w:rsid w:val="005C4812"/>
    <w:rsid w:val="005C48BD"/>
    <w:rsid w:val="005C493C"/>
    <w:rsid w:val="005C4AA8"/>
    <w:rsid w:val="005C4B57"/>
    <w:rsid w:val="005C4B85"/>
    <w:rsid w:val="005C4C81"/>
    <w:rsid w:val="005C4C8F"/>
    <w:rsid w:val="005C4CEA"/>
    <w:rsid w:val="005C4D69"/>
    <w:rsid w:val="005C4E10"/>
    <w:rsid w:val="005C4F3B"/>
    <w:rsid w:val="005C515A"/>
    <w:rsid w:val="005C523F"/>
    <w:rsid w:val="005C529B"/>
    <w:rsid w:val="005C52CD"/>
    <w:rsid w:val="005C5422"/>
    <w:rsid w:val="005C54F6"/>
    <w:rsid w:val="005C5651"/>
    <w:rsid w:val="005C5727"/>
    <w:rsid w:val="005C57DD"/>
    <w:rsid w:val="005C5972"/>
    <w:rsid w:val="005C5A79"/>
    <w:rsid w:val="005C5A8A"/>
    <w:rsid w:val="005C5A9A"/>
    <w:rsid w:val="005C5A9D"/>
    <w:rsid w:val="005C5AFA"/>
    <w:rsid w:val="005C5B9A"/>
    <w:rsid w:val="005C5BF1"/>
    <w:rsid w:val="005C5C21"/>
    <w:rsid w:val="005C5CAD"/>
    <w:rsid w:val="005C5CB7"/>
    <w:rsid w:val="005C5D5A"/>
    <w:rsid w:val="005C5DA8"/>
    <w:rsid w:val="005C5E7E"/>
    <w:rsid w:val="005C5F7E"/>
    <w:rsid w:val="005C606D"/>
    <w:rsid w:val="005C612D"/>
    <w:rsid w:val="005C6146"/>
    <w:rsid w:val="005C6194"/>
    <w:rsid w:val="005C6251"/>
    <w:rsid w:val="005C62FF"/>
    <w:rsid w:val="005C64C1"/>
    <w:rsid w:val="005C65E3"/>
    <w:rsid w:val="005C660F"/>
    <w:rsid w:val="005C6729"/>
    <w:rsid w:val="005C6862"/>
    <w:rsid w:val="005C687C"/>
    <w:rsid w:val="005C6AE8"/>
    <w:rsid w:val="005C6B0B"/>
    <w:rsid w:val="005C6B3A"/>
    <w:rsid w:val="005C6B59"/>
    <w:rsid w:val="005C6C65"/>
    <w:rsid w:val="005C6D32"/>
    <w:rsid w:val="005C6DE5"/>
    <w:rsid w:val="005C6DEC"/>
    <w:rsid w:val="005C6E04"/>
    <w:rsid w:val="005C6EE6"/>
    <w:rsid w:val="005C6F1D"/>
    <w:rsid w:val="005C6F73"/>
    <w:rsid w:val="005C6FB0"/>
    <w:rsid w:val="005C6FD1"/>
    <w:rsid w:val="005C702D"/>
    <w:rsid w:val="005C7066"/>
    <w:rsid w:val="005C708E"/>
    <w:rsid w:val="005C7093"/>
    <w:rsid w:val="005C717D"/>
    <w:rsid w:val="005C71C7"/>
    <w:rsid w:val="005C727B"/>
    <w:rsid w:val="005C73A3"/>
    <w:rsid w:val="005C73CF"/>
    <w:rsid w:val="005C74AC"/>
    <w:rsid w:val="005C75A2"/>
    <w:rsid w:val="005C75D2"/>
    <w:rsid w:val="005C773C"/>
    <w:rsid w:val="005C778E"/>
    <w:rsid w:val="005C7A52"/>
    <w:rsid w:val="005C7A82"/>
    <w:rsid w:val="005C7B06"/>
    <w:rsid w:val="005C7B1A"/>
    <w:rsid w:val="005C7B47"/>
    <w:rsid w:val="005C7CC6"/>
    <w:rsid w:val="005C7CCC"/>
    <w:rsid w:val="005C7CEC"/>
    <w:rsid w:val="005C7D4C"/>
    <w:rsid w:val="005C7DAA"/>
    <w:rsid w:val="005C7DBE"/>
    <w:rsid w:val="005C7EDC"/>
    <w:rsid w:val="005C7FA7"/>
    <w:rsid w:val="005C7FD0"/>
    <w:rsid w:val="005D003A"/>
    <w:rsid w:val="005D00A1"/>
    <w:rsid w:val="005D0146"/>
    <w:rsid w:val="005D0249"/>
    <w:rsid w:val="005D02BB"/>
    <w:rsid w:val="005D02DC"/>
    <w:rsid w:val="005D037C"/>
    <w:rsid w:val="005D03BD"/>
    <w:rsid w:val="005D0407"/>
    <w:rsid w:val="005D0447"/>
    <w:rsid w:val="005D047D"/>
    <w:rsid w:val="005D0494"/>
    <w:rsid w:val="005D04A0"/>
    <w:rsid w:val="005D04D6"/>
    <w:rsid w:val="005D051C"/>
    <w:rsid w:val="005D059A"/>
    <w:rsid w:val="005D06E9"/>
    <w:rsid w:val="005D0766"/>
    <w:rsid w:val="005D0769"/>
    <w:rsid w:val="005D07B9"/>
    <w:rsid w:val="005D0866"/>
    <w:rsid w:val="005D08AB"/>
    <w:rsid w:val="005D098B"/>
    <w:rsid w:val="005D0A00"/>
    <w:rsid w:val="005D0A72"/>
    <w:rsid w:val="005D0B5B"/>
    <w:rsid w:val="005D0F3E"/>
    <w:rsid w:val="005D0FDD"/>
    <w:rsid w:val="005D101C"/>
    <w:rsid w:val="005D1091"/>
    <w:rsid w:val="005D1143"/>
    <w:rsid w:val="005D11FD"/>
    <w:rsid w:val="005D127B"/>
    <w:rsid w:val="005D135A"/>
    <w:rsid w:val="005D13F3"/>
    <w:rsid w:val="005D1478"/>
    <w:rsid w:val="005D14B0"/>
    <w:rsid w:val="005D154D"/>
    <w:rsid w:val="005D1578"/>
    <w:rsid w:val="005D160C"/>
    <w:rsid w:val="005D17C6"/>
    <w:rsid w:val="005D1874"/>
    <w:rsid w:val="005D192C"/>
    <w:rsid w:val="005D1962"/>
    <w:rsid w:val="005D1964"/>
    <w:rsid w:val="005D1A32"/>
    <w:rsid w:val="005D1A57"/>
    <w:rsid w:val="005D1A95"/>
    <w:rsid w:val="005D1ABE"/>
    <w:rsid w:val="005D1ADF"/>
    <w:rsid w:val="005D1C6C"/>
    <w:rsid w:val="005D1D95"/>
    <w:rsid w:val="005D1DCB"/>
    <w:rsid w:val="005D1E03"/>
    <w:rsid w:val="005D1EE8"/>
    <w:rsid w:val="005D1FD3"/>
    <w:rsid w:val="005D207F"/>
    <w:rsid w:val="005D20D0"/>
    <w:rsid w:val="005D214B"/>
    <w:rsid w:val="005D2177"/>
    <w:rsid w:val="005D227C"/>
    <w:rsid w:val="005D22F4"/>
    <w:rsid w:val="005D23A1"/>
    <w:rsid w:val="005D2521"/>
    <w:rsid w:val="005D2544"/>
    <w:rsid w:val="005D2629"/>
    <w:rsid w:val="005D2643"/>
    <w:rsid w:val="005D26ED"/>
    <w:rsid w:val="005D270D"/>
    <w:rsid w:val="005D288E"/>
    <w:rsid w:val="005D28AB"/>
    <w:rsid w:val="005D29B2"/>
    <w:rsid w:val="005D2ACB"/>
    <w:rsid w:val="005D2B81"/>
    <w:rsid w:val="005D2B88"/>
    <w:rsid w:val="005D2D50"/>
    <w:rsid w:val="005D2DB1"/>
    <w:rsid w:val="005D2E53"/>
    <w:rsid w:val="005D2F64"/>
    <w:rsid w:val="005D3095"/>
    <w:rsid w:val="005D317B"/>
    <w:rsid w:val="005D3241"/>
    <w:rsid w:val="005D3272"/>
    <w:rsid w:val="005D327C"/>
    <w:rsid w:val="005D35A8"/>
    <w:rsid w:val="005D3690"/>
    <w:rsid w:val="005D3749"/>
    <w:rsid w:val="005D389E"/>
    <w:rsid w:val="005D3A61"/>
    <w:rsid w:val="005D3AD0"/>
    <w:rsid w:val="005D3B13"/>
    <w:rsid w:val="005D3B73"/>
    <w:rsid w:val="005D3DA9"/>
    <w:rsid w:val="005D3E50"/>
    <w:rsid w:val="005D3EFF"/>
    <w:rsid w:val="005D3F58"/>
    <w:rsid w:val="005D4061"/>
    <w:rsid w:val="005D40BE"/>
    <w:rsid w:val="005D40D8"/>
    <w:rsid w:val="005D4155"/>
    <w:rsid w:val="005D416F"/>
    <w:rsid w:val="005D4187"/>
    <w:rsid w:val="005D4282"/>
    <w:rsid w:val="005D429C"/>
    <w:rsid w:val="005D42E4"/>
    <w:rsid w:val="005D430E"/>
    <w:rsid w:val="005D4318"/>
    <w:rsid w:val="005D4337"/>
    <w:rsid w:val="005D43A1"/>
    <w:rsid w:val="005D44D3"/>
    <w:rsid w:val="005D4573"/>
    <w:rsid w:val="005D4622"/>
    <w:rsid w:val="005D4659"/>
    <w:rsid w:val="005D46C5"/>
    <w:rsid w:val="005D48C9"/>
    <w:rsid w:val="005D4905"/>
    <w:rsid w:val="005D494E"/>
    <w:rsid w:val="005D494F"/>
    <w:rsid w:val="005D49F0"/>
    <w:rsid w:val="005D4AC4"/>
    <w:rsid w:val="005D4BA2"/>
    <w:rsid w:val="005D4BE9"/>
    <w:rsid w:val="005D4D75"/>
    <w:rsid w:val="005D4EED"/>
    <w:rsid w:val="005D4FAB"/>
    <w:rsid w:val="005D50AD"/>
    <w:rsid w:val="005D51B7"/>
    <w:rsid w:val="005D5257"/>
    <w:rsid w:val="005D5392"/>
    <w:rsid w:val="005D53F1"/>
    <w:rsid w:val="005D5591"/>
    <w:rsid w:val="005D562D"/>
    <w:rsid w:val="005D56BF"/>
    <w:rsid w:val="005D56FA"/>
    <w:rsid w:val="005D5882"/>
    <w:rsid w:val="005D58EE"/>
    <w:rsid w:val="005D5994"/>
    <w:rsid w:val="005D5AD1"/>
    <w:rsid w:val="005D5B5C"/>
    <w:rsid w:val="005D5BB5"/>
    <w:rsid w:val="005D5BCF"/>
    <w:rsid w:val="005D5CF4"/>
    <w:rsid w:val="005D5E0B"/>
    <w:rsid w:val="005D5E70"/>
    <w:rsid w:val="005D62AA"/>
    <w:rsid w:val="005D62E0"/>
    <w:rsid w:val="005D63A6"/>
    <w:rsid w:val="005D647D"/>
    <w:rsid w:val="005D6493"/>
    <w:rsid w:val="005D6545"/>
    <w:rsid w:val="005D65D7"/>
    <w:rsid w:val="005D668C"/>
    <w:rsid w:val="005D67F3"/>
    <w:rsid w:val="005D68F9"/>
    <w:rsid w:val="005D6957"/>
    <w:rsid w:val="005D6AD8"/>
    <w:rsid w:val="005D6BD1"/>
    <w:rsid w:val="005D6BD8"/>
    <w:rsid w:val="005D6D29"/>
    <w:rsid w:val="005D6E53"/>
    <w:rsid w:val="005D6E6C"/>
    <w:rsid w:val="005D6E86"/>
    <w:rsid w:val="005D6EAB"/>
    <w:rsid w:val="005D6F84"/>
    <w:rsid w:val="005D7018"/>
    <w:rsid w:val="005D7065"/>
    <w:rsid w:val="005D70F0"/>
    <w:rsid w:val="005D7184"/>
    <w:rsid w:val="005D7293"/>
    <w:rsid w:val="005D7445"/>
    <w:rsid w:val="005D7619"/>
    <w:rsid w:val="005D762F"/>
    <w:rsid w:val="005D7632"/>
    <w:rsid w:val="005D7663"/>
    <w:rsid w:val="005D7669"/>
    <w:rsid w:val="005D76FB"/>
    <w:rsid w:val="005D7738"/>
    <w:rsid w:val="005D79C6"/>
    <w:rsid w:val="005D7B4B"/>
    <w:rsid w:val="005D7B76"/>
    <w:rsid w:val="005D7BBC"/>
    <w:rsid w:val="005D7BF2"/>
    <w:rsid w:val="005D7C31"/>
    <w:rsid w:val="005D7C60"/>
    <w:rsid w:val="005D7E2B"/>
    <w:rsid w:val="005D7E45"/>
    <w:rsid w:val="005D7E4D"/>
    <w:rsid w:val="005E00D7"/>
    <w:rsid w:val="005E01E7"/>
    <w:rsid w:val="005E043C"/>
    <w:rsid w:val="005E0464"/>
    <w:rsid w:val="005E04E9"/>
    <w:rsid w:val="005E052D"/>
    <w:rsid w:val="005E053E"/>
    <w:rsid w:val="005E0542"/>
    <w:rsid w:val="005E0556"/>
    <w:rsid w:val="005E06D7"/>
    <w:rsid w:val="005E074F"/>
    <w:rsid w:val="005E07AC"/>
    <w:rsid w:val="005E07D9"/>
    <w:rsid w:val="005E082B"/>
    <w:rsid w:val="005E08F2"/>
    <w:rsid w:val="005E0916"/>
    <w:rsid w:val="005E0992"/>
    <w:rsid w:val="005E09E5"/>
    <w:rsid w:val="005E0CC5"/>
    <w:rsid w:val="005E0DAF"/>
    <w:rsid w:val="005E0E3B"/>
    <w:rsid w:val="005E10E5"/>
    <w:rsid w:val="005E11D4"/>
    <w:rsid w:val="005E123F"/>
    <w:rsid w:val="005E1438"/>
    <w:rsid w:val="005E1620"/>
    <w:rsid w:val="005E1783"/>
    <w:rsid w:val="005E178E"/>
    <w:rsid w:val="005E1841"/>
    <w:rsid w:val="005E1864"/>
    <w:rsid w:val="005E18A3"/>
    <w:rsid w:val="005E18CC"/>
    <w:rsid w:val="005E1976"/>
    <w:rsid w:val="005E1A0E"/>
    <w:rsid w:val="005E1A39"/>
    <w:rsid w:val="005E1A6A"/>
    <w:rsid w:val="005E1B43"/>
    <w:rsid w:val="005E1C94"/>
    <w:rsid w:val="005E1CC5"/>
    <w:rsid w:val="005E1CC8"/>
    <w:rsid w:val="005E1CEB"/>
    <w:rsid w:val="005E1DFC"/>
    <w:rsid w:val="005E1E24"/>
    <w:rsid w:val="005E1E2D"/>
    <w:rsid w:val="005E1E3A"/>
    <w:rsid w:val="005E1F44"/>
    <w:rsid w:val="005E200D"/>
    <w:rsid w:val="005E20EE"/>
    <w:rsid w:val="005E22FF"/>
    <w:rsid w:val="005E232A"/>
    <w:rsid w:val="005E23EC"/>
    <w:rsid w:val="005E240A"/>
    <w:rsid w:val="005E2434"/>
    <w:rsid w:val="005E253F"/>
    <w:rsid w:val="005E254D"/>
    <w:rsid w:val="005E2567"/>
    <w:rsid w:val="005E2666"/>
    <w:rsid w:val="005E2684"/>
    <w:rsid w:val="005E2760"/>
    <w:rsid w:val="005E28BF"/>
    <w:rsid w:val="005E28E3"/>
    <w:rsid w:val="005E2923"/>
    <w:rsid w:val="005E29F2"/>
    <w:rsid w:val="005E2A50"/>
    <w:rsid w:val="005E2B30"/>
    <w:rsid w:val="005E2B75"/>
    <w:rsid w:val="005E2BB5"/>
    <w:rsid w:val="005E2D3C"/>
    <w:rsid w:val="005E2D88"/>
    <w:rsid w:val="005E2DA0"/>
    <w:rsid w:val="005E2DBC"/>
    <w:rsid w:val="005E2E94"/>
    <w:rsid w:val="005E2F77"/>
    <w:rsid w:val="005E301A"/>
    <w:rsid w:val="005E3043"/>
    <w:rsid w:val="005E30E5"/>
    <w:rsid w:val="005E3128"/>
    <w:rsid w:val="005E3218"/>
    <w:rsid w:val="005E324E"/>
    <w:rsid w:val="005E32DA"/>
    <w:rsid w:val="005E3338"/>
    <w:rsid w:val="005E3363"/>
    <w:rsid w:val="005E33C0"/>
    <w:rsid w:val="005E3522"/>
    <w:rsid w:val="005E354A"/>
    <w:rsid w:val="005E354C"/>
    <w:rsid w:val="005E35C2"/>
    <w:rsid w:val="005E35F0"/>
    <w:rsid w:val="005E367D"/>
    <w:rsid w:val="005E36F8"/>
    <w:rsid w:val="005E3779"/>
    <w:rsid w:val="005E37C4"/>
    <w:rsid w:val="005E37C8"/>
    <w:rsid w:val="005E37FA"/>
    <w:rsid w:val="005E38F4"/>
    <w:rsid w:val="005E3BDC"/>
    <w:rsid w:val="005E3D34"/>
    <w:rsid w:val="005E3E08"/>
    <w:rsid w:val="005E3EBA"/>
    <w:rsid w:val="005E4004"/>
    <w:rsid w:val="005E401A"/>
    <w:rsid w:val="005E4023"/>
    <w:rsid w:val="005E40A8"/>
    <w:rsid w:val="005E411E"/>
    <w:rsid w:val="005E44DB"/>
    <w:rsid w:val="005E45C5"/>
    <w:rsid w:val="005E4772"/>
    <w:rsid w:val="005E47BC"/>
    <w:rsid w:val="005E4824"/>
    <w:rsid w:val="005E4846"/>
    <w:rsid w:val="005E4863"/>
    <w:rsid w:val="005E48A2"/>
    <w:rsid w:val="005E48C7"/>
    <w:rsid w:val="005E4B1E"/>
    <w:rsid w:val="005E4B68"/>
    <w:rsid w:val="005E4C1C"/>
    <w:rsid w:val="005E4C40"/>
    <w:rsid w:val="005E4D2C"/>
    <w:rsid w:val="005E4D45"/>
    <w:rsid w:val="005E4DB3"/>
    <w:rsid w:val="005E4E2C"/>
    <w:rsid w:val="005E4F0F"/>
    <w:rsid w:val="005E4FF6"/>
    <w:rsid w:val="005E5068"/>
    <w:rsid w:val="005E512B"/>
    <w:rsid w:val="005E51B1"/>
    <w:rsid w:val="005E52DB"/>
    <w:rsid w:val="005E5366"/>
    <w:rsid w:val="005E540E"/>
    <w:rsid w:val="005E5453"/>
    <w:rsid w:val="005E54B2"/>
    <w:rsid w:val="005E557E"/>
    <w:rsid w:val="005E5651"/>
    <w:rsid w:val="005E56DC"/>
    <w:rsid w:val="005E58BB"/>
    <w:rsid w:val="005E59AC"/>
    <w:rsid w:val="005E59CB"/>
    <w:rsid w:val="005E59D7"/>
    <w:rsid w:val="005E59FF"/>
    <w:rsid w:val="005E5A02"/>
    <w:rsid w:val="005E5AE2"/>
    <w:rsid w:val="005E5C2F"/>
    <w:rsid w:val="005E5D1F"/>
    <w:rsid w:val="005E5D3F"/>
    <w:rsid w:val="005E5D81"/>
    <w:rsid w:val="005E5E2B"/>
    <w:rsid w:val="005E5E7F"/>
    <w:rsid w:val="005E5E97"/>
    <w:rsid w:val="005E5EE6"/>
    <w:rsid w:val="005E5FA1"/>
    <w:rsid w:val="005E6072"/>
    <w:rsid w:val="005E60B0"/>
    <w:rsid w:val="005E61DD"/>
    <w:rsid w:val="005E61E2"/>
    <w:rsid w:val="005E6317"/>
    <w:rsid w:val="005E6349"/>
    <w:rsid w:val="005E645A"/>
    <w:rsid w:val="005E6517"/>
    <w:rsid w:val="005E6814"/>
    <w:rsid w:val="005E688D"/>
    <w:rsid w:val="005E68C7"/>
    <w:rsid w:val="005E68F2"/>
    <w:rsid w:val="005E6B02"/>
    <w:rsid w:val="005E6B1F"/>
    <w:rsid w:val="005E6B5F"/>
    <w:rsid w:val="005E6B6A"/>
    <w:rsid w:val="005E6B92"/>
    <w:rsid w:val="005E6C8E"/>
    <w:rsid w:val="005E6D1C"/>
    <w:rsid w:val="005E6E61"/>
    <w:rsid w:val="005E6EE5"/>
    <w:rsid w:val="005E6EFE"/>
    <w:rsid w:val="005E6F74"/>
    <w:rsid w:val="005E6FCB"/>
    <w:rsid w:val="005E7021"/>
    <w:rsid w:val="005E7035"/>
    <w:rsid w:val="005E7041"/>
    <w:rsid w:val="005E70D3"/>
    <w:rsid w:val="005E70DD"/>
    <w:rsid w:val="005E718C"/>
    <w:rsid w:val="005E7265"/>
    <w:rsid w:val="005E7310"/>
    <w:rsid w:val="005E7332"/>
    <w:rsid w:val="005E7374"/>
    <w:rsid w:val="005E73BD"/>
    <w:rsid w:val="005E74C3"/>
    <w:rsid w:val="005E7553"/>
    <w:rsid w:val="005E768C"/>
    <w:rsid w:val="005E7868"/>
    <w:rsid w:val="005E78F5"/>
    <w:rsid w:val="005E792A"/>
    <w:rsid w:val="005E7ACB"/>
    <w:rsid w:val="005E7B04"/>
    <w:rsid w:val="005E7B2C"/>
    <w:rsid w:val="005E7BBD"/>
    <w:rsid w:val="005E7BC6"/>
    <w:rsid w:val="005E7C67"/>
    <w:rsid w:val="005E7D1A"/>
    <w:rsid w:val="005E7D3F"/>
    <w:rsid w:val="005E7D6E"/>
    <w:rsid w:val="005E7DF1"/>
    <w:rsid w:val="005E7E01"/>
    <w:rsid w:val="005E7E98"/>
    <w:rsid w:val="005E7F6C"/>
    <w:rsid w:val="005E7F97"/>
    <w:rsid w:val="005E7FF3"/>
    <w:rsid w:val="005F0134"/>
    <w:rsid w:val="005F01EB"/>
    <w:rsid w:val="005F0396"/>
    <w:rsid w:val="005F03AA"/>
    <w:rsid w:val="005F03AF"/>
    <w:rsid w:val="005F0428"/>
    <w:rsid w:val="005F0460"/>
    <w:rsid w:val="005F04A5"/>
    <w:rsid w:val="005F0508"/>
    <w:rsid w:val="005F0528"/>
    <w:rsid w:val="005F0538"/>
    <w:rsid w:val="005F065F"/>
    <w:rsid w:val="005F06C4"/>
    <w:rsid w:val="005F0703"/>
    <w:rsid w:val="005F072B"/>
    <w:rsid w:val="005F073A"/>
    <w:rsid w:val="005F0743"/>
    <w:rsid w:val="005F074A"/>
    <w:rsid w:val="005F079A"/>
    <w:rsid w:val="005F07A2"/>
    <w:rsid w:val="005F07E0"/>
    <w:rsid w:val="005F0A0B"/>
    <w:rsid w:val="005F0B37"/>
    <w:rsid w:val="005F0BEF"/>
    <w:rsid w:val="005F0D20"/>
    <w:rsid w:val="005F0D61"/>
    <w:rsid w:val="005F0D63"/>
    <w:rsid w:val="005F0DAA"/>
    <w:rsid w:val="005F0E09"/>
    <w:rsid w:val="005F0EBC"/>
    <w:rsid w:val="005F10B4"/>
    <w:rsid w:val="005F10ED"/>
    <w:rsid w:val="005F1317"/>
    <w:rsid w:val="005F13FE"/>
    <w:rsid w:val="005F16A7"/>
    <w:rsid w:val="005F1724"/>
    <w:rsid w:val="005F1877"/>
    <w:rsid w:val="005F1936"/>
    <w:rsid w:val="005F1944"/>
    <w:rsid w:val="005F1972"/>
    <w:rsid w:val="005F1AEF"/>
    <w:rsid w:val="005F1B37"/>
    <w:rsid w:val="005F1B54"/>
    <w:rsid w:val="005F1BC3"/>
    <w:rsid w:val="005F1BE1"/>
    <w:rsid w:val="005F1BF6"/>
    <w:rsid w:val="005F1CC2"/>
    <w:rsid w:val="005F1E04"/>
    <w:rsid w:val="005F1F7A"/>
    <w:rsid w:val="005F2046"/>
    <w:rsid w:val="005F231D"/>
    <w:rsid w:val="005F2340"/>
    <w:rsid w:val="005F2355"/>
    <w:rsid w:val="005F239E"/>
    <w:rsid w:val="005F23FB"/>
    <w:rsid w:val="005F24B8"/>
    <w:rsid w:val="005F258B"/>
    <w:rsid w:val="005F2611"/>
    <w:rsid w:val="005F2636"/>
    <w:rsid w:val="005F268C"/>
    <w:rsid w:val="005F26EC"/>
    <w:rsid w:val="005F28B3"/>
    <w:rsid w:val="005F2909"/>
    <w:rsid w:val="005F2A12"/>
    <w:rsid w:val="005F2AB6"/>
    <w:rsid w:val="005F2B50"/>
    <w:rsid w:val="005F2B58"/>
    <w:rsid w:val="005F2BBB"/>
    <w:rsid w:val="005F2C03"/>
    <w:rsid w:val="005F2C9C"/>
    <w:rsid w:val="005F2CDB"/>
    <w:rsid w:val="005F2E5B"/>
    <w:rsid w:val="005F2E70"/>
    <w:rsid w:val="005F2F06"/>
    <w:rsid w:val="005F2F43"/>
    <w:rsid w:val="005F303E"/>
    <w:rsid w:val="005F314A"/>
    <w:rsid w:val="005F31DD"/>
    <w:rsid w:val="005F3218"/>
    <w:rsid w:val="005F329D"/>
    <w:rsid w:val="005F32B9"/>
    <w:rsid w:val="005F32C5"/>
    <w:rsid w:val="005F32DC"/>
    <w:rsid w:val="005F32F4"/>
    <w:rsid w:val="005F3315"/>
    <w:rsid w:val="005F33F4"/>
    <w:rsid w:val="005F354D"/>
    <w:rsid w:val="005F35AD"/>
    <w:rsid w:val="005F35ED"/>
    <w:rsid w:val="005F367A"/>
    <w:rsid w:val="005F368D"/>
    <w:rsid w:val="005F36A7"/>
    <w:rsid w:val="005F36C2"/>
    <w:rsid w:val="005F3736"/>
    <w:rsid w:val="005F37D5"/>
    <w:rsid w:val="005F37E8"/>
    <w:rsid w:val="005F3863"/>
    <w:rsid w:val="005F3869"/>
    <w:rsid w:val="005F38C0"/>
    <w:rsid w:val="005F3958"/>
    <w:rsid w:val="005F3AF3"/>
    <w:rsid w:val="005F3B1B"/>
    <w:rsid w:val="005F3B70"/>
    <w:rsid w:val="005F3C06"/>
    <w:rsid w:val="005F3C1E"/>
    <w:rsid w:val="005F3CFE"/>
    <w:rsid w:val="005F3E23"/>
    <w:rsid w:val="005F3E3D"/>
    <w:rsid w:val="005F3E60"/>
    <w:rsid w:val="005F3F90"/>
    <w:rsid w:val="005F3FE7"/>
    <w:rsid w:val="005F4025"/>
    <w:rsid w:val="005F4122"/>
    <w:rsid w:val="005F417D"/>
    <w:rsid w:val="005F41DB"/>
    <w:rsid w:val="005F4238"/>
    <w:rsid w:val="005F428B"/>
    <w:rsid w:val="005F4348"/>
    <w:rsid w:val="005F4392"/>
    <w:rsid w:val="005F4405"/>
    <w:rsid w:val="005F45C6"/>
    <w:rsid w:val="005F46F0"/>
    <w:rsid w:val="005F4734"/>
    <w:rsid w:val="005F480B"/>
    <w:rsid w:val="005F48AB"/>
    <w:rsid w:val="005F4ACA"/>
    <w:rsid w:val="005F4B23"/>
    <w:rsid w:val="005F4C22"/>
    <w:rsid w:val="005F4D1E"/>
    <w:rsid w:val="005F4D61"/>
    <w:rsid w:val="005F4DFA"/>
    <w:rsid w:val="005F4FFC"/>
    <w:rsid w:val="005F506C"/>
    <w:rsid w:val="005F5091"/>
    <w:rsid w:val="005F50A5"/>
    <w:rsid w:val="005F51FA"/>
    <w:rsid w:val="005F52AB"/>
    <w:rsid w:val="005F5300"/>
    <w:rsid w:val="005F5336"/>
    <w:rsid w:val="005F5358"/>
    <w:rsid w:val="005F53D2"/>
    <w:rsid w:val="005F53D5"/>
    <w:rsid w:val="005F540C"/>
    <w:rsid w:val="005F54B0"/>
    <w:rsid w:val="005F5517"/>
    <w:rsid w:val="005F554D"/>
    <w:rsid w:val="005F5579"/>
    <w:rsid w:val="005F55CC"/>
    <w:rsid w:val="005F565B"/>
    <w:rsid w:val="005F571C"/>
    <w:rsid w:val="005F5752"/>
    <w:rsid w:val="005F5880"/>
    <w:rsid w:val="005F58CE"/>
    <w:rsid w:val="005F5905"/>
    <w:rsid w:val="005F5945"/>
    <w:rsid w:val="005F5A1B"/>
    <w:rsid w:val="005F5BB7"/>
    <w:rsid w:val="005F5C46"/>
    <w:rsid w:val="005F5E34"/>
    <w:rsid w:val="005F5E77"/>
    <w:rsid w:val="005F5F6C"/>
    <w:rsid w:val="005F5F7A"/>
    <w:rsid w:val="005F5FAD"/>
    <w:rsid w:val="005F6021"/>
    <w:rsid w:val="005F606B"/>
    <w:rsid w:val="005F60A3"/>
    <w:rsid w:val="005F6129"/>
    <w:rsid w:val="005F61A4"/>
    <w:rsid w:val="005F61D2"/>
    <w:rsid w:val="005F6237"/>
    <w:rsid w:val="005F62D5"/>
    <w:rsid w:val="005F634C"/>
    <w:rsid w:val="005F6397"/>
    <w:rsid w:val="005F63F8"/>
    <w:rsid w:val="005F641A"/>
    <w:rsid w:val="005F653A"/>
    <w:rsid w:val="005F6671"/>
    <w:rsid w:val="005F668D"/>
    <w:rsid w:val="005F66A8"/>
    <w:rsid w:val="005F6712"/>
    <w:rsid w:val="005F6769"/>
    <w:rsid w:val="005F6859"/>
    <w:rsid w:val="005F6886"/>
    <w:rsid w:val="005F6B18"/>
    <w:rsid w:val="005F6B60"/>
    <w:rsid w:val="005F6BF9"/>
    <w:rsid w:val="005F6C9A"/>
    <w:rsid w:val="005F6DEF"/>
    <w:rsid w:val="005F6E1A"/>
    <w:rsid w:val="005F6E36"/>
    <w:rsid w:val="005F6F75"/>
    <w:rsid w:val="005F6FB8"/>
    <w:rsid w:val="005F709E"/>
    <w:rsid w:val="005F7138"/>
    <w:rsid w:val="005F71C7"/>
    <w:rsid w:val="005F7209"/>
    <w:rsid w:val="005F73DC"/>
    <w:rsid w:val="005F753F"/>
    <w:rsid w:val="005F756E"/>
    <w:rsid w:val="005F759A"/>
    <w:rsid w:val="005F76EE"/>
    <w:rsid w:val="005F7A38"/>
    <w:rsid w:val="005F7B22"/>
    <w:rsid w:val="005F7BC0"/>
    <w:rsid w:val="005F7C41"/>
    <w:rsid w:val="005F7C9C"/>
    <w:rsid w:val="005F7D50"/>
    <w:rsid w:val="005F7DD9"/>
    <w:rsid w:val="00600023"/>
    <w:rsid w:val="00600064"/>
    <w:rsid w:val="006000F3"/>
    <w:rsid w:val="00600116"/>
    <w:rsid w:val="00600209"/>
    <w:rsid w:val="0060020E"/>
    <w:rsid w:val="00600215"/>
    <w:rsid w:val="0060043A"/>
    <w:rsid w:val="0060055C"/>
    <w:rsid w:val="0060056B"/>
    <w:rsid w:val="0060059B"/>
    <w:rsid w:val="0060062E"/>
    <w:rsid w:val="00600639"/>
    <w:rsid w:val="00600660"/>
    <w:rsid w:val="0060066D"/>
    <w:rsid w:val="00600727"/>
    <w:rsid w:val="00600776"/>
    <w:rsid w:val="00600780"/>
    <w:rsid w:val="006007A3"/>
    <w:rsid w:val="0060082B"/>
    <w:rsid w:val="0060089E"/>
    <w:rsid w:val="006008F1"/>
    <w:rsid w:val="006008F7"/>
    <w:rsid w:val="0060090D"/>
    <w:rsid w:val="00600930"/>
    <w:rsid w:val="00600A2B"/>
    <w:rsid w:val="00600A76"/>
    <w:rsid w:val="00600B6D"/>
    <w:rsid w:val="00600B8F"/>
    <w:rsid w:val="00600BBD"/>
    <w:rsid w:val="00600BCF"/>
    <w:rsid w:val="00600C37"/>
    <w:rsid w:val="00600C62"/>
    <w:rsid w:val="00600CA2"/>
    <w:rsid w:val="00600D92"/>
    <w:rsid w:val="00600DC9"/>
    <w:rsid w:val="00600E6B"/>
    <w:rsid w:val="00600E7E"/>
    <w:rsid w:val="00600F61"/>
    <w:rsid w:val="00600F77"/>
    <w:rsid w:val="00600F81"/>
    <w:rsid w:val="00600F88"/>
    <w:rsid w:val="00601039"/>
    <w:rsid w:val="006010A1"/>
    <w:rsid w:val="00601146"/>
    <w:rsid w:val="006011C7"/>
    <w:rsid w:val="00601228"/>
    <w:rsid w:val="0060128A"/>
    <w:rsid w:val="006012D9"/>
    <w:rsid w:val="00601398"/>
    <w:rsid w:val="006013AA"/>
    <w:rsid w:val="006014E3"/>
    <w:rsid w:val="00601504"/>
    <w:rsid w:val="0060170E"/>
    <w:rsid w:val="00601814"/>
    <w:rsid w:val="00601823"/>
    <w:rsid w:val="006018EF"/>
    <w:rsid w:val="0060193B"/>
    <w:rsid w:val="00601984"/>
    <w:rsid w:val="00601A18"/>
    <w:rsid w:val="00601A87"/>
    <w:rsid w:val="00601B35"/>
    <w:rsid w:val="00601BE7"/>
    <w:rsid w:val="00601C57"/>
    <w:rsid w:val="00601C78"/>
    <w:rsid w:val="00601F9D"/>
    <w:rsid w:val="00601F9E"/>
    <w:rsid w:val="00601FAB"/>
    <w:rsid w:val="00601FEE"/>
    <w:rsid w:val="00602007"/>
    <w:rsid w:val="00602060"/>
    <w:rsid w:val="0060207D"/>
    <w:rsid w:val="006022BF"/>
    <w:rsid w:val="0060230A"/>
    <w:rsid w:val="00602522"/>
    <w:rsid w:val="0060253D"/>
    <w:rsid w:val="00602577"/>
    <w:rsid w:val="006025C5"/>
    <w:rsid w:val="006025E5"/>
    <w:rsid w:val="0060268F"/>
    <w:rsid w:val="006026F2"/>
    <w:rsid w:val="0060274C"/>
    <w:rsid w:val="0060279F"/>
    <w:rsid w:val="006028FA"/>
    <w:rsid w:val="00602925"/>
    <w:rsid w:val="00602A49"/>
    <w:rsid w:val="00602B21"/>
    <w:rsid w:val="00602B53"/>
    <w:rsid w:val="00602CD7"/>
    <w:rsid w:val="00602D81"/>
    <w:rsid w:val="00602D85"/>
    <w:rsid w:val="00602E93"/>
    <w:rsid w:val="00602EE3"/>
    <w:rsid w:val="00602F5C"/>
    <w:rsid w:val="00603059"/>
    <w:rsid w:val="006030DD"/>
    <w:rsid w:val="0060312E"/>
    <w:rsid w:val="006031B8"/>
    <w:rsid w:val="00603257"/>
    <w:rsid w:val="00603275"/>
    <w:rsid w:val="0060329F"/>
    <w:rsid w:val="006033CC"/>
    <w:rsid w:val="0060344D"/>
    <w:rsid w:val="00603514"/>
    <w:rsid w:val="006035EE"/>
    <w:rsid w:val="00603670"/>
    <w:rsid w:val="006037D9"/>
    <w:rsid w:val="0060381F"/>
    <w:rsid w:val="00603AA6"/>
    <w:rsid w:val="00603B52"/>
    <w:rsid w:val="00603B54"/>
    <w:rsid w:val="00603B65"/>
    <w:rsid w:val="00603C43"/>
    <w:rsid w:val="00603D83"/>
    <w:rsid w:val="00603E8F"/>
    <w:rsid w:val="00603EB1"/>
    <w:rsid w:val="00603FEF"/>
    <w:rsid w:val="0060402D"/>
    <w:rsid w:val="0060411D"/>
    <w:rsid w:val="00604187"/>
    <w:rsid w:val="006043CB"/>
    <w:rsid w:val="00604400"/>
    <w:rsid w:val="006044C2"/>
    <w:rsid w:val="006044FB"/>
    <w:rsid w:val="0060464B"/>
    <w:rsid w:val="00604650"/>
    <w:rsid w:val="00604653"/>
    <w:rsid w:val="00604761"/>
    <w:rsid w:val="006048B5"/>
    <w:rsid w:val="00604976"/>
    <w:rsid w:val="00604AE9"/>
    <w:rsid w:val="00604B4B"/>
    <w:rsid w:val="00604D10"/>
    <w:rsid w:val="00604DE6"/>
    <w:rsid w:val="00604E4E"/>
    <w:rsid w:val="00605047"/>
    <w:rsid w:val="006050E6"/>
    <w:rsid w:val="006050E9"/>
    <w:rsid w:val="0060510B"/>
    <w:rsid w:val="00605337"/>
    <w:rsid w:val="0060535E"/>
    <w:rsid w:val="00605364"/>
    <w:rsid w:val="00605446"/>
    <w:rsid w:val="00605471"/>
    <w:rsid w:val="00605566"/>
    <w:rsid w:val="00605585"/>
    <w:rsid w:val="0060566D"/>
    <w:rsid w:val="00605744"/>
    <w:rsid w:val="0060588F"/>
    <w:rsid w:val="006058AB"/>
    <w:rsid w:val="006058DB"/>
    <w:rsid w:val="006059E8"/>
    <w:rsid w:val="00605A2C"/>
    <w:rsid w:val="00605A93"/>
    <w:rsid w:val="00605B05"/>
    <w:rsid w:val="00605B1F"/>
    <w:rsid w:val="00605B35"/>
    <w:rsid w:val="00605B45"/>
    <w:rsid w:val="00605B4A"/>
    <w:rsid w:val="00605B67"/>
    <w:rsid w:val="00605B68"/>
    <w:rsid w:val="00605D51"/>
    <w:rsid w:val="00605F04"/>
    <w:rsid w:val="00605F42"/>
    <w:rsid w:val="00605F6F"/>
    <w:rsid w:val="00605F77"/>
    <w:rsid w:val="00605F83"/>
    <w:rsid w:val="00606070"/>
    <w:rsid w:val="00606115"/>
    <w:rsid w:val="0060611F"/>
    <w:rsid w:val="006061AE"/>
    <w:rsid w:val="00606298"/>
    <w:rsid w:val="006062A0"/>
    <w:rsid w:val="0060648B"/>
    <w:rsid w:val="006064E4"/>
    <w:rsid w:val="006064EF"/>
    <w:rsid w:val="0060659D"/>
    <w:rsid w:val="00606872"/>
    <w:rsid w:val="00606873"/>
    <w:rsid w:val="0060688A"/>
    <w:rsid w:val="006068BF"/>
    <w:rsid w:val="006069D8"/>
    <w:rsid w:val="00606A32"/>
    <w:rsid w:val="00606AC9"/>
    <w:rsid w:val="00606BB9"/>
    <w:rsid w:val="00606D65"/>
    <w:rsid w:val="00606DA9"/>
    <w:rsid w:val="00606F5F"/>
    <w:rsid w:val="00607182"/>
    <w:rsid w:val="00607292"/>
    <w:rsid w:val="006072FE"/>
    <w:rsid w:val="00607438"/>
    <w:rsid w:val="00607506"/>
    <w:rsid w:val="006075BB"/>
    <w:rsid w:val="00607605"/>
    <w:rsid w:val="0060768F"/>
    <w:rsid w:val="006077AE"/>
    <w:rsid w:val="0060784A"/>
    <w:rsid w:val="006078D7"/>
    <w:rsid w:val="00607985"/>
    <w:rsid w:val="0060798E"/>
    <w:rsid w:val="00607999"/>
    <w:rsid w:val="006079DE"/>
    <w:rsid w:val="00607AE2"/>
    <w:rsid w:val="00607B02"/>
    <w:rsid w:val="00607C18"/>
    <w:rsid w:val="00607DB6"/>
    <w:rsid w:val="00607DE9"/>
    <w:rsid w:val="00607ED6"/>
    <w:rsid w:val="0061000C"/>
    <w:rsid w:val="0061029D"/>
    <w:rsid w:val="006102CC"/>
    <w:rsid w:val="006102D5"/>
    <w:rsid w:val="006104AF"/>
    <w:rsid w:val="00610523"/>
    <w:rsid w:val="00610548"/>
    <w:rsid w:val="0061068B"/>
    <w:rsid w:val="00610713"/>
    <w:rsid w:val="00610753"/>
    <w:rsid w:val="0061081A"/>
    <w:rsid w:val="00610859"/>
    <w:rsid w:val="0061085F"/>
    <w:rsid w:val="006108BB"/>
    <w:rsid w:val="006108CA"/>
    <w:rsid w:val="00610949"/>
    <w:rsid w:val="00610AAD"/>
    <w:rsid w:val="00610AAE"/>
    <w:rsid w:val="00610CA0"/>
    <w:rsid w:val="00610D4D"/>
    <w:rsid w:val="00610E35"/>
    <w:rsid w:val="00610EE5"/>
    <w:rsid w:val="0061115A"/>
    <w:rsid w:val="00611191"/>
    <w:rsid w:val="006111FC"/>
    <w:rsid w:val="006112A7"/>
    <w:rsid w:val="00611363"/>
    <w:rsid w:val="006113BE"/>
    <w:rsid w:val="006113D2"/>
    <w:rsid w:val="006113D7"/>
    <w:rsid w:val="00611446"/>
    <w:rsid w:val="006114BB"/>
    <w:rsid w:val="006114C9"/>
    <w:rsid w:val="0061159E"/>
    <w:rsid w:val="00611663"/>
    <w:rsid w:val="006116DD"/>
    <w:rsid w:val="006119C5"/>
    <w:rsid w:val="00611A05"/>
    <w:rsid w:val="00611B00"/>
    <w:rsid w:val="00611BF3"/>
    <w:rsid w:val="00611D0B"/>
    <w:rsid w:val="00611DC8"/>
    <w:rsid w:val="00611DF4"/>
    <w:rsid w:val="00611FD6"/>
    <w:rsid w:val="006120B5"/>
    <w:rsid w:val="0061227A"/>
    <w:rsid w:val="00612331"/>
    <w:rsid w:val="006123FA"/>
    <w:rsid w:val="006124FB"/>
    <w:rsid w:val="006125A6"/>
    <w:rsid w:val="006126DD"/>
    <w:rsid w:val="00612767"/>
    <w:rsid w:val="006127CE"/>
    <w:rsid w:val="00612A8C"/>
    <w:rsid w:val="00612B45"/>
    <w:rsid w:val="00612B5A"/>
    <w:rsid w:val="00612B5F"/>
    <w:rsid w:val="00612C44"/>
    <w:rsid w:val="00612CEC"/>
    <w:rsid w:val="00612CFD"/>
    <w:rsid w:val="00612E42"/>
    <w:rsid w:val="00612F49"/>
    <w:rsid w:val="0061300C"/>
    <w:rsid w:val="0061308A"/>
    <w:rsid w:val="00613160"/>
    <w:rsid w:val="00613224"/>
    <w:rsid w:val="00613233"/>
    <w:rsid w:val="006132B4"/>
    <w:rsid w:val="00613328"/>
    <w:rsid w:val="006133F2"/>
    <w:rsid w:val="00613427"/>
    <w:rsid w:val="00613428"/>
    <w:rsid w:val="00613487"/>
    <w:rsid w:val="00613720"/>
    <w:rsid w:val="00613765"/>
    <w:rsid w:val="00613830"/>
    <w:rsid w:val="00613BCE"/>
    <w:rsid w:val="00613BE5"/>
    <w:rsid w:val="00613C93"/>
    <w:rsid w:val="00613C97"/>
    <w:rsid w:val="00613CC4"/>
    <w:rsid w:val="00613D9F"/>
    <w:rsid w:val="00613DB9"/>
    <w:rsid w:val="00613DFD"/>
    <w:rsid w:val="00613F67"/>
    <w:rsid w:val="00613F6F"/>
    <w:rsid w:val="00613F9C"/>
    <w:rsid w:val="00614019"/>
    <w:rsid w:val="0061401B"/>
    <w:rsid w:val="00614091"/>
    <w:rsid w:val="00614112"/>
    <w:rsid w:val="00614147"/>
    <w:rsid w:val="00614341"/>
    <w:rsid w:val="006143FC"/>
    <w:rsid w:val="00614432"/>
    <w:rsid w:val="006144AB"/>
    <w:rsid w:val="00614515"/>
    <w:rsid w:val="00614522"/>
    <w:rsid w:val="006145A9"/>
    <w:rsid w:val="0061489C"/>
    <w:rsid w:val="00614907"/>
    <w:rsid w:val="0061499B"/>
    <w:rsid w:val="00614A33"/>
    <w:rsid w:val="00614A7C"/>
    <w:rsid w:val="00614ABF"/>
    <w:rsid w:val="00614B25"/>
    <w:rsid w:val="00614B55"/>
    <w:rsid w:val="00614C37"/>
    <w:rsid w:val="00614C42"/>
    <w:rsid w:val="00614CC3"/>
    <w:rsid w:val="00614DF1"/>
    <w:rsid w:val="00614F09"/>
    <w:rsid w:val="00614F39"/>
    <w:rsid w:val="00615032"/>
    <w:rsid w:val="0061511B"/>
    <w:rsid w:val="0061528F"/>
    <w:rsid w:val="006152D5"/>
    <w:rsid w:val="0061534B"/>
    <w:rsid w:val="00615376"/>
    <w:rsid w:val="0061537D"/>
    <w:rsid w:val="0061539C"/>
    <w:rsid w:val="006153C6"/>
    <w:rsid w:val="006153E4"/>
    <w:rsid w:val="0061555D"/>
    <w:rsid w:val="00615621"/>
    <w:rsid w:val="00615669"/>
    <w:rsid w:val="00615672"/>
    <w:rsid w:val="0061569B"/>
    <w:rsid w:val="006157EB"/>
    <w:rsid w:val="0061581C"/>
    <w:rsid w:val="00615839"/>
    <w:rsid w:val="00615859"/>
    <w:rsid w:val="00615865"/>
    <w:rsid w:val="00615867"/>
    <w:rsid w:val="006159BD"/>
    <w:rsid w:val="006159DF"/>
    <w:rsid w:val="00615A49"/>
    <w:rsid w:val="00615A79"/>
    <w:rsid w:val="00615AA9"/>
    <w:rsid w:val="00615B75"/>
    <w:rsid w:val="00615B97"/>
    <w:rsid w:val="00615BE7"/>
    <w:rsid w:val="00615C02"/>
    <w:rsid w:val="00615C1A"/>
    <w:rsid w:val="00615C72"/>
    <w:rsid w:val="00615C9C"/>
    <w:rsid w:val="00615DB4"/>
    <w:rsid w:val="00615EB0"/>
    <w:rsid w:val="00615FCD"/>
    <w:rsid w:val="00616041"/>
    <w:rsid w:val="006160C9"/>
    <w:rsid w:val="006161C9"/>
    <w:rsid w:val="00616261"/>
    <w:rsid w:val="00616304"/>
    <w:rsid w:val="0061648C"/>
    <w:rsid w:val="006166D8"/>
    <w:rsid w:val="0061679B"/>
    <w:rsid w:val="006167CD"/>
    <w:rsid w:val="00616811"/>
    <w:rsid w:val="00616818"/>
    <w:rsid w:val="006168D6"/>
    <w:rsid w:val="00616900"/>
    <w:rsid w:val="00616916"/>
    <w:rsid w:val="00616936"/>
    <w:rsid w:val="00616975"/>
    <w:rsid w:val="00616990"/>
    <w:rsid w:val="00616A6C"/>
    <w:rsid w:val="00616B1E"/>
    <w:rsid w:val="00616B6E"/>
    <w:rsid w:val="00616BC8"/>
    <w:rsid w:val="00616BE0"/>
    <w:rsid w:val="00616C3D"/>
    <w:rsid w:val="00616C49"/>
    <w:rsid w:val="00616CBE"/>
    <w:rsid w:val="00616CFE"/>
    <w:rsid w:val="00616DD1"/>
    <w:rsid w:val="00616F1E"/>
    <w:rsid w:val="00616F25"/>
    <w:rsid w:val="00616FB5"/>
    <w:rsid w:val="00617012"/>
    <w:rsid w:val="0061703E"/>
    <w:rsid w:val="0061706C"/>
    <w:rsid w:val="0061716F"/>
    <w:rsid w:val="006171B2"/>
    <w:rsid w:val="006171E7"/>
    <w:rsid w:val="00617234"/>
    <w:rsid w:val="0061749B"/>
    <w:rsid w:val="00617547"/>
    <w:rsid w:val="006175D2"/>
    <w:rsid w:val="00617709"/>
    <w:rsid w:val="00617772"/>
    <w:rsid w:val="006177CA"/>
    <w:rsid w:val="0061793B"/>
    <w:rsid w:val="00617999"/>
    <w:rsid w:val="00617AFD"/>
    <w:rsid w:val="00617B4F"/>
    <w:rsid w:val="00617BFE"/>
    <w:rsid w:val="00617C34"/>
    <w:rsid w:val="00617C40"/>
    <w:rsid w:val="00617DC8"/>
    <w:rsid w:val="00617E53"/>
    <w:rsid w:val="00617F65"/>
    <w:rsid w:val="00617F90"/>
    <w:rsid w:val="006201FE"/>
    <w:rsid w:val="00620468"/>
    <w:rsid w:val="006204BC"/>
    <w:rsid w:val="006204DE"/>
    <w:rsid w:val="00620515"/>
    <w:rsid w:val="00620617"/>
    <w:rsid w:val="006206DD"/>
    <w:rsid w:val="00620736"/>
    <w:rsid w:val="0062081D"/>
    <w:rsid w:val="00620838"/>
    <w:rsid w:val="006208FE"/>
    <w:rsid w:val="0062099E"/>
    <w:rsid w:val="006209AC"/>
    <w:rsid w:val="006209F2"/>
    <w:rsid w:val="00620ABB"/>
    <w:rsid w:val="00620AFF"/>
    <w:rsid w:val="00620B11"/>
    <w:rsid w:val="00620CB7"/>
    <w:rsid w:val="00620D3D"/>
    <w:rsid w:val="00620E97"/>
    <w:rsid w:val="00620ED9"/>
    <w:rsid w:val="00620EE7"/>
    <w:rsid w:val="00620F14"/>
    <w:rsid w:val="00620FEC"/>
    <w:rsid w:val="006211F9"/>
    <w:rsid w:val="006213BF"/>
    <w:rsid w:val="00621455"/>
    <w:rsid w:val="00621588"/>
    <w:rsid w:val="00621617"/>
    <w:rsid w:val="006216ED"/>
    <w:rsid w:val="006216EE"/>
    <w:rsid w:val="0062177F"/>
    <w:rsid w:val="00621794"/>
    <w:rsid w:val="006218D4"/>
    <w:rsid w:val="00621972"/>
    <w:rsid w:val="00621A0D"/>
    <w:rsid w:val="00621B49"/>
    <w:rsid w:val="00621CFB"/>
    <w:rsid w:val="00621E41"/>
    <w:rsid w:val="00621E66"/>
    <w:rsid w:val="00621F87"/>
    <w:rsid w:val="00621F96"/>
    <w:rsid w:val="00621FDE"/>
    <w:rsid w:val="00621FF7"/>
    <w:rsid w:val="006220EC"/>
    <w:rsid w:val="006220FA"/>
    <w:rsid w:val="00622227"/>
    <w:rsid w:val="0062242F"/>
    <w:rsid w:val="006224A6"/>
    <w:rsid w:val="00622552"/>
    <w:rsid w:val="00622760"/>
    <w:rsid w:val="006227A6"/>
    <w:rsid w:val="006227C7"/>
    <w:rsid w:val="00622868"/>
    <w:rsid w:val="006228C6"/>
    <w:rsid w:val="00622A64"/>
    <w:rsid w:val="00622BDA"/>
    <w:rsid w:val="00622BEB"/>
    <w:rsid w:val="00622D13"/>
    <w:rsid w:val="00622D91"/>
    <w:rsid w:val="00622DE0"/>
    <w:rsid w:val="00622E47"/>
    <w:rsid w:val="006231A4"/>
    <w:rsid w:val="006231B2"/>
    <w:rsid w:val="006231B8"/>
    <w:rsid w:val="00623228"/>
    <w:rsid w:val="006232D1"/>
    <w:rsid w:val="00623303"/>
    <w:rsid w:val="00623329"/>
    <w:rsid w:val="006233BB"/>
    <w:rsid w:val="00623498"/>
    <w:rsid w:val="0062349F"/>
    <w:rsid w:val="0062356F"/>
    <w:rsid w:val="0062357A"/>
    <w:rsid w:val="0062359F"/>
    <w:rsid w:val="00623603"/>
    <w:rsid w:val="00623663"/>
    <w:rsid w:val="00623796"/>
    <w:rsid w:val="00623837"/>
    <w:rsid w:val="006238A8"/>
    <w:rsid w:val="006238CD"/>
    <w:rsid w:val="006238DD"/>
    <w:rsid w:val="006239F1"/>
    <w:rsid w:val="00623AED"/>
    <w:rsid w:val="00623CFE"/>
    <w:rsid w:val="00623D03"/>
    <w:rsid w:val="00623E20"/>
    <w:rsid w:val="00623FD4"/>
    <w:rsid w:val="0062401D"/>
    <w:rsid w:val="00624190"/>
    <w:rsid w:val="0062433D"/>
    <w:rsid w:val="00624577"/>
    <w:rsid w:val="006245BC"/>
    <w:rsid w:val="006245DD"/>
    <w:rsid w:val="0062464D"/>
    <w:rsid w:val="0062465C"/>
    <w:rsid w:val="006246B6"/>
    <w:rsid w:val="0062471B"/>
    <w:rsid w:val="00624858"/>
    <w:rsid w:val="006248EC"/>
    <w:rsid w:val="00624957"/>
    <w:rsid w:val="0062497C"/>
    <w:rsid w:val="006249B5"/>
    <w:rsid w:val="00624A23"/>
    <w:rsid w:val="00624A2A"/>
    <w:rsid w:val="00624AB3"/>
    <w:rsid w:val="00624B55"/>
    <w:rsid w:val="00624BB4"/>
    <w:rsid w:val="00624C30"/>
    <w:rsid w:val="00624C4D"/>
    <w:rsid w:val="00624C6A"/>
    <w:rsid w:val="00624C74"/>
    <w:rsid w:val="00624E65"/>
    <w:rsid w:val="00624ECF"/>
    <w:rsid w:val="00624FFE"/>
    <w:rsid w:val="00625092"/>
    <w:rsid w:val="006250BD"/>
    <w:rsid w:val="006251AA"/>
    <w:rsid w:val="00625275"/>
    <w:rsid w:val="0062538A"/>
    <w:rsid w:val="0062544B"/>
    <w:rsid w:val="00625456"/>
    <w:rsid w:val="00625540"/>
    <w:rsid w:val="006255C7"/>
    <w:rsid w:val="006255D5"/>
    <w:rsid w:val="00625658"/>
    <w:rsid w:val="006256B9"/>
    <w:rsid w:val="00625718"/>
    <w:rsid w:val="0062573E"/>
    <w:rsid w:val="00625786"/>
    <w:rsid w:val="006257B6"/>
    <w:rsid w:val="006259AD"/>
    <w:rsid w:val="00625A60"/>
    <w:rsid w:val="00625A7C"/>
    <w:rsid w:val="00625A97"/>
    <w:rsid w:val="00625BE7"/>
    <w:rsid w:val="00625BF2"/>
    <w:rsid w:val="00625CC7"/>
    <w:rsid w:val="00625D62"/>
    <w:rsid w:val="00625D78"/>
    <w:rsid w:val="00625ECB"/>
    <w:rsid w:val="006260AC"/>
    <w:rsid w:val="006261D8"/>
    <w:rsid w:val="00626207"/>
    <w:rsid w:val="0062620D"/>
    <w:rsid w:val="006262EA"/>
    <w:rsid w:val="00626315"/>
    <w:rsid w:val="0062639B"/>
    <w:rsid w:val="0062640F"/>
    <w:rsid w:val="00626486"/>
    <w:rsid w:val="0062649C"/>
    <w:rsid w:val="006264D6"/>
    <w:rsid w:val="00626599"/>
    <w:rsid w:val="00626749"/>
    <w:rsid w:val="00626852"/>
    <w:rsid w:val="006268B9"/>
    <w:rsid w:val="006269F1"/>
    <w:rsid w:val="00626A8A"/>
    <w:rsid w:val="00626AC4"/>
    <w:rsid w:val="00626B62"/>
    <w:rsid w:val="00626C0B"/>
    <w:rsid w:val="00626CE6"/>
    <w:rsid w:val="00626D89"/>
    <w:rsid w:val="00626DD4"/>
    <w:rsid w:val="00626E7B"/>
    <w:rsid w:val="00626F99"/>
    <w:rsid w:val="00626FBC"/>
    <w:rsid w:val="00626FDF"/>
    <w:rsid w:val="00627034"/>
    <w:rsid w:val="006270E5"/>
    <w:rsid w:val="00627129"/>
    <w:rsid w:val="006272DE"/>
    <w:rsid w:val="00627379"/>
    <w:rsid w:val="006273E0"/>
    <w:rsid w:val="0062741C"/>
    <w:rsid w:val="00627467"/>
    <w:rsid w:val="00627481"/>
    <w:rsid w:val="006274F0"/>
    <w:rsid w:val="00627548"/>
    <w:rsid w:val="0062754F"/>
    <w:rsid w:val="0062758B"/>
    <w:rsid w:val="00627626"/>
    <w:rsid w:val="00627662"/>
    <w:rsid w:val="0062768C"/>
    <w:rsid w:val="006276CA"/>
    <w:rsid w:val="00627784"/>
    <w:rsid w:val="006277C6"/>
    <w:rsid w:val="006277CC"/>
    <w:rsid w:val="006277F9"/>
    <w:rsid w:val="00627931"/>
    <w:rsid w:val="00627A1A"/>
    <w:rsid w:val="00627A1D"/>
    <w:rsid w:val="00627A2E"/>
    <w:rsid w:val="00627A64"/>
    <w:rsid w:val="00627B25"/>
    <w:rsid w:val="00627B54"/>
    <w:rsid w:val="00627D11"/>
    <w:rsid w:val="00627E15"/>
    <w:rsid w:val="00627FA6"/>
    <w:rsid w:val="006300A2"/>
    <w:rsid w:val="006300AE"/>
    <w:rsid w:val="006301C1"/>
    <w:rsid w:val="006301CF"/>
    <w:rsid w:val="006301DF"/>
    <w:rsid w:val="00630227"/>
    <w:rsid w:val="0063028C"/>
    <w:rsid w:val="00630303"/>
    <w:rsid w:val="006304CF"/>
    <w:rsid w:val="00630658"/>
    <w:rsid w:val="006307CE"/>
    <w:rsid w:val="00630882"/>
    <w:rsid w:val="006308AD"/>
    <w:rsid w:val="00630919"/>
    <w:rsid w:val="006309AE"/>
    <w:rsid w:val="00630A1B"/>
    <w:rsid w:val="00630A23"/>
    <w:rsid w:val="00630A2C"/>
    <w:rsid w:val="00630C55"/>
    <w:rsid w:val="00630E04"/>
    <w:rsid w:val="00630F33"/>
    <w:rsid w:val="00630F77"/>
    <w:rsid w:val="006311BC"/>
    <w:rsid w:val="0063137A"/>
    <w:rsid w:val="0063140E"/>
    <w:rsid w:val="00631459"/>
    <w:rsid w:val="006314C5"/>
    <w:rsid w:val="00631568"/>
    <w:rsid w:val="00631692"/>
    <w:rsid w:val="00631708"/>
    <w:rsid w:val="0063174B"/>
    <w:rsid w:val="00631824"/>
    <w:rsid w:val="00631887"/>
    <w:rsid w:val="006319E6"/>
    <w:rsid w:val="00631A76"/>
    <w:rsid w:val="00631A92"/>
    <w:rsid w:val="00631AA1"/>
    <w:rsid w:val="00631D2F"/>
    <w:rsid w:val="00631E42"/>
    <w:rsid w:val="00631E43"/>
    <w:rsid w:val="006320E7"/>
    <w:rsid w:val="006321F2"/>
    <w:rsid w:val="00632214"/>
    <w:rsid w:val="006322EC"/>
    <w:rsid w:val="0063238E"/>
    <w:rsid w:val="00632484"/>
    <w:rsid w:val="006324B6"/>
    <w:rsid w:val="0063258E"/>
    <w:rsid w:val="0063269B"/>
    <w:rsid w:val="006326DC"/>
    <w:rsid w:val="0063272E"/>
    <w:rsid w:val="00632A3B"/>
    <w:rsid w:val="00632BDF"/>
    <w:rsid w:val="00632C04"/>
    <w:rsid w:val="00632CB7"/>
    <w:rsid w:val="00632CC7"/>
    <w:rsid w:val="00632CCA"/>
    <w:rsid w:val="00632D08"/>
    <w:rsid w:val="00632D9E"/>
    <w:rsid w:val="00632F18"/>
    <w:rsid w:val="00632FDE"/>
    <w:rsid w:val="00633056"/>
    <w:rsid w:val="00633077"/>
    <w:rsid w:val="00633133"/>
    <w:rsid w:val="006332C4"/>
    <w:rsid w:val="006332D7"/>
    <w:rsid w:val="0063331E"/>
    <w:rsid w:val="00633362"/>
    <w:rsid w:val="0063337E"/>
    <w:rsid w:val="0063341A"/>
    <w:rsid w:val="00633655"/>
    <w:rsid w:val="006337FF"/>
    <w:rsid w:val="0063396A"/>
    <w:rsid w:val="00633AE2"/>
    <w:rsid w:val="00633AED"/>
    <w:rsid w:val="00633B39"/>
    <w:rsid w:val="00633C77"/>
    <w:rsid w:val="00633DBA"/>
    <w:rsid w:val="00633E50"/>
    <w:rsid w:val="00633EBB"/>
    <w:rsid w:val="00633ED4"/>
    <w:rsid w:val="00633F26"/>
    <w:rsid w:val="00633FEC"/>
    <w:rsid w:val="0063409F"/>
    <w:rsid w:val="006340AA"/>
    <w:rsid w:val="006340F7"/>
    <w:rsid w:val="006341CE"/>
    <w:rsid w:val="0063426E"/>
    <w:rsid w:val="006342E4"/>
    <w:rsid w:val="00634380"/>
    <w:rsid w:val="00634388"/>
    <w:rsid w:val="006344AB"/>
    <w:rsid w:val="00634530"/>
    <w:rsid w:val="0063465F"/>
    <w:rsid w:val="00634912"/>
    <w:rsid w:val="006349FA"/>
    <w:rsid w:val="00634A3C"/>
    <w:rsid w:val="00634A5E"/>
    <w:rsid w:val="00634B6B"/>
    <w:rsid w:val="00634B7B"/>
    <w:rsid w:val="00634BEA"/>
    <w:rsid w:val="00634C88"/>
    <w:rsid w:val="00634D57"/>
    <w:rsid w:val="00634D72"/>
    <w:rsid w:val="00634E7B"/>
    <w:rsid w:val="00634FB7"/>
    <w:rsid w:val="006351AF"/>
    <w:rsid w:val="00635285"/>
    <w:rsid w:val="006352B9"/>
    <w:rsid w:val="00635337"/>
    <w:rsid w:val="00635433"/>
    <w:rsid w:val="00635456"/>
    <w:rsid w:val="0063545B"/>
    <w:rsid w:val="0063545C"/>
    <w:rsid w:val="00635567"/>
    <w:rsid w:val="006355AF"/>
    <w:rsid w:val="006356F0"/>
    <w:rsid w:val="00635784"/>
    <w:rsid w:val="0063588D"/>
    <w:rsid w:val="006358C2"/>
    <w:rsid w:val="006359C7"/>
    <w:rsid w:val="006359D7"/>
    <w:rsid w:val="00635AA0"/>
    <w:rsid w:val="00635ABD"/>
    <w:rsid w:val="00635B22"/>
    <w:rsid w:val="00635B3A"/>
    <w:rsid w:val="00635B87"/>
    <w:rsid w:val="00635C39"/>
    <w:rsid w:val="00635C41"/>
    <w:rsid w:val="00635C78"/>
    <w:rsid w:val="00635D22"/>
    <w:rsid w:val="00635DC8"/>
    <w:rsid w:val="00635DF3"/>
    <w:rsid w:val="00635FDC"/>
    <w:rsid w:val="00635FE4"/>
    <w:rsid w:val="00636016"/>
    <w:rsid w:val="0063606D"/>
    <w:rsid w:val="006360A9"/>
    <w:rsid w:val="006360B3"/>
    <w:rsid w:val="006360BD"/>
    <w:rsid w:val="0063614E"/>
    <w:rsid w:val="00636250"/>
    <w:rsid w:val="006362C7"/>
    <w:rsid w:val="00636367"/>
    <w:rsid w:val="0063637C"/>
    <w:rsid w:val="00636474"/>
    <w:rsid w:val="00636492"/>
    <w:rsid w:val="006364D1"/>
    <w:rsid w:val="006364ED"/>
    <w:rsid w:val="006365CD"/>
    <w:rsid w:val="00636623"/>
    <w:rsid w:val="0063676A"/>
    <w:rsid w:val="006368E1"/>
    <w:rsid w:val="0063690E"/>
    <w:rsid w:val="00636983"/>
    <w:rsid w:val="00636AC1"/>
    <w:rsid w:val="00636B25"/>
    <w:rsid w:val="00636BD5"/>
    <w:rsid w:val="00636C42"/>
    <w:rsid w:val="00636C7E"/>
    <w:rsid w:val="00637019"/>
    <w:rsid w:val="0063701C"/>
    <w:rsid w:val="00637103"/>
    <w:rsid w:val="00637135"/>
    <w:rsid w:val="00637171"/>
    <w:rsid w:val="00637296"/>
    <w:rsid w:val="006372D0"/>
    <w:rsid w:val="00637468"/>
    <w:rsid w:val="00637555"/>
    <w:rsid w:val="00637622"/>
    <w:rsid w:val="0063771C"/>
    <w:rsid w:val="00637782"/>
    <w:rsid w:val="006377F6"/>
    <w:rsid w:val="006379AF"/>
    <w:rsid w:val="00637A4C"/>
    <w:rsid w:val="00637AA7"/>
    <w:rsid w:val="00637AB2"/>
    <w:rsid w:val="00637B0D"/>
    <w:rsid w:val="00637B22"/>
    <w:rsid w:val="00637B50"/>
    <w:rsid w:val="00637BD0"/>
    <w:rsid w:val="00637C72"/>
    <w:rsid w:val="00637D45"/>
    <w:rsid w:val="00637DE0"/>
    <w:rsid w:val="00637DFC"/>
    <w:rsid w:val="00637F5A"/>
    <w:rsid w:val="00637FF3"/>
    <w:rsid w:val="00640054"/>
    <w:rsid w:val="006400F7"/>
    <w:rsid w:val="00640131"/>
    <w:rsid w:val="00640356"/>
    <w:rsid w:val="00640378"/>
    <w:rsid w:val="006404DF"/>
    <w:rsid w:val="0064053D"/>
    <w:rsid w:val="006405CE"/>
    <w:rsid w:val="006405D1"/>
    <w:rsid w:val="006405DD"/>
    <w:rsid w:val="00640866"/>
    <w:rsid w:val="006408A8"/>
    <w:rsid w:val="006408C0"/>
    <w:rsid w:val="006408E0"/>
    <w:rsid w:val="00640908"/>
    <w:rsid w:val="00640932"/>
    <w:rsid w:val="00640933"/>
    <w:rsid w:val="0064099D"/>
    <w:rsid w:val="00640A45"/>
    <w:rsid w:val="00640A7C"/>
    <w:rsid w:val="00640ABF"/>
    <w:rsid w:val="00640B72"/>
    <w:rsid w:val="00640BA6"/>
    <w:rsid w:val="00640BDB"/>
    <w:rsid w:val="00640BF8"/>
    <w:rsid w:val="00640C54"/>
    <w:rsid w:val="00640CAE"/>
    <w:rsid w:val="00640D36"/>
    <w:rsid w:val="00640D6B"/>
    <w:rsid w:val="00640DC5"/>
    <w:rsid w:val="00640DE1"/>
    <w:rsid w:val="00640DF0"/>
    <w:rsid w:val="00640F2D"/>
    <w:rsid w:val="00640FEF"/>
    <w:rsid w:val="006410A9"/>
    <w:rsid w:val="00641116"/>
    <w:rsid w:val="0064118A"/>
    <w:rsid w:val="0064128F"/>
    <w:rsid w:val="006413D5"/>
    <w:rsid w:val="006413FF"/>
    <w:rsid w:val="006414CD"/>
    <w:rsid w:val="00641569"/>
    <w:rsid w:val="006415F4"/>
    <w:rsid w:val="006417D1"/>
    <w:rsid w:val="006417D6"/>
    <w:rsid w:val="00641859"/>
    <w:rsid w:val="00641978"/>
    <w:rsid w:val="00641987"/>
    <w:rsid w:val="006419FF"/>
    <w:rsid w:val="00641A9F"/>
    <w:rsid w:val="00641AF6"/>
    <w:rsid w:val="00641B0E"/>
    <w:rsid w:val="00641BFF"/>
    <w:rsid w:val="00641C34"/>
    <w:rsid w:val="00641C5A"/>
    <w:rsid w:val="00641C66"/>
    <w:rsid w:val="00641C6E"/>
    <w:rsid w:val="00641CF3"/>
    <w:rsid w:val="00641D1A"/>
    <w:rsid w:val="00641D40"/>
    <w:rsid w:val="00641D63"/>
    <w:rsid w:val="00641DA2"/>
    <w:rsid w:val="00641FE0"/>
    <w:rsid w:val="00641FFB"/>
    <w:rsid w:val="006420C6"/>
    <w:rsid w:val="00642150"/>
    <w:rsid w:val="0064218D"/>
    <w:rsid w:val="006421A4"/>
    <w:rsid w:val="006421DD"/>
    <w:rsid w:val="00642215"/>
    <w:rsid w:val="0064226E"/>
    <w:rsid w:val="006422F4"/>
    <w:rsid w:val="00642304"/>
    <w:rsid w:val="006424BF"/>
    <w:rsid w:val="006424FD"/>
    <w:rsid w:val="0064250D"/>
    <w:rsid w:val="006425A0"/>
    <w:rsid w:val="006425A5"/>
    <w:rsid w:val="00642645"/>
    <w:rsid w:val="0064267E"/>
    <w:rsid w:val="00642709"/>
    <w:rsid w:val="006427A6"/>
    <w:rsid w:val="00642869"/>
    <w:rsid w:val="006428B9"/>
    <w:rsid w:val="006429EF"/>
    <w:rsid w:val="00642B3E"/>
    <w:rsid w:val="00642CB3"/>
    <w:rsid w:val="00642DE7"/>
    <w:rsid w:val="00642E0C"/>
    <w:rsid w:val="00642F2D"/>
    <w:rsid w:val="00642FA9"/>
    <w:rsid w:val="0064302D"/>
    <w:rsid w:val="00643142"/>
    <w:rsid w:val="0064319E"/>
    <w:rsid w:val="006432D5"/>
    <w:rsid w:val="0064358F"/>
    <w:rsid w:val="006435C1"/>
    <w:rsid w:val="00643662"/>
    <w:rsid w:val="0064366C"/>
    <w:rsid w:val="006436CF"/>
    <w:rsid w:val="0064381B"/>
    <w:rsid w:val="00643862"/>
    <w:rsid w:val="00643863"/>
    <w:rsid w:val="006438B1"/>
    <w:rsid w:val="006439E9"/>
    <w:rsid w:val="00643AFE"/>
    <w:rsid w:val="00643B18"/>
    <w:rsid w:val="00643E50"/>
    <w:rsid w:val="00643E7A"/>
    <w:rsid w:val="00643ECE"/>
    <w:rsid w:val="00643F03"/>
    <w:rsid w:val="00643F58"/>
    <w:rsid w:val="00643FE7"/>
    <w:rsid w:val="006440BD"/>
    <w:rsid w:val="00644191"/>
    <w:rsid w:val="00644253"/>
    <w:rsid w:val="006443AF"/>
    <w:rsid w:val="006443E4"/>
    <w:rsid w:val="006443E8"/>
    <w:rsid w:val="00644465"/>
    <w:rsid w:val="0064446F"/>
    <w:rsid w:val="00644690"/>
    <w:rsid w:val="00644697"/>
    <w:rsid w:val="0064472B"/>
    <w:rsid w:val="0064475E"/>
    <w:rsid w:val="006447CD"/>
    <w:rsid w:val="00644995"/>
    <w:rsid w:val="00644A45"/>
    <w:rsid w:val="00644A54"/>
    <w:rsid w:val="00644B1C"/>
    <w:rsid w:val="00644B53"/>
    <w:rsid w:val="00644BEB"/>
    <w:rsid w:val="00644E03"/>
    <w:rsid w:val="00644E29"/>
    <w:rsid w:val="00644E41"/>
    <w:rsid w:val="00644E48"/>
    <w:rsid w:val="00644EC8"/>
    <w:rsid w:val="00644F47"/>
    <w:rsid w:val="0064505F"/>
    <w:rsid w:val="006450BE"/>
    <w:rsid w:val="006450D4"/>
    <w:rsid w:val="006450EB"/>
    <w:rsid w:val="00645186"/>
    <w:rsid w:val="0064518A"/>
    <w:rsid w:val="006451BE"/>
    <w:rsid w:val="006451F8"/>
    <w:rsid w:val="00645231"/>
    <w:rsid w:val="0064526F"/>
    <w:rsid w:val="0064539B"/>
    <w:rsid w:val="0064550D"/>
    <w:rsid w:val="00645520"/>
    <w:rsid w:val="0064552F"/>
    <w:rsid w:val="00645541"/>
    <w:rsid w:val="006455A2"/>
    <w:rsid w:val="0064563F"/>
    <w:rsid w:val="0064570B"/>
    <w:rsid w:val="00645710"/>
    <w:rsid w:val="006457A0"/>
    <w:rsid w:val="00645809"/>
    <w:rsid w:val="00645812"/>
    <w:rsid w:val="0064589C"/>
    <w:rsid w:val="006459D7"/>
    <w:rsid w:val="00645B8B"/>
    <w:rsid w:val="00645C1E"/>
    <w:rsid w:val="00645E0D"/>
    <w:rsid w:val="00645ED9"/>
    <w:rsid w:val="0064608E"/>
    <w:rsid w:val="006460A6"/>
    <w:rsid w:val="00646112"/>
    <w:rsid w:val="006461A2"/>
    <w:rsid w:val="006461E2"/>
    <w:rsid w:val="006462D7"/>
    <w:rsid w:val="00646315"/>
    <w:rsid w:val="006463B3"/>
    <w:rsid w:val="006463E5"/>
    <w:rsid w:val="006464E1"/>
    <w:rsid w:val="0064656C"/>
    <w:rsid w:val="00646658"/>
    <w:rsid w:val="006466B5"/>
    <w:rsid w:val="006466C2"/>
    <w:rsid w:val="00646756"/>
    <w:rsid w:val="006467D2"/>
    <w:rsid w:val="0064682C"/>
    <w:rsid w:val="00646838"/>
    <w:rsid w:val="006468B6"/>
    <w:rsid w:val="006469F1"/>
    <w:rsid w:val="00646A43"/>
    <w:rsid w:val="00646A4F"/>
    <w:rsid w:val="00646BC3"/>
    <w:rsid w:val="00646E3C"/>
    <w:rsid w:val="00646EBC"/>
    <w:rsid w:val="00646FF7"/>
    <w:rsid w:val="00647067"/>
    <w:rsid w:val="0064706A"/>
    <w:rsid w:val="00647147"/>
    <w:rsid w:val="006471AE"/>
    <w:rsid w:val="006472AC"/>
    <w:rsid w:val="00647450"/>
    <w:rsid w:val="0064748E"/>
    <w:rsid w:val="00647509"/>
    <w:rsid w:val="00647665"/>
    <w:rsid w:val="0064773C"/>
    <w:rsid w:val="006477FF"/>
    <w:rsid w:val="00647812"/>
    <w:rsid w:val="0064781F"/>
    <w:rsid w:val="006478A7"/>
    <w:rsid w:val="006478C0"/>
    <w:rsid w:val="006479CA"/>
    <w:rsid w:val="00647A06"/>
    <w:rsid w:val="0065004A"/>
    <w:rsid w:val="00650059"/>
    <w:rsid w:val="00650161"/>
    <w:rsid w:val="0065021B"/>
    <w:rsid w:val="0065042F"/>
    <w:rsid w:val="006504DA"/>
    <w:rsid w:val="006504E8"/>
    <w:rsid w:val="0065063E"/>
    <w:rsid w:val="00650692"/>
    <w:rsid w:val="0065089C"/>
    <w:rsid w:val="006508B8"/>
    <w:rsid w:val="006508BE"/>
    <w:rsid w:val="006509B2"/>
    <w:rsid w:val="006509B3"/>
    <w:rsid w:val="00650AA9"/>
    <w:rsid w:val="00650B56"/>
    <w:rsid w:val="00650CC8"/>
    <w:rsid w:val="00650D05"/>
    <w:rsid w:val="00650E13"/>
    <w:rsid w:val="00650E1D"/>
    <w:rsid w:val="00650F7A"/>
    <w:rsid w:val="00650F7C"/>
    <w:rsid w:val="00651055"/>
    <w:rsid w:val="00651078"/>
    <w:rsid w:val="00651150"/>
    <w:rsid w:val="0065117B"/>
    <w:rsid w:val="00651274"/>
    <w:rsid w:val="006512AB"/>
    <w:rsid w:val="00651357"/>
    <w:rsid w:val="0065136B"/>
    <w:rsid w:val="0065136D"/>
    <w:rsid w:val="006513E4"/>
    <w:rsid w:val="00651493"/>
    <w:rsid w:val="00651531"/>
    <w:rsid w:val="0065157F"/>
    <w:rsid w:val="0065159C"/>
    <w:rsid w:val="006516F9"/>
    <w:rsid w:val="00651736"/>
    <w:rsid w:val="00651761"/>
    <w:rsid w:val="006517A2"/>
    <w:rsid w:val="00651A82"/>
    <w:rsid w:val="00651B9E"/>
    <w:rsid w:val="00651CFB"/>
    <w:rsid w:val="00651D01"/>
    <w:rsid w:val="00651D72"/>
    <w:rsid w:val="00651F0B"/>
    <w:rsid w:val="00651F5E"/>
    <w:rsid w:val="00651FE4"/>
    <w:rsid w:val="00651FFC"/>
    <w:rsid w:val="00652146"/>
    <w:rsid w:val="00652180"/>
    <w:rsid w:val="006521B5"/>
    <w:rsid w:val="00652220"/>
    <w:rsid w:val="00652375"/>
    <w:rsid w:val="0065241E"/>
    <w:rsid w:val="0065254E"/>
    <w:rsid w:val="006525CE"/>
    <w:rsid w:val="00652816"/>
    <w:rsid w:val="006529E7"/>
    <w:rsid w:val="00652B8C"/>
    <w:rsid w:val="00652BFF"/>
    <w:rsid w:val="00652CB4"/>
    <w:rsid w:val="00652E2E"/>
    <w:rsid w:val="00652E9C"/>
    <w:rsid w:val="00652EA4"/>
    <w:rsid w:val="00652EAA"/>
    <w:rsid w:val="00652EE1"/>
    <w:rsid w:val="00652F01"/>
    <w:rsid w:val="006530AD"/>
    <w:rsid w:val="00653126"/>
    <w:rsid w:val="00653160"/>
    <w:rsid w:val="0065339F"/>
    <w:rsid w:val="006533E0"/>
    <w:rsid w:val="0065348A"/>
    <w:rsid w:val="006535A5"/>
    <w:rsid w:val="00653640"/>
    <w:rsid w:val="00653721"/>
    <w:rsid w:val="0065378F"/>
    <w:rsid w:val="006537BC"/>
    <w:rsid w:val="00653868"/>
    <w:rsid w:val="0065397E"/>
    <w:rsid w:val="006539F9"/>
    <w:rsid w:val="00653ABD"/>
    <w:rsid w:val="00653BAA"/>
    <w:rsid w:val="00653C4A"/>
    <w:rsid w:val="00653C98"/>
    <w:rsid w:val="00653CFA"/>
    <w:rsid w:val="00653D7D"/>
    <w:rsid w:val="00653D96"/>
    <w:rsid w:val="00653F53"/>
    <w:rsid w:val="0065410A"/>
    <w:rsid w:val="00654285"/>
    <w:rsid w:val="0065449C"/>
    <w:rsid w:val="006544C8"/>
    <w:rsid w:val="006544E1"/>
    <w:rsid w:val="006545FB"/>
    <w:rsid w:val="0065469D"/>
    <w:rsid w:val="00654784"/>
    <w:rsid w:val="006548D1"/>
    <w:rsid w:val="006548E9"/>
    <w:rsid w:val="006549C9"/>
    <w:rsid w:val="00654A10"/>
    <w:rsid w:val="00654A86"/>
    <w:rsid w:val="00654A8B"/>
    <w:rsid w:val="00654AA6"/>
    <w:rsid w:val="00654B1F"/>
    <w:rsid w:val="00654B47"/>
    <w:rsid w:val="00654B9C"/>
    <w:rsid w:val="00654BF8"/>
    <w:rsid w:val="00654CED"/>
    <w:rsid w:val="00654D83"/>
    <w:rsid w:val="00654DE2"/>
    <w:rsid w:val="00654E40"/>
    <w:rsid w:val="00654EC1"/>
    <w:rsid w:val="00654F1A"/>
    <w:rsid w:val="00655042"/>
    <w:rsid w:val="006550A4"/>
    <w:rsid w:val="00655127"/>
    <w:rsid w:val="006553CC"/>
    <w:rsid w:val="00655444"/>
    <w:rsid w:val="00655525"/>
    <w:rsid w:val="0065554C"/>
    <w:rsid w:val="0065555F"/>
    <w:rsid w:val="00655669"/>
    <w:rsid w:val="006556A3"/>
    <w:rsid w:val="006557B5"/>
    <w:rsid w:val="00655800"/>
    <w:rsid w:val="006558BB"/>
    <w:rsid w:val="006559CA"/>
    <w:rsid w:val="00655A33"/>
    <w:rsid w:val="00655B82"/>
    <w:rsid w:val="00655D90"/>
    <w:rsid w:val="00655D9C"/>
    <w:rsid w:val="00655DDD"/>
    <w:rsid w:val="00655E80"/>
    <w:rsid w:val="00655ED3"/>
    <w:rsid w:val="00655F2C"/>
    <w:rsid w:val="00656071"/>
    <w:rsid w:val="006560AE"/>
    <w:rsid w:val="006560B6"/>
    <w:rsid w:val="006560E6"/>
    <w:rsid w:val="00656373"/>
    <w:rsid w:val="00656481"/>
    <w:rsid w:val="0065665C"/>
    <w:rsid w:val="006566C7"/>
    <w:rsid w:val="006567C8"/>
    <w:rsid w:val="00656A1E"/>
    <w:rsid w:val="00656A7A"/>
    <w:rsid w:val="00656B3F"/>
    <w:rsid w:val="00656F3A"/>
    <w:rsid w:val="00657074"/>
    <w:rsid w:val="006570CD"/>
    <w:rsid w:val="00657115"/>
    <w:rsid w:val="006571C4"/>
    <w:rsid w:val="006571F4"/>
    <w:rsid w:val="00657294"/>
    <w:rsid w:val="006573DA"/>
    <w:rsid w:val="0065740C"/>
    <w:rsid w:val="0065742D"/>
    <w:rsid w:val="0065756A"/>
    <w:rsid w:val="006576C6"/>
    <w:rsid w:val="00657851"/>
    <w:rsid w:val="0065789F"/>
    <w:rsid w:val="00657A7A"/>
    <w:rsid w:val="00657CF1"/>
    <w:rsid w:val="00657E60"/>
    <w:rsid w:val="00657E67"/>
    <w:rsid w:val="00657F50"/>
    <w:rsid w:val="00657F5C"/>
    <w:rsid w:val="00657FA0"/>
    <w:rsid w:val="00657FA9"/>
    <w:rsid w:val="00660039"/>
    <w:rsid w:val="006600FE"/>
    <w:rsid w:val="00660146"/>
    <w:rsid w:val="0066030D"/>
    <w:rsid w:val="006603BA"/>
    <w:rsid w:val="00660439"/>
    <w:rsid w:val="0066043F"/>
    <w:rsid w:val="0066058A"/>
    <w:rsid w:val="006605E7"/>
    <w:rsid w:val="00660613"/>
    <w:rsid w:val="0066064C"/>
    <w:rsid w:val="00660679"/>
    <w:rsid w:val="00660822"/>
    <w:rsid w:val="00660884"/>
    <w:rsid w:val="00660992"/>
    <w:rsid w:val="00660A3C"/>
    <w:rsid w:val="00660ACA"/>
    <w:rsid w:val="00660B55"/>
    <w:rsid w:val="00660BAD"/>
    <w:rsid w:val="00660C3B"/>
    <w:rsid w:val="00660CAF"/>
    <w:rsid w:val="00660D41"/>
    <w:rsid w:val="00660D91"/>
    <w:rsid w:val="00660DA7"/>
    <w:rsid w:val="00660EC7"/>
    <w:rsid w:val="00660F3F"/>
    <w:rsid w:val="00660FD8"/>
    <w:rsid w:val="00661037"/>
    <w:rsid w:val="0066109C"/>
    <w:rsid w:val="006610BA"/>
    <w:rsid w:val="0066118C"/>
    <w:rsid w:val="00661193"/>
    <w:rsid w:val="0066119F"/>
    <w:rsid w:val="006611DB"/>
    <w:rsid w:val="00661516"/>
    <w:rsid w:val="00661520"/>
    <w:rsid w:val="006615E7"/>
    <w:rsid w:val="0066166E"/>
    <w:rsid w:val="00661675"/>
    <w:rsid w:val="00661686"/>
    <w:rsid w:val="00661687"/>
    <w:rsid w:val="006616CF"/>
    <w:rsid w:val="00661777"/>
    <w:rsid w:val="006617A9"/>
    <w:rsid w:val="00661860"/>
    <w:rsid w:val="006618A9"/>
    <w:rsid w:val="00661995"/>
    <w:rsid w:val="006619F3"/>
    <w:rsid w:val="00661AB8"/>
    <w:rsid w:val="00661B0C"/>
    <w:rsid w:val="00661B34"/>
    <w:rsid w:val="00661BDC"/>
    <w:rsid w:val="00661CF5"/>
    <w:rsid w:val="00661D33"/>
    <w:rsid w:val="00661DF1"/>
    <w:rsid w:val="00661E1D"/>
    <w:rsid w:val="00661E82"/>
    <w:rsid w:val="00661EC7"/>
    <w:rsid w:val="00661F98"/>
    <w:rsid w:val="00661FEC"/>
    <w:rsid w:val="0066203D"/>
    <w:rsid w:val="0066214A"/>
    <w:rsid w:val="0066216F"/>
    <w:rsid w:val="0066219E"/>
    <w:rsid w:val="006622AD"/>
    <w:rsid w:val="0066243D"/>
    <w:rsid w:val="00662458"/>
    <w:rsid w:val="00662471"/>
    <w:rsid w:val="00662577"/>
    <w:rsid w:val="006625AD"/>
    <w:rsid w:val="00662617"/>
    <w:rsid w:val="006626AD"/>
    <w:rsid w:val="006626B4"/>
    <w:rsid w:val="006626C6"/>
    <w:rsid w:val="006627ED"/>
    <w:rsid w:val="006627EE"/>
    <w:rsid w:val="00662866"/>
    <w:rsid w:val="00662892"/>
    <w:rsid w:val="00662931"/>
    <w:rsid w:val="00662B2D"/>
    <w:rsid w:val="00662B44"/>
    <w:rsid w:val="00662C07"/>
    <w:rsid w:val="00662D45"/>
    <w:rsid w:val="00662F1B"/>
    <w:rsid w:val="00662F8D"/>
    <w:rsid w:val="00662FA7"/>
    <w:rsid w:val="00662FD3"/>
    <w:rsid w:val="0066310F"/>
    <w:rsid w:val="006631AB"/>
    <w:rsid w:val="00663208"/>
    <w:rsid w:val="0066323A"/>
    <w:rsid w:val="0066328E"/>
    <w:rsid w:val="00663396"/>
    <w:rsid w:val="0066342C"/>
    <w:rsid w:val="00663534"/>
    <w:rsid w:val="00663539"/>
    <w:rsid w:val="00663581"/>
    <w:rsid w:val="00663654"/>
    <w:rsid w:val="006636E1"/>
    <w:rsid w:val="00663787"/>
    <w:rsid w:val="00663997"/>
    <w:rsid w:val="006639EB"/>
    <w:rsid w:val="00663CA4"/>
    <w:rsid w:val="00663D0D"/>
    <w:rsid w:val="00663D22"/>
    <w:rsid w:val="00663F44"/>
    <w:rsid w:val="00663FE3"/>
    <w:rsid w:val="00663FF9"/>
    <w:rsid w:val="0066402A"/>
    <w:rsid w:val="0066403B"/>
    <w:rsid w:val="0066410A"/>
    <w:rsid w:val="00664226"/>
    <w:rsid w:val="00664294"/>
    <w:rsid w:val="006642FF"/>
    <w:rsid w:val="0066433B"/>
    <w:rsid w:val="006643A9"/>
    <w:rsid w:val="00664464"/>
    <w:rsid w:val="0066446F"/>
    <w:rsid w:val="006644B1"/>
    <w:rsid w:val="00664521"/>
    <w:rsid w:val="00664542"/>
    <w:rsid w:val="0066474D"/>
    <w:rsid w:val="006647AA"/>
    <w:rsid w:val="00664863"/>
    <w:rsid w:val="0066486E"/>
    <w:rsid w:val="00664993"/>
    <w:rsid w:val="00664A44"/>
    <w:rsid w:val="00664AA8"/>
    <w:rsid w:val="00664BAE"/>
    <w:rsid w:val="00664C5C"/>
    <w:rsid w:val="00664DAF"/>
    <w:rsid w:val="00664ED1"/>
    <w:rsid w:val="00664F67"/>
    <w:rsid w:val="00664F9C"/>
    <w:rsid w:val="00664FAA"/>
    <w:rsid w:val="00665097"/>
    <w:rsid w:val="00665294"/>
    <w:rsid w:val="00665358"/>
    <w:rsid w:val="0066539D"/>
    <w:rsid w:val="00665463"/>
    <w:rsid w:val="006654C6"/>
    <w:rsid w:val="00665555"/>
    <w:rsid w:val="00665557"/>
    <w:rsid w:val="006655D3"/>
    <w:rsid w:val="00665609"/>
    <w:rsid w:val="006656BE"/>
    <w:rsid w:val="006656C1"/>
    <w:rsid w:val="00665750"/>
    <w:rsid w:val="006658B9"/>
    <w:rsid w:val="00665989"/>
    <w:rsid w:val="006659BD"/>
    <w:rsid w:val="00665A42"/>
    <w:rsid w:val="00665AEF"/>
    <w:rsid w:val="00665B01"/>
    <w:rsid w:val="00665B6E"/>
    <w:rsid w:val="00665CBA"/>
    <w:rsid w:val="00665D3C"/>
    <w:rsid w:val="00665E34"/>
    <w:rsid w:val="00665F1D"/>
    <w:rsid w:val="00665F54"/>
    <w:rsid w:val="00665F97"/>
    <w:rsid w:val="00666049"/>
    <w:rsid w:val="00666067"/>
    <w:rsid w:val="00666075"/>
    <w:rsid w:val="0066607E"/>
    <w:rsid w:val="006661B6"/>
    <w:rsid w:val="00666213"/>
    <w:rsid w:val="00666341"/>
    <w:rsid w:val="00666380"/>
    <w:rsid w:val="0066653B"/>
    <w:rsid w:val="0066655D"/>
    <w:rsid w:val="006666AD"/>
    <w:rsid w:val="006666C9"/>
    <w:rsid w:val="00666852"/>
    <w:rsid w:val="006668EE"/>
    <w:rsid w:val="00666924"/>
    <w:rsid w:val="00666943"/>
    <w:rsid w:val="00666A28"/>
    <w:rsid w:val="00666A2D"/>
    <w:rsid w:val="00666AE7"/>
    <w:rsid w:val="00666AE9"/>
    <w:rsid w:val="00666AF7"/>
    <w:rsid w:val="00666B23"/>
    <w:rsid w:val="00666CB9"/>
    <w:rsid w:val="00666CBB"/>
    <w:rsid w:val="00666CEC"/>
    <w:rsid w:val="00666DFF"/>
    <w:rsid w:val="00666E00"/>
    <w:rsid w:val="00666F42"/>
    <w:rsid w:val="00666FC3"/>
    <w:rsid w:val="00667018"/>
    <w:rsid w:val="006670C9"/>
    <w:rsid w:val="00667171"/>
    <w:rsid w:val="006671AD"/>
    <w:rsid w:val="006671B9"/>
    <w:rsid w:val="0066725C"/>
    <w:rsid w:val="006672CB"/>
    <w:rsid w:val="0066738B"/>
    <w:rsid w:val="006675EF"/>
    <w:rsid w:val="0066765B"/>
    <w:rsid w:val="00667667"/>
    <w:rsid w:val="00667699"/>
    <w:rsid w:val="006676E8"/>
    <w:rsid w:val="006677BF"/>
    <w:rsid w:val="00667890"/>
    <w:rsid w:val="0066789F"/>
    <w:rsid w:val="006678BC"/>
    <w:rsid w:val="00667973"/>
    <w:rsid w:val="00667ABD"/>
    <w:rsid w:val="00667B51"/>
    <w:rsid w:val="00667BC7"/>
    <w:rsid w:val="00667C15"/>
    <w:rsid w:val="00667D25"/>
    <w:rsid w:val="00667E62"/>
    <w:rsid w:val="00667ED4"/>
    <w:rsid w:val="00667FFB"/>
    <w:rsid w:val="00670034"/>
    <w:rsid w:val="0067009B"/>
    <w:rsid w:val="00670176"/>
    <w:rsid w:val="00670289"/>
    <w:rsid w:val="00670298"/>
    <w:rsid w:val="006702AE"/>
    <w:rsid w:val="0067033C"/>
    <w:rsid w:val="006703AF"/>
    <w:rsid w:val="00670556"/>
    <w:rsid w:val="0067059F"/>
    <w:rsid w:val="006705DB"/>
    <w:rsid w:val="0067083E"/>
    <w:rsid w:val="00670859"/>
    <w:rsid w:val="00670886"/>
    <w:rsid w:val="0067098D"/>
    <w:rsid w:val="006709A8"/>
    <w:rsid w:val="00670A8D"/>
    <w:rsid w:val="00670B21"/>
    <w:rsid w:val="00670B9D"/>
    <w:rsid w:val="00670D2B"/>
    <w:rsid w:val="00670D4C"/>
    <w:rsid w:val="00671102"/>
    <w:rsid w:val="0067112D"/>
    <w:rsid w:val="0067116F"/>
    <w:rsid w:val="00671207"/>
    <w:rsid w:val="0067131F"/>
    <w:rsid w:val="00671393"/>
    <w:rsid w:val="006713A8"/>
    <w:rsid w:val="00671486"/>
    <w:rsid w:val="00671523"/>
    <w:rsid w:val="00671587"/>
    <w:rsid w:val="0067161C"/>
    <w:rsid w:val="00671678"/>
    <w:rsid w:val="00671711"/>
    <w:rsid w:val="00671792"/>
    <w:rsid w:val="006717F8"/>
    <w:rsid w:val="0067183E"/>
    <w:rsid w:val="00671884"/>
    <w:rsid w:val="0067194A"/>
    <w:rsid w:val="00671986"/>
    <w:rsid w:val="00671AA4"/>
    <w:rsid w:val="00671ACF"/>
    <w:rsid w:val="00671B8F"/>
    <w:rsid w:val="00671C88"/>
    <w:rsid w:val="00671E03"/>
    <w:rsid w:val="00671E8C"/>
    <w:rsid w:val="00671EBC"/>
    <w:rsid w:val="00671ED4"/>
    <w:rsid w:val="00671FCC"/>
    <w:rsid w:val="00671FE7"/>
    <w:rsid w:val="006720DE"/>
    <w:rsid w:val="00672143"/>
    <w:rsid w:val="00672149"/>
    <w:rsid w:val="00672150"/>
    <w:rsid w:val="00672410"/>
    <w:rsid w:val="006727B3"/>
    <w:rsid w:val="00672942"/>
    <w:rsid w:val="0067298D"/>
    <w:rsid w:val="00672AB6"/>
    <w:rsid w:val="00672B07"/>
    <w:rsid w:val="00672B4E"/>
    <w:rsid w:val="00672CD9"/>
    <w:rsid w:val="00672D18"/>
    <w:rsid w:val="00672D95"/>
    <w:rsid w:val="00672DDA"/>
    <w:rsid w:val="00672E45"/>
    <w:rsid w:val="00672E5C"/>
    <w:rsid w:val="0067304D"/>
    <w:rsid w:val="00673056"/>
    <w:rsid w:val="006731A3"/>
    <w:rsid w:val="006731D5"/>
    <w:rsid w:val="006733BB"/>
    <w:rsid w:val="006734D5"/>
    <w:rsid w:val="00673595"/>
    <w:rsid w:val="006735C7"/>
    <w:rsid w:val="0067360D"/>
    <w:rsid w:val="00673638"/>
    <w:rsid w:val="00673868"/>
    <w:rsid w:val="006738C5"/>
    <w:rsid w:val="006739BC"/>
    <w:rsid w:val="00673A68"/>
    <w:rsid w:val="00673AB3"/>
    <w:rsid w:val="00673C4B"/>
    <w:rsid w:val="00673EDF"/>
    <w:rsid w:val="00673FBE"/>
    <w:rsid w:val="00673FBF"/>
    <w:rsid w:val="006740B6"/>
    <w:rsid w:val="0067429E"/>
    <w:rsid w:val="006742BF"/>
    <w:rsid w:val="00674362"/>
    <w:rsid w:val="0067445B"/>
    <w:rsid w:val="00674470"/>
    <w:rsid w:val="006745B4"/>
    <w:rsid w:val="006745DF"/>
    <w:rsid w:val="006745E4"/>
    <w:rsid w:val="0067462E"/>
    <w:rsid w:val="00674748"/>
    <w:rsid w:val="006747A0"/>
    <w:rsid w:val="006747B4"/>
    <w:rsid w:val="006747FA"/>
    <w:rsid w:val="0067484D"/>
    <w:rsid w:val="006748BB"/>
    <w:rsid w:val="00674A23"/>
    <w:rsid w:val="00674A79"/>
    <w:rsid w:val="00674A99"/>
    <w:rsid w:val="00674C09"/>
    <w:rsid w:val="00674D0A"/>
    <w:rsid w:val="00674D4A"/>
    <w:rsid w:val="00674D7F"/>
    <w:rsid w:val="00674EE3"/>
    <w:rsid w:val="00675110"/>
    <w:rsid w:val="00675174"/>
    <w:rsid w:val="006751BD"/>
    <w:rsid w:val="00675221"/>
    <w:rsid w:val="00675242"/>
    <w:rsid w:val="0067529C"/>
    <w:rsid w:val="006752D7"/>
    <w:rsid w:val="00675342"/>
    <w:rsid w:val="00675393"/>
    <w:rsid w:val="006754C6"/>
    <w:rsid w:val="006754D2"/>
    <w:rsid w:val="006754F2"/>
    <w:rsid w:val="00675509"/>
    <w:rsid w:val="006756DE"/>
    <w:rsid w:val="00675913"/>
    <w:rsid w:val="0067593B"/>
    <w:rsid w:val="00675992"/>
    <w:rsid w:val="006759CB"/>
    <w:rsid w:val="00675A03"/>
    <w:rsid w:val="00675A2A"/>
    <w:rsid w:val="00675BC8"/>
    <w:rsid w:val="00675E3C"/>
    <w:rsid w:val="00675E61"/>
    <w:rsid w:val="00675E7F"/>
    <w:rsid w:val="0067610C"/>
    <w:rsid w:val="0067619B"/>
    <w:rsid w:val="00676271"/>
    <w:rsid w:val="006762D3"/>
    <w:rsid w:val="00676462"/>
    <w:rsid w:val="0067648C"/>
    <w:rsid w:val="0067652E"/>
    <w:rsid w:val="00676561"/>
    <w:rsid w:val="0067685B"/>
    <w:rsid w:val="006768CF"/>
    <w:rsid w:val="006768E2"/>
    <w:rsid w:val="0067693E"/>
    <w:rsid w:val="00676AC7"/>
    <w:rsid w:val="00676B95"/>
    <w:rsid w:val="00676BEC"/>
    <w:rsid w:val="00676C3D"/>
    <w:rsid w:val="00676CCD"/>
    <w:rsid w:val="00676D79"/>
    <w:rsid w:val="006770A0"/>
    <w:rsid w:val="00677100"/>
    <w:rsid w:val="00677121"/>
    <w:rsid w:val="00677239"/>
    <w:rsid w:val="006773C8"/>
    <w:rsid w:val="0067753E"/>
    <w:rsid w:val="00677575"/>
    <w:rsid w:val="006775E5"/>
    <w:rsid w:val="00677643"/>
    <w:rsid w:val="00677682"/>
    <w:rsid w:val="006777C9"/>
    <w:rsid w:val="0067786D"/>
    <w:rsid w:val="0067787A"/>
    <w:rsid w:val="00677C8D"/>
    <w:rsid w:val="00677D45"/>
    <w:rsid w:val="00677DC7"/>
    <w:rsid w:val="00677F70"/>
    <w:rsid w:val="0068003B"/>
    <w:rsid w:val="00680061"/>
    <w:rsid w:val="006800A3"/>
    <w:rsid w:val="0068011F"/>
    <w:rsid w:val="006802F7"/>
    <w:rsid w:val="0068031A"/>
    <w:rsid w:val="00680345"/>
    <w:rsid w:val="00680483"/>
    <w:rsid w:val="006804D5"/>
    <w:rsid w:val="0068060F"/>
    <w:rsid w:val="006807BE"/>
    <w:rsid w:val="006808D0"/>
    <w:rsid w:val="00680941"/>
    <w:rsid w:val="00680972"/>
    <w:rsid w:val="006809AC"/>
    <w:rsid w:val="00680AEC"/>
    <w:rsid w:val="00680B0C"/>
    <w:rsid w:val="00680C78"/>
    <w:rsid w:val="00680D4E"/>
    <w:rsid w:val="00680DCF"/>
    <w:rsid w:val="00680E02"/>
    <w:rsid w:val="00680E97"/>
    <w:rsid w:val="00680FAA"/>
    <w:rsid w:val="00680FC3"/>
    <w:rsid w:val="0068101A"/>
    <w:rsid w:val="00681093"/>
    <w:rsid w:val="0068109D"/>
    <w:rsid w:val="0068125E"/>
    <w:rsid w:val="006812C4"/>
    <w:rsid w:val="006812DA"/>
    <w:rsid w:val="00681350"/>
    <w:rsid w:val="00681386"/>
    <w:rsid w:val="00681469"/>
    <w:rsid w:val="00681539"/>
    <w:rsid w:val="00681612"/>
    <w:rsid w:val="006816EF"/>
    <w:rsid w:val="006816F4"/>
    <w:rsid w:val="0068177B"/>
    <w:rsid w:val="00681841"/>
    <w:rsid w:val="00681864"/>
    <w:rsid w:val="00681926"/>
    <w:rsid w:val="00681A06"/>
    <w:rsid w:val="00681A34"/>
    <w:rsid w:val="00681AA0"/>
    <w:rsid w:val="00681AB7"/>
    <w:rsid w:val="00681AF2"/>
    <w:rsid w:val="00681B05"/>
    <w:rsid w:val="00681BB1"/>
    <w:rsid w:val="00681C0A"/>
    <w:rsid w:val="00681C2F"/>
    <w:rsid w:val="00681C4A"/>
    <w:rsid w:val="00681C98"/>
    <w:rsid w:val="00681DC5"/>
    <w:rsid w:val="00681F3D"/>
    <w:rsid w:val="0068206F"/>
    <w:rsid w:val="006821E9"/>
    <w:rsid w:val="00682439"/>
    <w:rsid w:val="00682498"/>
    <w:rsid w:val="00682513"/>
    <w:rsid w:val="0068258A"/>
    <w:rsid w:val="006825B0"/>
    <w:rsid w:val="00682602"/>
    <w:rsid w:val="006827B9"/>
    <w:rsid w:val="00682857"/>
    <w:rsid w:val="006828F2"/>
    <w:rsid w:val="00682926"/>
    <w:rsid w:val="006829FF"/>
    <w:rsid w:val="00682B2C"/>
    <w:rsid w:val="00682EC9"/>
    <w:rsid w:val="00682FF0"/>
    <w:rsid w:val="00683026"/>
    <w:rsid w:val="00683080"/>
    <w:rsid w:val="00683174"/>
    <w:rsid w:val="006831D1"/>
    <w:rsid w:val="00683441"/>
    <w:rsid w:val="0068344D"/>
    <w:rsid w:val="00683481"/>
    <w:rsid w:val="00683727"/>
    <w:rsid w:val="00683733"/>
    <w:rsid w:val="006837AB"/>
    <w:rsid w:val="006837EA"/>
    <w:rsid w:val="0068383C"/>
    <w:rsid w:val="0068388D"/>
    <w:rsid w:val="00683961"/>
    <w:rsid w:val="006839F1"/>
    <w:rsid w:val="00683A37"/>
    <w:rsid w:val="00683AE1"/>
    <w:rsid w:val="00683B5E"/>
    <w:rsid w:val="00683BAF"/>
    <w:rsid w:val="00683BBA"/>
    <w:rsid w:val="00683D12"/>
    <w:rsid w:val="00683D23"/>
    <w:rsid w:val="00683D35"/>
    <w:rsid w:val="00683D62"/>
    <w:rsid w:val="00683F19"/>
    <w:rsid w:val="00683F1C"/>
    <w:rsid w:val="0068400F"/>
    <w:rsid w:val="0068403C"/>
    <w:rsid w:val="006840A8"/>
    <w:rsid w:val="00684173"/>
    <w:rsid w:val="0068417D"/>
    <w:rsid w:val="0068441D"/>
    <w:rsid w:val="00684488"/>
    <w:rsid w:val="00684505"/>
    <w:rsid w:val="00684539"/>
    <w:rsid w:val="006845C5"/>
    <w:rsid w:val="006845C7"/>
    <w:rsid w:val="006845EB"/>
    <w:rsid w:val="0068476B"/>
    <w:rsid w:val="006847B3"/>
    <w:rsid w:val="006849DB"/>
    <w:rsid w:val="00684B5C"/>
    <w:rsid w:val="00684B63"/>
    <w:rsid w:val="00684DCC"/>
    <w:rsid w:val="00684E85"/>
    <w:rsid w:val="00684E8E"/>
    <w:rsid w:val="00684ECE"/>
    <w:rsid w:val="00684F01"/>
    <w:rsid w:val="00684F95"/>
    <w:rsid w:val="0068519F"/>
    <w:rsid w:val="006851C4"/>
    <w:rsid w:val="006853C6"/>
    <w:rsid w:val="00685478"/>
    <w:rsid w:val="00685525"/>
    <w:rsid w:val="0068553E"/>
    <w:rsid w:val="00685544"/>
    <w:rsid w:val="00685551"/>
    <w:rsid w:val="0068556A"/>
    <w:rsid w:val="0068559C"/>
    <w:rsid w:val="006855B8"/>
    <w:rsid w:val="006855C4"/>
    <w:rsid w:val="00685613"/>
    <w:rsid w:val="00685615"/>
    <w:rsid w:val="0068565E"/>
    <w:rsid w:val="006858B3"/>
    <w:rsid w:val="00685951"/>
    <w:rsid w:val="006859B2"/>
    <w:rsid w:val="006859FD"/>
    <w:rsid w:val="00685B50"/>
    <w:rsid w:val="00685B94"/>
    <w:rsid w:val="00685BC7"/>
    <w:rsid w:val="00685BF0"/>
    <w:rsid w:val="00685D98"/>
    <w:rsid w:val="00685DFC"/>
    <w:rsid w:val="00685E22"/>
    <w:rsid w:val="00685E9A"/>
    <w:rsid w:val="00685EE4"/>
    <w:rsid w:val="006861B8"/>
    <w:rsid w:val="006861DB"/>
    <w:rsid w:val="00686245"/>
    <w:rsid w:val="006862F6"/>
    <w:rsid w:val="0068634E"/>
    <w:rsid w:val="006865E8"/>
    <w:rsid w:val="00686625"/>
    <w:rsid w:val="0068679B"/>
    <w:rsid w:val="006868A1"/>
    <w:rsid w:val="00686991"/>
    <w:rsid w:val="00686994"/>
    <w:rsid w:val="00686A4C"/>
    <w:rsid w:val="00686A51"/>
    <w:rsid w:val="00686ADD"/>
    <w:rsid w:val="00686B2B"/>
    <w:rsid w:val="00686B7C"/>
    <w:rsid w:val="00686BAD"/>
    <w:rsid w:val="00686C1C"/>
    <w:rsid w:val="00686C4E"/>
    <w:rsid w:val="00686C95"/>
    <w:rsid w:val="00686D2F"/>
    <w:rsid w:val="00686DB1"/>
    <w:rsid w:val="00686DCC"/>
    <w:rsid w:val="00686E43"/>
    <w:rsid w:val="00686EC7"/>
    <w:rsid w:val="00686F7A"/>
    <w:rsid w:val="00686F9C"/>
    <w:rsid w:val="00686FA7"/>
    <w:rsid w:val="00687075"/>
    <w:rsid w:val="006870B4"/>
    <w:rsid w:val="00687156"/>
    <w:rsid w:val="006873A6"/>
    <w:rsid w:val="0068747D"/>
    <w:rsid w:val="00687584"/>
    <w:rsid w:val="0068759F"/>
    <w:rsid w:val="00687678"/>
    <w:rsid w:val="00687679"/>
    <w:rsid w:val="006876BD"/>
    <w:rsid w:val="006877B2"/>
    <w:rsid w:val="006877C5"/>
    <w:rsid w:val="006877CF"/>
    <w:rsid w:val="00687866"/>
    <w:rsid w:val="0068787A"/>
    <w:rsid w:val="0068789E"/>
    <w:rsid w:val="00687975"/>
    <w:rsid w:val="00687986"/>
    <w:rsid w:val="0068798E"/>
    <w:rsid w:val="00687AFC"/>
    <w:rsid w:val="00687BB1"/>
    <w:rsid w:val="00687D46"/>
    <w:rsid w:val="00687E5C"/>
    <w:rsid w:val="00690148"/>
    <w:rsid w:val="0069019E"/>
    <w:rsid w:val="00690262"/>
    <w:rsid w:val="0069026C"/>
    <w:rsid w:val="006902EE"/>
    <w:rsid w:val="00690316"/>
    <w:rsid w:val="006903BC"/>
    <w:rsid w:val="00690459"/>
    <w:rsid w:val="00690479"/>
    <w:rsid w:val="0069059D"/>
    <w:rsid w:val="006906E4"/>
    <w:rsid w:val="0069076E"/>
    <w:rsid w:val="006907A2"/>
    <w:rsid w:val="006907AC"/>
    <w:rsid w:val="00690801"/>
    <w:rsid w:val="006908A3"/>
    <w:rsid w:val="006908B0"/>
    <w:rsid w:val="0069091E"/>
    <w:rsid w:val="00690962"/>
    <w:rsid w:val="00690A57"/>
    <w:rsid w:val="00690A58"/>
    <w:rsid w:val="00690B54"/>
    <w:rsid w:val="00690C38"/>
    <w:rsid w:val="00690C92"/>
    <w:rsid w:val="00690DC6"/>
    <w:rsid w:val="00690DCA"/>
    <w:rsid w:val="00691067"/>
    <w:rsid w:val="006910AB"/>
    <w:rsid w:val="006910B9"/>
    <w:rsid w:val="00691174"/>
    <w:rsid w:val="006911CB"/>
    <w:rsid w:val="0069120C"/>
    <w:rsid w:val="00691247"/>
    <w:rsid w:val="006912C8"/>
    <w:rsid w:val="006912E2"/>
    <w:rsid w:val="006912FF"/>
    <w:rsid w:val="006913BB"/>
    <w:rsid w:val="00691460"/>
    <w:rsid w:val="00691478"/>
    <w:rsid w:val="0069148A"/>
    <w:rsid w:val="00691580"/>
    <w:rsid w:val="006916F1"/>
    <w:rsid w:val="006918F8"/>
    <w:rsid w:val="006918F9"/>
    <w:rsid w:val="00691947"/>
    <w:rsid w:val="00691A16"/>
    <w:rsid w:val="00691A22"/>
    <w:rsid w:val="00691C26"/>
    <w:rsid w:val="00691C62"/>
    <w:rsid w:val="00691CE8"/>
    <w:rsid w:val="00691D0F"/>
    <w:rsid w:val="00691DD2"/>
    <w:rsid w:val="00691E96"/>
    <w:rsid w:val="00691F1E"/>
    <w:rsid w:val="00692014"/>
    <w:rsid w:val="00692028"/>
    <w:rsid w:val="006920C3"/>
    <w:rsid w:val="006921E0"/>
    <w:rsid w:val="00692396"/>
    <w:rsid w:val="00692467"/>
    <w:rsid w:val="00692564"/>
    <w:rsid w:val="006926A3"/>
    <w:rsid w:val="00692708"/>
    <w:rsid w:val="00692721"/>
    <w:rsid w:val="0069282A"/>
    <w:rsid w:val="006928BF"/>
    <w:rsid w:val="0069293C"/>
    <w:rsid w:val="006929A8"/>
    <w:rsid w:val="00692A95"/>
    <w:rsid w:val="00692BAB"/>
    <w:rsid w:val="00692C86"/>
    <w:rsid w:val="00692D08"/>
    <w:rsid w:val="00692D67"/>
    <w:rsid w:val="00692D8B"/>
    <w:rsid w:val="00692F4A"/>
    <w:rsid w:val="00693280"/>
    <w:rsid w:val="00693292"/>
    <w:rsid w:val="00693372"/>
    <w:rsid w:val="00693375"/>
    <w:rsid w:val="00693376"/>
    <w:rsid w:val="0069339D"/>
    <w:rsid w:val="0069341C"/>
    <w:rsid w:val="0069345C"/>
    <w:rsid w:val="00693466"/>
    <w:rsid w:val="006935A7"/>
    <w:rsid w:val="006935CA"/>
    <w:rsid w:val="00693734"/>
    <w:rsid w:val="006937AC"/>
    <w:rsid w:val="00693834"/>
    <w:rsid w:val="006939AE"/>
    <w:rsid w:val="00693A37"/>
    <w:rsid w:val="00693A6F"/>
    <w:rsid w:val="00693B1B"/>
    <w:rsid w:val="00693C31"/>
    <w:rsid w:val="00693C6C"/>
    <w:rsid w:val="00693D10"/>
    <w:rsid w:val="00693DA9"/>
    <w:rsid w:val="00693F14"/>
    <w:rsid w:val="00693F3D"/>
    <w:rsid w:val="00694016"/>
    <w:rsid w:val="006940B6"/>
    <w:rsid w:val="006940D3"/>
    <w:rsid w:val="006940FB"/>
    <w:rsid w:val="0069419F"/>
    <w:rsid w:val="00694280"/>
    <w:rsid w:val="006942ED"/>
    <w:rsid w:val="0069433F"/>
    <w:rsid w:val="00694427"/>
    <w:rsid w:val="0069444B"/>
    <w:rsid w:val="00694586"/>
    <w:rsid w:val="00694670"/>
    <w:rsid w:val="00694951"/>
    <w:rsid w:val="006949AD"/>
    <w:rsid w:val="006949EA"/>
    <w:rsid w:val="00694A29"/>
    <w:rsid w:val="00694CD3"/>
    <w:rsid w:val="00694CD6"/>
    <w:rsid w:val="00694CF3"/>
    <w:rsid w:val="00694EDD"/>
    <w:rsid w:val="00694F9D"/>
    <w:rsid w:val="00694FD1"/>
    <w:rsid w:val="0069503B"/>
    <w:rsid w:val="00695197"/>
    <w:rsid w:val="006952AB"/>
    <w:rsid w:val="006954CC"/>
    <w:rsid w:val="006955A0"/>
    <w:rsid w:val="006955C1"/>
    <w:rsid w:val="00695714"/>
    <w:rsid w:val="0069582A"/>
    <w:rsid w:val="006958C4"/>
    <w:rsid w:val="006959DB"/>
    <w:rsid w:val="00695A0A"/>
    <w:rsid w:val="00695C2D"/>
    <w:rsid w:val="00695D00"/>
    <w:rsid w:val="00695F9D"/>
    <w:rsid w:val="00695FCF"/>
    <w:rsid w:val="006960DD"/>
    <w:rsid w:val="006960EA"/>
    <w:rsid w:val="0069613E"/>
    <w:rsid w:val="00696165"/>
    <w:rsid w:val="00696391"/>
    <w:rsid w:val="006964AC"/>
    <w:rsid w:val="006965EB"/>
    <w:rsid w:val="0069663C"/>
    <w:rsid w:val="00696679"/>
    <w:rsid w:val="006967CA"/>
    <w:rsid w:val="006967F3"/>
    <w:rsid w:val="006968CB"/>
    <w:rsid w:val="006968EF"/>
    <w:rsid w:val="00696A22"/>
    <w:rsid w:val="00696C5F"/>
    <w:rsid w:val="00696E81"/>
    <w:rsid w:val="00696F02"/>
    <w:rsid w:val="006970F1"/>
    <w:rsid w:val="0069715F"/>
    <w:rsid w:val="006971B0"/>
    <w:rsid w:val="006971DB"/>
    <w:rsid w:val="00697308"/>
    <w:rsid w:val="0069743F"/>
    <w:rsid w:val="00697444"/>
    <w:rsid w:val="00697474"/>
    <w:rsid w:val="00697539"/>
    <w:rsid w:val="00697572"/>
    <w:rsid w:val="0069760D"/>
    <w:rsid w:val="00697700"/>
    <w:rsid w:val="0069783D"/>
    <w:rsid w:val="00697849"/>
    <w:rsid w:val="00697899"/>
    <w:rsid w:val="0069799A"/>
    <w:rsid w:val="006979ED"/>
    <w:rsid w:val="00697AC9"/>
    <w:rsid w:val="00697ADB"/>
    <w:rsid w:val="00697BF8"/>
    <w:rsid w:val="00697DFE"/>
    <w:rsid w:val="00697E13"/>
    <w:rsid w:val="00697E1E"/>
    <w:rsid w:val="00697E41"/>
    <w:rsid w:val="00697ED4"/>
    <w:rsid w:val="00697F3E"/>
    <w:rsid w:val="006A0000"/>
    <w:rsid w:val="006A008E"/>
    <w:rsid w:val="006A013F"/>
    <w:rsid w:val="006A0277"/>
    <w:rsid w:val="006A032C"/>
    <w:rsid w:val="006A0385"/>
    <w:rsid w:val="006A03F5"/>
    <w:rsid w:val="006A0464"/>
    <w:rsid w:val="006A04C6"/>
    <w:rsid w:val="006A0578"/>
    <w:rsid w:val="006A059A"/>
    <w:rsid w:val="006A072C"/>
    <w:rsid w:val="006A0978"/>
    <w:rsid w:val="006A0993"/>
    <w:rsid w:val="006A0A4A"/>
    <w:rsid w:val="006A0B6C"/>
    <w:rsid w:val="006A0C13"/>
    <w:rsid w:val="006A0CCB"/>
    <w:rsid w:val="006A0D2C"/>
    <w:rsid w:val="006A0D91"/>
    <w:rsid w:val="006A0F0A"/>
    <w:rsid w:val="006A101C"/>
    <w:rsid w:val="006A119E"/>
    <w:rsid w:val="006A12B5"/>
    <w:rsid w:val="006A131B"/>
    <w:rsid w:val="006A1374"/>
    <w:rsid w:val="006A13BE"/>
    <w:rsid w:val="006A13CC"/>
    <w:rsid w:val="006A1465"/>
    <w:rsid w:val="006A1535"/>
    <w:rsid w:val="006A1620"/>
    <w:rsid w:val="006A167F"/>
    <w:rsid w:val="006A1731"/>
    <w:rsid w:val="006A1817"/>
    <w:rsid w:val="006A18AC"/>
    <w:rsid w:val="006A1A78"/>
    <w:rsid w:val="006A1D6B"/>
    <w:rsid w:val="006A1DF9"/>
    <w:rsid w:val="006A1ED3"/>
    <w:rsid w:val="006A1F0A"/>
    <w:rsid w:val="006A2039"/>
    <w:rsid w:val="006A2072"/>
    <w:rsid w:val="006A2081"/>
    <w:rsid w:val="006A210B"/>
    <w:rsid w:val="006A210F"/>
    <w:rsid w:val="006A2158"/>
    <w:rsid w:val="006A221D"/>
    <w:rsid w:val="006A2250"/>
    <w:rsid w:val="006A22FE"/>
    <w:rsid w:val="006A2349"/>
    <w:rsid w:val="006A234A"/>
    <w:rsid w:val="006A23B0"/>
    <w:rsid w:val="006A243A"/>
    <w:rsid w:val="006A2452"/>
    <w:rsid w:val="006A25BF"/>
    <w:rsid w:val="006A261D"/>
    <w:rsid w:val="006A264E"/>
    <w:rsid w:val="006A2650"/>
    <w:rsid w:val="006A2698"/>
    <w:rsid w:val="006A26B1"/>
    <w:rsid w:val="006A28D9"/>
    <w:rsid w:val="006A28E9"/>
    <w:rsid w:val="006A29BB"/>
    <w:rsid w:val="006A29E1"/>
    <w:rsid w:val="006A2A00"/>
    <w:rsid w:val="006A2B51"/>
    <w:rsid w:val="006A2BA8"/>
    <w:rsid w:val="006A2D15"/>
    <w:rsid w:val="006A2DDE"/>
    <w:rsid w:val="006A2DE0"/>
    <w:rsid w:val="006A300C"/>
    <w:rsid w:val="006A31C1"/>
    <w:rsid w:val="006A31C2"/>
    <w:rsid w:val="006A3206"/>
    <w:rsid w:val="006A322A"/>
    <w:rsid w:val="006A3271"/>
    <w:rsid w:val="006A3403"/>
    <w:rsid w:val="006A344F"/>
    <w:rsid w:val="006A3680"/>
    <w:rsid w:val="006A373A"/>
    <w:rsid w:val="006A3831"/>
    <w:rsid w:val="006A392C"/>
    <w:rsid w:val="006A3ABC"/>
    <w:rsid w:val="006A3AE4"/>
    <w:rsid w:val="006A3C97"/>
    <w:rsid w:val="006A3CFA"/>
    <w:rsid w:val="006A3D95"/>
    <w:rsid w:val="006A3D9A"/>
    <w:rsid w:val="006A3E0F"/>
    <w:rsid w:val="006A3E53"/>
    <w:rsid w:val="006A3EC1"/>
    <w:rsid w:val="006A3EDC"/>
    <w:rsid w:val="006A3F13"/>
    <w:rsid w:val="006A3FB1"/>
    <w:rsid w:val="006A40CE"/>
    <w:rsid w:val="006A425A"/>
    <w:rsid w:val="006A433A"/>
    <w:rsid w:val="006A43DD"/>
    <w:rsid w:val="006A44B7"/>
    <w:rsid w:val="006A4517"/>
    <w:rsid w:val="006A452B"/>
    <w:rsid w:val="006A4560"/>
    <w:rsid w:val="006A4569"/>
    <w:rsid w:val="006A45A3"/>
    <w:rsid w:val="006A45A7"/>
    <w:rsid w:val="006A45CE"/>
    <w:rsid w:val="006A4624"/>
    <w:rsid w:val="006A4644"/>
    <w:rsid w:val="006A465B"/>
    <w:rsid w:val="006A4767"/>
    <w:rsid w:val="006A4783"/>
    <w:rsid w:val="006A47E3"/>
    <w:rsid w:val="006A480A"/>
    <w:rsid w:val="006A48B1"/>
    <w:rsid w:val="006A48CE"/>
    <w:rsid w:val="006A49B1"/>
    <w:rsid w:val="006A4A1A"/>
    <w:rsid w:val="006A4B10"/>
    <w:rsid w:val="006A4B61"/>
    <w:rsid w:val="006A4BCD"/>
    <w:rsid w:val="006A4BED"/>
    <w:rsid w:val="006A4C28"/>
    <w:rsid w:val="006A4C5A"/>
    <w:rsid w:val="006A4D67"/>
    <w:rsid w:val="006A4DC9"/>
    <w:rsid w:val="006A4E31"/>
    <w:rsid w:val="006A4EE4"/>
    <w:rsid w:val="006A4F04"/>
    <w:rsid w:val="006A501B"/>
    <w:rsid w:val="006A503D"/>
    <w:rsid w:val="006A5048"/>
    <w:rsid w:val="006A50DF"/>
    <w:rsid w:val="006A523C"/>
    <w:rsid w:val="006A5240"/>
    <w:rsid w:val="006A5267"/>
    <w:rsid w:val="006A527D"/>
    <w:rsid w:val="006A52BC"/>
    <w:rsid w:val="006A537A"/>
    <w:rsid w:val="006A539B"/>
    <w:rsid w:val="006A53B3"/>
    <w:rsid w:val="006A5708"/>
    <w:rsid w:val="006A572F"/>
    <w:rsid w:val="006A573A"/>
    <w:rsid w:val="006A575D"/>
    <w:rsid w:val="006A5831"/>
    <w:rsid w:val="006A58D2"/>
    <w:rsid w:val="006A58F7"/>
    <w:rsid w:val="006A5915"/>
    <w:rsid w:val="006A5B88"/>
    <w:rsid w:val="006A5C07"/>
    <w:rsid w:val="006A5D71"/>
    <w:rsid w:val="006A5DF9"/>
    <w:rsid w:val="006A5E39"/>
    <w:rsid w:val="006A5ED3"/>
    <w:rsid w:val="006A5F11"/>
    <w:rsid w:val="006A5F8B"/>
    <w:rsid w:val="006A5FE3"/>
    <w:rsid w:val="006A60C5"/>
    <w:rsid w:val="006A612C"/>
    <w:rsid w:val="006A6145"/>
    <w:rsid w:val="006A61D2"/>
    <w:rsid w:val="006A627A"/>
    <w:rsid w:val="006A6336"/>
    <w:rsid w:val="006A6453"/>
    <w:rsid w:val="006A64FA"/>
    <w:rsid w:val="006A6532"/>
    <w:rsid w:val="006A65AE"/>
    <w:rsid w:val="006A660E"/>
    <w:rsid w:val="006A6613"/>
    <w:rsid w:val="006A6640"/>
    <w:rsid w:val="006A667E"/>
    <w:rsid w:val="006A66DF"/>
    <w:rsid w:val="006A66EB"/>
    <w:rsid w:val="006A6703"/>
    <w:rsid w:val="006A670B"/>
    <w:rsid w:val="006A67BF"/>
    <w:rsid w:val="006A6844"/>
    <w:rsid w:val="006A68C9"/>
    <w:rsid w:val="006A6980"/>
    <w:rsid w:val="006A6A66"/>
    <w:rsid w:val="006A6A97"/>
    <w:rsid w:val="006A6B0B"/>
    <w:rsid w:val="006A6BAB"/>
    <w:rsid w:val="006A6C52"/>
    <w:rsid w:val="006A6C63"/>
    <w:rsid w:val="006A6D9D"/>
    <w:rsid w:val="006A6E55"/>
    <w:rsid w:val="006A6E5C"/>
    <w:rsid w:val="006A6ECC"/>
    <w:rsid w:val="006A6F37"/>
    <w:rsid w:val="006A6F83"/>
    <w:rsid w:val="006A706B"/>
    <w:rsid w:val="006A70C4"/>
    <w:rsid w:val="006A7258"/>
    <w:rsid w:val="006A731C"/>
    <w:rsid w:val="006A7405"/>
    <w:rsid w:val="006A7545"/>
    <w:rsid w:val="006A75D0"/>
    <w:rsid w:val="006A7661"/>
    <w:rsid w:val="006A766F"/>
    <w:rsid w:val="006A7845"/>
    <w:rsid w:val="006A7940"/>
    <w:rsid w:val="006A7961"/>
    <w:rsid w:val="006A7A34"/>
    <w:rsid w:val="006A7B15"/>
    <w:rsid w:val="006A7BA4"/>
    <w:rsid w:val="006A7CB8"/>
    <w:rsid w:val="006A7CBE"/>
    <w:rsid w:val="006A7E4C"/>
    <w:rsid w:val="006A7F8E"/>
    <w:rsid w:val="006A7FD5"/>
    <w:rsid w:val="006B00CE"/>
    <w:rsid w:val="006B02AE"/>
    <w:rsid w:val="006B0376"/>
    <w:rsid w:val="006B03B3"/>
    <w:rsid w:val="006B03EC"/>
    <w:rsid w:val="006B0475"/>
    <w:rsid w:val="006B0650"/>
    <w:rsid w:val="006B09DD"/>
    <w:rsid w:val="006B0A38"/>
    <w:rsid w:val="006B0A8F"/>
    <w:rsid w:val="006B0AFF"/>
    <w:rsid w:val="006B0BB8"/>
    <w:rsid w:val="006B0C85"/>
    <w:rsid w:val="006B0D55"/>
    <w:rsid w:val="006B0D5C"/>
    <w:rsid w:val="006B0D82"/>
    <w:rsid w:val="006B0DEE"/>
    <w:rsid w:val="006B0E39"/>
    <w:rsid w:val="006B0E9C"/>
    <w:rsid w:val="006B105A"/>
    <w:rsid w:val="006B1096"/>
    <w:rsid w:val="006B10E1"/>
    <w:rsid w:val="006B10F0"/>
    <w:rsid w:val="006B11F2"/>
    <w:rsid w:val="006B1411"/>
    <w:rsid w:val="006B151B"/>
    <w:rsid w:val="006B15A0"/>
    <w:rsid w:val="006B166C"/>
    <w:rsid w:val="006B1674"/>
    <w:rsid w:val="006B17CA"/>
    <w:rsid w:val="006B19A0"/>
    <w:rsid w:val="006B1A5E"/>
    <w:rsid w:val="006B1B2D"/>
    <w:rsid w:val="006B1BA4"/>
    <w:rsid w:val="006B1C59"/>
    <w:rsid w:val="006B1C77"/>
    <w:rsid w:val="006B1C97"/>
    <w:rsid w:val="006B1D7C"/>
    <w:rsid w:val="006B1F6C"/>
    <w:rsid w:val="006B1F75"/>
    <w:rsid w:val="006B1F9F"/>
    <w:rsid w:val="006B1FAC"/>
    <w:rsid w:val="006B2047"/>
    <w:rsid w:val="006B20A8"/>
    <w:rsid w:val="006B21BA"/>
    <w:rsid w:val="006B2272"/>
    <w:rsid w:val="006B229D"/>
    <w:rsid w:val="006B22B8"/>
    <w:rsid w:val="006B23B8"/>
    <w:rsid w:val="006B25C8"/>
    <w:rsid w:val="006B2797"/>
    <w:rsid w:val="006B27D8"/>
    <w:rsid w:val="006B27D9"/>
    <w:rsid w:val="006B2949"/>
    <w:rsid w:val="006B29FA"/>
    <w:rsid w:val="006B2B28"/>
    <w:rsid w:val="006B2B37"/>
    <w:rsid w:val="006B2D5A"/>
    <w:rsid w:val="006B2D70"/>
    <w:rsid w:val="006B2D99"/>
    <w:rsid w:val="006B2DD5"/>
    <w:rsid w:val="006B2DFC"/>
    <w:rsid w:val="006B2E12"/>
    <w:rsid w:val="006B2E84"/>
    <w:rsid w:val="006B2EC4"/>
    <w:rsid w:val="006B2EDC"/>
    <w:rsid w:val="006B2F71"/>
    <w:rsid w:val="006B3149"/>
    <w:rsid w:val="006B31E9"/>
    <w:rsid w:val="006B31F2"/>
    <w:rsid w:val="006B324D"/>
    <w:rsid w:val="006B32DC"/>
    <w:rsid w:val="006B3317"/>
    <w:rsid w:val="006B336A"/>
    <w:rsid w:val="006B337F"/>
    <w:rsid w:val="006B33AA"/>
    <w:rsid w:val="006B33D2"/>
    <w:rsid w:val="006B3674"/>
    <w:rsid w:val="006B37A2"/>
    <w:rsid w:val="006B37AC"/>
    <w:rsid w:val="006B3853"/>
    <w:rsid w:val="006B386D"/>
    <w:rsid w:val="006B387C"/>
    <w:rsid w:val="006B38D8"/>
    <w:rsid w:val="006B392A"/>
    <w:rsid w:val="006B39DD"/>
    <w:rsid w:val="006B3AE8"/>
    <w:rsid w:val="006B3AFE"/>
    <w:rsid w:val="006B3B15"/>
    <w:rsid w:val="006B3B67"/>
    <w:rsid w:val="006B3D13"/>
    <w:rsid w:val="006B3E9C"/>
    <w:rsid w:val="006B3F8D"/>
    <w:rsid w:val="006B4307"/>
    <w:rsid w:val="006B4317"/>
    <w:rsid w:val="006B432F"/>
    <w:rsid w:val="006B438C"/>
    <w:rsid w:val="006B44AC"/>
    <w:rsid w:val="006B44DC"/>
    <w:rsid w:val="006B44E5"/>
    <w:rsid w:val="006B4544"/>
    <w:rsid w:val="006B45C3"/>
    <w:rsid w:val="006B46BF"/>
    <w:rsid w:val="006B4719"/>
    <w:rsid w:val="006B4755"/>
    <w:rsid w:val="006B4764"/>
    <w:rsid w:val="006B48A1"/>
    <w:rsid w:val="006B4939"/>
    <w:rsid w:val="006B4B98"/>
    <w:rsid w:val="006B4BFF"/>
    <w:rsid w:val="006B4CE4"/>
    <w:rsid w:val="006B4CEA"/>
    <w:rsid w:val="006B4D0F"/>
    <w:rsid w:val="006B4D22"/>
    <w:rsid w:val="006B4DBD"/>
    <w:rsid w:val="006B4DDC"/>
    <w:rsid w:val="006B4E7C"/>
    <w:rsid w:val="006B4EA4"/>
    <w:rsid w:val="006B5000"/>
    <w:rsid w:val="006B5008"/>
    <w:rsid w:val="006B5133"/>
    <w:rsid w:val="006B513B"/>
    <w:rsid w:val="006B51F8"/>
    <w:rsid w:val="006B522D"/>
    <w:rsid w:val="006B52A8"/>
    <w:rsid w:val="006B5300"/>
    <w:rsid w:val="006B530E"/>
    <w:rsid w:val="006B543F"/>
    <w:rsid w:val="006B54D1"/>
    <w:rsid w:val="006B5527"/>
    <w:rsid w:val="006B555C"/>
    <w:rsid w:val="006B55A9"/>
    <w:rsid w:val="006B561E"/>
    <w:rsid w:val="006B56B7"/>
    <w:rsid w:val="006B579D"/>
    <w:rsid w:val="006B57FB"/>
    <w:rsid w:val="006B5805"/>
    <w:rsid w:val="006B59B9"/>
    <w:rsid w:val="006B5A41"/>
    <w:rsid w:val="006B5A8D"/>
    <w:rsid w:val="006B5AA0"/>
    <w:rsid w:val="006B5AF4"/>
    <w:rsid w:val="006B5B8F"/>
    <w:rsid w:val="006B5BF1"/>
    <w:rsid w:val="006B5DB7"/>
    <w:rsid w:val="006B5DF6"/>
    <w:rsid w:val="006B5E48"/>
    <w:rsid w:val="006B5E59"/>
    <w:rsid w:val="006B5E8D"/>
    <w:rsid w:val="006B5ECC"/>
    <w:rsid w:val="006B5F36"/>
    <w:rsid w:val="006B5FC7"/>
    <w:rsid w:val="006B606B"/>
    <w:rsid w:val="006B60C6"/>
    <w:rsid w:val="006B616B"/>
    <w:rsid w:val="006B619E"/>
    <w:rsid w:val="006B623C"/>
    <w:rsid w:val="006B6256"/>
    <w:rsid w:val="006B62C5"/>
    <w:rsid w:val="006B632D"/>
    <w:rsid w:val="006B642D"/>
    <w:rsid w:val="006B6465"/>
    <w:rsid w:val="006B64C1"/>
    <w:rsid w:val="006B6565"/>
    <w:rsid w:val="006B6674"/>
    <w:rsid w:val="006B6742"/>
    <w:rsid w:val="006B6830"/>
    <w:rsid w:val="006B6937"/>
    <w:rsid w:val="006B697E"/>
    <w:rsid w:val="006B6A14"/>
    <w:rsid w:val="006B6B0C"/>
    <w:rsid w:val="006B6C91"/>
    <w:rsid w:val="006B6D6C"/>
    <w:rsid w:val="006B6E46"/>
    <w:rsid w:val="006B6EF6"/>
    <w:rsid w:val="006B6F7B"/>
    <w:rsid w:val="006B6F92"/>
    <w:rsid w:val="006B709A"/>
    <w:rsid w:val="006B70B2"/>
    <w:rsid w:val="006B71EA"/>
    <w:rsid w:val="006B72D4"/>
    <w:rsid w:val="006B745D"/>
    <w:rsid w:val="006B747C"/>
    <w:rsid w:val="006B748C"/>
    <w:rsid w:val="006B7634"/>
    <w:rsid w:val="006B764C"/>
    <w:rsid w:val="006B76DE"/>
    <w:rsid w:val="006B7746"/>
    <w:rsid w:val="006B7831"/>
    <w:rsid w:val="006B7857"/>
    <w:rsid w:val="006B78EC"/>
    <w:rsid w:val="006B794E"/>
    <w:rsid w:val="006B79AC"/>
    <w:rsid w:val="006B79B7"/>
    <w:rsid w:val="006B79F5"/>
    <w:rsid w:val="006B7A48"/>
    <w:rsid w:val="006B7B5D"/>
    <w:rsid w:val="006B7C29"/>
    <w:rsid w:val="006B7C7D"/>
    <w:rsid w:val="006B7ED2"/>
    <w:rsid w:val="006B7EF2"/>
    <w:rsid w:val="006B7F0E"/>
    <w:rsid w:val="006B7FEE"/>
    <w:rsid w:val="006C005E"/>
    <w:rsid w:val="006C01B1"/>
    <w:rsid w:val="006C0220"/>
    <w:rsid w:val="006C02CF"/>
    <w:rsid w:val="006C0396"/>
    <w:rsid w:val="006C0398"/>
    <w:rsid w:val="006C0454"/>
    <w:rsid w:val="006C049C"/>
    <w:rsid w:val="006C0543"/>
    <w:rsid w:val="006C05AD"/>
    <w:rsid w:val="006C068F"/>
    <w:rsid w:val="006C06AD"/>
    <w:rsid w:val="006C06BA"/>
    <w:rsid w:val="006C06C6"/>
    <w:rsid w:val="006C08FC"/>
    <w:rsid w:val="006C09E4"/>
    <w:rsid w:val="006C0A51"/>
    <w:rsid w:val="006C0A79"/>
    <w:rsid w:val="006C0BFE"/>
    <w:rsid w:val="006C0D67"/>
    <w:rsid w:val="006C0DBC"/>
    <w:rsid w:val="006C0F44"/>
    <w:rsid w:val="006C1167"/>
    <w:rsid w:val="006C12C7"/>
    <w:rsid w:val="006C133F"/>
    <w:rsid w:val="006C14FA"/>
    <w:rsid w:val="006C164F"/>
    <w:rsid w:val="006C1688"/>
    <w:rsid w:val="006C16A6"/>
    <w:rsid w:val="006C16AA"/>
    <w:rsid w:val="006C1701"/>
    <w:rsid w:val="006C179D"/>
    <w:rsid w:val="006C181A"/>
    <w:rsid w:val="006C181C"/>
    <w:rsid w:val="006C1823"/>
    <w:rsid w:val="006C1877"/>
    <w:rsid w:val="006C189E"/>
    <w:rsid w:val="006C18D2"/>
    <w:rsid w:val="006C1A2F"/>
    <w:rsid w:val="006C1BB1"/>
    <w:rsid w:val="006C1C05"/>
    <w:rsid w:val="006C1C4F"/>
    <w:rsid w:val="006C1D26"/>
    <w:rsid w:val="006C1E4F"/>
    <w:rsid w:val="006C1F2C"/>
    <w:rsid w:val="006C2056"/>
    <w:rsid w:val="006C20A6"/>
    <w:rsid w:val="006C20C6"/>
    <w:rsid w:val="006C20D8"/>
    <w:rsid w:val="006C2108"/>
    <w:rsid w:val="006C2184"/>
    <w:rsid w:val="006C222D"/>
    <w:rsid w:val="006C22FA"/>
    <w:rsid w:val="006C2359"/>
    <w:rsid w:val="006C2368"/>
    <w:rsid w:val="006C236A"/>
    <w:rsid w:val="006C2512"/>
    <w:rsid w:val="006C25C0"/>
    <w:rsid w:val="006C25E5"/>
    <w:rsid w:val="006C260C"/>
    <w:rsid w:val="006C26B4"/>
    <w:rsid w:val="006C2819"/>
    <w:rsid w:val="006C2830"/>
    <w:rsid w:val="006C2AAB"/>
    <w:rsid w:val="006C2B9F"/>
    <w:rsid w:val="006C2BE1"/>
    <w:rsid w:val="006C2C3C"/>
    <w:rsid w:val="006C2F88"/>
    <w:rsid w:val="006C2FA5"/>
    <w:rsid w:val="006C309F"/>
    <w:rsid w:val="006C30A8"/>
    <w:rsid w:val="006C3116"/>
    <w:rsid w:val="006C313E"/>
    <w:rsid w:val="006C31A5"/>
    <w:rsid w:val="006C324C"/>
    <w:rsid w:val="006C33CB"/>
    <w:rsid w:val="006C33CC"/>
    <w:rsid w:val="006C33DB"/>
    <w:rsid w:val="006C33DD"/>
    <w:rsid w:val="006C33F9"/>
    <w:rsid w:val="006C349E"/>
    <w:rsid w:val="006C35EE"/>
    <w:rsid w:val="006C3765"/>
    <w:rsid w:val="006C3773"/>
    <w:rsid w:val="006C3BAF"/>
    <w:rsid w:val="006C3C12"/>
    <w:rsid w:val="006C3C5A"/>
    <w:rsid w:val="006C3D0A"/>
    <w:rsid w:val="006C3D5B"/>
    <w:rsid w:val="006C3D91"/>
    <w:rsid w:val="006C3DEC"/>
    <w:rsid w:val="006C3E27"/>
    <w:rsid w:val="006C3EE3"/>
    <w:rsid w:val="006C3F26"/>
    <w:rsid w:val="006C3F75"/>
    <w:rsid w:val="006C3FE4"/>
    <w:rsid w:val="006C4019"/>
    <w:rsid w:val="006C4033"/>
    <w:rsid w:val="006C403F"/>
    <w:rsid w:val="006C412D"/>
    <w:rsid w:val="006C4183"/>
    <w:rsid w:val="006C4269"/>
    <w:rsid w:val="006C4372"/>
    <w:rsid w:val="006C43AC"/>
    <w:rsid w:val="006C43BB"/>
    <w:rsid w:val="006C4527"/>
    <w:rsid w:val="006C45B1"/>
    <w:rsid w:val="006C462F"/>
    <w:rsid w:val="006C477A"/>
    <w:rsid w:val="006C4823"/>
    <w:rsid w:val="006C4983"/>
    <w:rsid w:val="006C4A88"/>
    <w:rsid w:val="006C4AE1"/>
    <w:rsid w:val="006C4BB7"/>
    <w:rsid w:val="006C4D2F"/>
    <w:rsid w:val="006C4D53"/>
    <w:rsid w:val="006C4DA3"/>
    <w:rsid w:val="006C4E5E"/>
    <w:rsid w:val="006C4EEC"/>
    <w:rsid w:val="006C4F39"/>
    <w:rsid w:val="006C4F58"/>
    <w:rsid w:val="006C5147"/>
    <w:rsid w:val="006C5202"/>
    <w:rsid w:val="006C533F"/>
    <w:rsid w:val="006C5373"/>
    <w:rsid w:val="006C5391"/>
    <w:rsid w:val="006C581B"/>
    <w:rsid w:val="006C5850"/>
    <w:rsid w:val="006C58A7"/>
    <w:rsid w:val="006C58CA"/>
    <w:rsid w:val="006C58EA"/>
    <w:rsid w:val="006C592F"/>
    <w:rsid w:val="006C598A"/>
    <w:rsid w:val="006C59F2"/>
    <w:rsid w:val="006C5A50"/>
    <w:rsid w:val="006C5AC5"/>
    <w:rsid w:val="006C5AD2"/>
    <w:rsid w:val="006C5B2A"/>
    <w:rsid w:val="006C5BF1"/>
    <w:rsid w:val="006C5C47"/>
    <w:rsid w:val="006C5E25"/>
    <w:rsid w:val="006C5E86"/>
    <w:rsid w:val="006C5EFB"/>
    <w:rsid w:val="006C6049"/>
    <w:rsid w:val="006C6097"/>
    <w:rsid w:val="006C6109"/>
    <w:rsid w:val="006C6126"/>
    <w:rsid w:val="006C61F7"/>
    <w:rsid w:val="006C6243"/>
    <w:rsid w:val="006C62AE"/>
    <w:rsid w:val="006C6309"/>
    <w:rsid w:val="006C649F"/>
    <w:rsid w:val="006C65CE"/>
    <w:rsid w:val="006C664C"/>
    <w:rsid w:val="006C66FD"/>
    <w:rsid w:val="006C6740"/>
    <w:rsid w:val="006C6746"/>
    <w:rsid w:val="006C67CF"/>
    <w:rsid w:val="006C6928"/>
    <w:rsid w:val="006C6B2A"/>
    <w:rsid w:val="006C6BF9"/>
    <w:rsid w:val="006C6D29"/>
    <w:rsid w:val="006C6E19"/>
    <w:rsid w:val="006C6E3C"/>
    <w:rsid w:val="006C6E4D"/>
    <w:rsid w:val="006C6F45"/>
    <w:rsid w:val="006C6FCC"/>
    <w:rsid w:val="006C6FEE"/>
    <w:rsid w:val="006C726F"/>
    <w:rsid w:val="006C729A"/>
    <w:rsid w:val="006C729B"/>
    <w:rsid w:val="006C7374"/>
    <w:rsid w:val="006C7597"/>
    <w:rsid w:val="006C75FD"/>
    <w:rsid w:val="006C77F0"/>
    <w:rsid w:val="006C7866"/>
    <w:rsid w:val="006C789A"/>
    <w:rsid w:val="006C78E2"/>
    <w:rsid w:val="006C7914"/>
    <w:rsid w:val="006C7A30"/>
    <w:rsid w:val="006C7A50"/>
    <w:rsid w:val="006C7BA9"/>
    <w:rsid w:val="006C7BC4"/>
    <w:rsid w:val="006C7DBE"/>
    <w:rsid w:val="006C7DF9"/>
    <w:rsid w:val="006C7E35"/>
    <w:rsid w:val="006C7ED5"/>
    <w:rsid w:val="006C7F39"/>
    <w:rsid w:val="006C7F78"/>
    <w:rsid w:val="006D023A"/>
    <w:rsid w:val="006D0268"/>
    <w:rsid w:val="006D0335"/>
    <w:rsid w:val="006D03C4"/>
    <w:rsid w:val="006D0511"/>
    <w:rsid w:val="006D052E"/>
    <w:rsid w:val="006D0589"/>
    <w:rsid w:val="006D05AF"/>
    <w:rsid w:val="006D06D7"/>
    <w:rsid w:val="006D0757"/>
    <w:rsid w:val="006D0787"/>
    <w:rsid w:val="006D081F"/>
    <w:rsid w:val="006D0856"/>
    <w:rsid w:val="006D08DD"/>
    <w:rsid w:val="006D0975"/>
    <w:rsid w:val="006D0A52"/>
    <w:rsid w:val="006D0B6C"/>
    <w:rsid w:val="006D0BB9"/>
    <w:rsid w:val="006D0BD8"/>
    <w:rsid w:val="006D0BDD"/>
    <w:rsid w:val="006D0BE1"/>
    <w:rsid w:val="006D0BFF"/>
    <w:rsid w:val="006D0CBE"/>
    <w:rsid w:val="006D0D18"/>
    <w:rsid w:val="006D1044"/>
    <w:rsid w:val="006D1167"/>
    <w:rsid w:val="006D11AD"/>
    <w:rsid w:val="006D126E"/>
    <w:rsid w:val="006D126F"/>
    <w:rsid w:val="006D12D7"/>
    <w:rsid w:val="006D1405"/>
    <w:rsid w:val="006D1497"/>
    <w:rsid w:val="006D14E2"/>
    <w:rsid w:val="006D151C"/>
    <w:rsid w:val="006D15F9"/>
    <w:rsid w:val="006D164D"/>
    <w:rsid w:val="006D1698"/>
    <w:rsid w:val="006D16B0"/>
    <w:rsid w:val="006D16CA"/>
    <w:rsid w:val="006D170E"/>
    <w:rsid w:val="006D1718"/>
    <w:rsid w:val="006D174B"/>
    <w:rsid w:val="006D1806"/>
    <w:rsid w:val="006D1852"/>
    <w:rsid w:val="006D18C1"/>
    <w:rsid w:val="006D1937"/>
    <w:rsid w:val="006D1982"/>
    <w:rsid w:val="006D19E6"/>
    <w:rsid w:val="006D1A88"/>
    <w:rsid w:val="006D1B11"/>
    <w:rsid w:val="006D1CCF"/>
    <w:rsid w:val="006D1D1E"/>
    <w:rsid w:val="006D1D5C"/>
    <w:rsid w:val="006D1E4C"/>
    <w:rsid w:val="006D2008"/>
    <w:rsid w:val="006D2063"/>
    <w:rsid w:val="006D2207"/>
    <w:rsid w:val="006D2213"/>
    <w:rsid w:val="006D22DC"/>
    <w:rsid w:val="006D239C"/>
    <w:rsid w:val="006D23E0"/>
    <w:rsid w:val="006D2470"/>
    <w:rsid w:val="006D24EA"/>
    <w:rsid w:val="006D251D"/>
    <w:rsid w:val="006D25AB"/>
    <w:rsid w:val="006D25E8"/>
    <w:rsid w:val="006D26E6"/>
    <w:rsid w:val="006D2804"/>
    <w:rsid w:val="006D2805"/>
    <w:rsid w:val="006D28C2"/>
    <w:rsid w:val="006D2908"/>
    <w:rsid w:val="006D29F1"/>
    <w:rsid w:val="006D2A4B"/>
    <w:rsid w:val="006D2D8F"/>
    <w:rsid w:val="006D2E68"/>
    <w:rsid w:val="006D2EAB"/>
    <w:rsid w:val="006D2F8F"/>
    <w:rsid w:val="006D2FA1"/>
    <w:rsid w:val="006D2FEF"/>
    <w:rsid w:val="006D3158"/>
    <w:rsid w:val="006D3177"/>
    <w:rsid w:val="006D3323"/>
    <w:rsid w:val="006D366B"/>
    <w:rsid w:val="006D36F7"/>
    <w:rsid w:val="006D381C"/>
    <w:rsid w:val="006D385B"/>
    <w:rsid w:val="006D386B"/>
    <w:rsid w:val="006D38A9"/>
    <w:rsid w:val="006D394E"/>
    <w:rsid w:val="006D3A99"/>
    <w:rsid w:val="006D3ADA"/>
    <w:rsid w:val="006D3B33"/>
    <w:rsid w:val="006D3B86"/>
    <w:rsid w:val="006D3B93"/>
    <w:rsid w:val="006D3C22"/>
    <w:rsid w:val="006D3C80"/>
    <w:rsid w:val="006D3D36"/>
    <w:rsid w:val="006D3D92"/>
    <w:rsid w:val="006D3E22"/>
    <w:rsid w:val="006D3EBC"/>
    <w:rsid w:val="006D3ECB"/>
    <w:rsid w:val="006D3F8D"/>
    <w:rsid w:val="006D4117"/>
    <w:rsid w:val="006D4143"/>
    <w:rsid w:val="006D4145"/>
    <w:rsid w:val="006D416C"/>
    <w:rsid w:val="006D4269"/>
    <w:rsid w:val="006D430C"/>
    <w:rsid w:val="006D4331"/>
    <w:rsid w:val="006D447F"/>
    <w:rsid w:val="006D44F4"/>
    <w:rsid w:val="006D45AA"/>
    <w:rsid w:val="006D46AE"/>
    <w:rsid w:val="006D46D9"/>
    <w:rsid w:val="006D470D"/>
    <w:rsid w:val="006D4757"/>
    <w:rsid w:val="006D477C"/>
    <w:rsid w:val="006D479E"/>
    <w:rsid w:val="006D47DC"/>
    <w:rsid w:val="006D4A97"/>
    <w:rsid w:val="006D4B2A"/>
    <w:rsid w:val="006D4B95"/>
    <w:rsid w:val="006D4BDF"/>
    <w:rsid w:val="006D4C32"/>
    <w:rsid w:val="006D4C98"/>
    <w:rsid w:val="006D4E2F"/>
    <w:rsid w:val="006D4E42"/>
    <w:rsid w:val="006D4E46"/>
    <w:rsid w:val="006D4FCB"/>
    <w:rsid w:val="006D5007"/>
    <w:rsid w:val="006D50B1"/>
    <w:rsid w:val="006D5145"/>
    <w:rsid w:val="006D51E7"/>
    <w:rsid w:val="006D520B"/>
    <w:rsid w:val="006D5217"/>
    <w:rsid w:val="006D5234"/>
    <w:rsid w:val="006D5310"/>
    <w:rsid w:val="006D5374"/>
    <w:rsid w:val="006D5415"/>
    <w:rsid w:val="006D5434"/>
    <w:rsid w:val="006D54F8"/>
    <w:rsid w:val="006D5680"/>
    <w:rsid w:val="006D56F5"/>
    <w:rsid w:val="006D57DB"/>
    <w:rsid w:val="006D5866"/>
    <w:rsid w:val="006D58F1"/>
    <w:rsid w:val="006D590E"/>
    <w:rsid w:val="006D59A7"/>
    <w:rsid w:val="006D5A6C"/>
    <w:rsid w:val="006D5A7F"/>
    <w:rsid w:val="006D5A99"/>
    <w:rsid w:val="006D5B3A"/>
    <w:rsid w:val="006D5BE3"/>
    <w:rsid w:val="006D5BE7"/>
    <w:rsid w:val="006D5C7E"/>
    <w:rsid w:val="006D5CF6"/>
    <w:rsid w:val="006D5DAB"/>
    <w:rsid w:val="006D5DDA"/>
    <w:rsid w:val="006D5E4B"/>
    <w:rsid w:val="006D6027"/>
    <w:rsid w:val="006D6138"/>
    <w:rsid w:val="006D63E0"/>
    <w:rsid w:val="006D6452"/>
    <w:rsid w:val="006D6561"/>
    <w:rsid w:val="006D661C"/>
    <w:rsid w:val="006D66EF"/>
    <w:rsid w:val="006D6774"/>
    <w:rsid w:val="006D6892"/>
    <w:rsid w:val="006D693D"/>
    <w:rsid w:val="006D69F9"/>
    <w:rsid w:val="006D6A19"/>
    <w:rsid w:val="006D6AC6"/>
    <w:rsid w:val="006D6AE0"/>
    <w:rsid w:val="006D6B0D"/>
    <w:rsid w:val="006D6B2D"/>
    <w:rsid w:val="006D6C91"/>
    <w:rsid w:val="006D6CB0"/>
    <w:rsid w:val="006D6CFC"/>
    <w:rsid w:val="006D6D7B"/>
    <w:rsid w:val="006D6DAF"/>
    <w:rsid w:val="006D6DBC"/>
    <w:rsid w:val="006D6E00"/>
    <w:rsid w:val="006D6E23"/>
    <w:rsid w:val="006D6F3F"/>
    <w:rsid w:val="006D705E"/>
    <w:rsid w:val="006D70F1"/>
    <w:rsid w:val="006D717A"/>
    <w:rsid w:val="006D720F"/>
    <w:rsid w:val="006D72AC"/>
    <w:rsid w:val="006D734E"/>
    <w:rsid w:val="006D753F"/>
    <w:rsid w:val="006D7544"/>
    <w:rsid w:val="006D75A9"/>
    <w:rsid w:val="006D7741"/>
    <w:rsid w:val="006D7758"/>
    <w:rsid w:val="006D7982"/>
    <w:rsid w:val="006D79B2"/>
    <w:rsid w:val="006D79BB"/>
    <w:rsid w:val="006D79D3"/>
    <w:rsid w:val="006D7ADF"/>
    <w:rsid w:val="006D7CEE"/>
    <w:rsid w:val="006D7E16"/>
    <w:rsid w:val="006D7ECB"/>
    <w:rsid w:val="006D7F38"/>
    <w:rsid w:val="006D7FC3"/>
    <w:rsid w:val="006D7FD6"/>
    <w:rsid w:val="006D7FF4"/>
    <w:rsid w:val="006E005B"/>
    <w:rsid w:val="006E00E7"/>
    <w:rsid w:val="006E0195"/>
    <w:rsid w:val="006E01F5"/>
    <w:rsid w:val="006E0245"/>
    <w:rsid w:val="006E03C5"/>
    <w:rsid w:val="006E0483"/>
    <w:rsid w:val="006E05F0"/>
    <w:rsid w:val="006E0626"/>
    <w:rsid w:val="006E06E4"/>
    <w:rsid w:val="006E07AC"/>
    <w:rsid w:val="006E0828"/>
    <w:rsid w:val="006E0891"/>
    <w:rsid w:val="006E0930"/>
    <w:rsid w:val="006E09EC"/>
    <w:rsid w:val="006E0A8A"/>
    <w:rsid w:val="006E0BA4"/>
    <w:rsid w:val="006E0BF0"/>
    <w:rsid w:val="006E0C4A"/>
    <w:rsid w:val="006E0C65"/>
    <w:rsid w:val="006E0D81"/>
    <w:rsid w:val="006E0D92"/>
    <w:rsid w:val="006E0E89"/>
    <w:rsid w:val="006E0F3E"/>
    <w:rsid w:val="006E0FA2"/>
    <w:rsid w:val="006E10D0"/>
    <w:rsid w:val="006E1142"/>
    <w:rsid w:val="006E115D"/>
    <w:rsid w:val="006E1251"/>
    <w:rsid w:val="006E12F4"/>
    <w:rsid w:val="006E135B"/>
    <w:rsid w:val="006E145B"/>
    <w:rsid w:val="006E147D"/>
    <w:rsid w:val="006E149B"/>
    <w:rsid w:val="006E14CD"/>
    <w:rsid w:val="006E1616"/>
    <w:rsid w:val="006E1662"/>
    <w:rsid w:val="006E167D"/>
    <w:rsid w:val="006E179E"/>
    <w:rsid w:val="006E17B6"/>
    <w:rsid w:val="006E1886"/>
    <w:rsid w:val="006E194C"/>
    <w:rsid w:val="006E19F0"/>
    <w:rsid w:val="006E1A02"/>
    <w:rsid w:val="006E1A41"/>
    <w:rsid w:val="006E1A6D"/>
    <w:rsid w:val="006E1B33"/>
    <w:rsid w:val="006E1C53"/>
    <w:rsid w:val="006E1D49"/>
    <w:rsid w:val="006E1DEF"/>
    <w:rsid w:val="006E1ECC"/>
    <w:rsid w:val="006E21A1"/>
    <w:rsid w:val="006E2274"/>
    <w:rsid w:val="006E23CF"/>
    <w:rsid w:val="006E25A3"/>
    <w:rsid w:val="006E2611"/>
    <w:rsid w:val="006E2866"/>
    <w:rsid w:val="006E290C"/>
    <w:rsid w:val="006E2A93"/>
    <w:rsid w:val="006E2AE2"/>
    <w:rsid w:val="006E2B80"/>
    <w:rsid w:val="006E2C80"/>
    <w:rsid w:val="006E2D06"/>
    <w:rsid w:val="006E3052"/>
    <w:rsid w:val="006E309C"/>
    <w:rsid w:val="006E30C7"/>
    <w:rsid w:val="006E312F"/>
    <w:rsid w:val="006E316E"/>
    <w:rsid w:val="006E3244"/>
    <w:rsid w:val="006E32CA"/>
    <w:rsid w:val="006E3322"/>
    <w:rsid w:val="006E3388"/>
    <w:rsid w:val="006E347A"/>
    <w:rsid w:val="006E34DF"/>
    <w:rsid w:val="006E360C"/>
    <w:rsid w:val="006E36B2"/>
    <w:rsid w:val="006E36B8"/>
    <w:rsid w:val="006E36BE"/>
    <w:rsid w:val="006E36C5"/>
    <w:rsid w:val="006E3708"/>
    <w:rsid w:val="006E3726"/>
    <w:rsid w:val="006E37F6"/>
    <w:rsid w:val="006E382E"/>
    <w:rsid w:val="006E383D"/>
    <w:rsid w:val="006E38FE"/>
    <w:rsid w:val="006E3918"/>
    <w:rsid w:val="006E395E"/>
    <w:rsid w:val="006E3A9F"/>
    <w:rsid w:val="006E3D1A"/>
    <w:rsid w:val="006E3D2F"/>
    <w:rsid w:val="006E3D7F"/>
    <w:rsid w:val="006E3DEA"/>
    <w:rsid w:val="006E3E00"/>
    <w:rsid w:val="006E3F15"/>
    <w:rsid w:val="006E3F65"/>
    <w:rsid w:val="006E4054"/>
    <w:rsid w:val="006E41E9"/>
    <w:rsid w:val="006E42CF"/>
    <w:rsid w:val="006E43B1"/>
    <w:rsid w:val="006E4552"/>
    <w:rsid w:val="006E45FC"/>
    <w:rsid w:val="006E4602"/>
    <w:rsid w:val="006E474A"/>
    <w:rsid w:val="006E47CF"/>
    <w:rsid w:val="006E4849"/>
    <w:rsid w:val="006E48FF"/>
    <w:rsid w:val="006E494B"/>
    <w:rsid w:val="006E4978"/>
    <w:rsid w:val="006E4ACA"/>
    <w:rsid w:val="006E4AF7"/>
    <w:rsid w:val="006E4B3A"/>
    <w:rsid w:val="006E4B5A"/>
    <w:rsid w:val="006E4E10"/>
    <w:rsid w:val="006E4F76"/>
    <w:rsid w:val="006E5021"/>
    <w:rsid w:val="006E50C7"/>
    <w:rsid w:val="006E5106"/>
    <w:rsid w:val="006E513E"/>
    <w:rsid w:val="006E517B"/>
    <w:rsid w:val="006E5238"/>
    <w:rsid w:val="006E5328"/>
    <w:rsid w:val="006E5439"/>
    <w:rsid w:val="006E5607"/>
    <w:rsid w:val="006E5608"/>
    <w:rsid w:val="006E5691"/>
    <w:rsid w:val="006E5725"/>
    <w:rsid w:val="006E581F"/>
    <w:rsid w:val="006E5874"/>
    <w:rsid w:val="006E58D7"/>
    <w:rsid w:val="006E5958"/>
    <w:rsid w:val="006E5AA1"/>
    <w:rsid w:val="006E5AF3"/>
    <w:rsid w:val="006E5B32"/>
    <w:rsid w:val="006E5B6C"/>
    <w:rsid w:val="006E5C69"/>
    <w:rsid w:val="006E5D1F"/>
    <w:rsid w:val="006E5D3B"/>
    <w:rsid w:val="006E5D8F"/>
    <w:rsid w:val="006E5ECB"/>
    <w:rsid w:val="006E5EF8"/>
    <w:rsid w:val="006E5F67"/>
    <w:rsid w:val="006E5FA9"/>
    <w:rsid w:val="006E5FFA"/>
    <w:rsid w:val="006E604E"/>
    <w:rsid w:val="006E60AA"/>
    <w:rsid w:val="006E60BE"/>
    <w:rsid w:val="006E624E"/>
    <w:rsid w:val="006E6266"/>
    <w:rsid w:val="006E63FC"/>
    <w:rsid w:val="006E6587"/>
    <w:rsid w:val="006E65E8"/>
    <w:rsid w:val="006E6615"/>
    <w:rsid w:val="006E66FF"/>
    <w:rsid w:val="006E683B"/>
    <w:rsid w:val="006E68F3"/>
    <w:rsid w:val="006E6A9A"/>
    <w:rsid w:val="006E6B57"/>
    <w:rsid w:val="006E6CBE"/>
    <w:rsid w:val="006E6D21"/>
    <w:rsid w:val="006E6D22"/>
    <w:rsid w:val="006E6D7D"/>
    <w:rsid w:val="006E6D97"/>
    <w:rsid w:val="006E6E59"/>
    <w:rsid w:val="006E6FCC"/>
    <w:rsid w:val="006E7004"/>
    <w:rsid w:val="006E705A"/>
    <w:rsid w:val="006E710B"/>
    <w:rsid w:val="006E7136"/>
    <w:rsid w:val="006E717F"/>
    <w:rsid w:val="006E71C3"/>
    <w:rsid w:val="006E73D7"/>
    <w:rsid w:val="006E7401"/>
    <w:rsid w:val="006E745D"/>
    <w:rsid w:val="006E746C"/>
    <w:rsid w:val="006E7649"/>
    <w:rsid w:val="006E767C"/>
    <w:rsid w:val="006E76FF"/>
    <w:rsid w:val="006E7765"/>
    <w:rsid w:val="006E77E9"/>
    <w:rsid w:val="006E7812"/>
    <w:rsid w:val="006E789F"/>
    <w:rsid w:val="006E78E5"/>
    <w:rsid w:val="006E79C8"/>
    <w:rsid w:val="006E7A2C"/>
    <w:rsid w:val="006E7A40"/>
    <w:rsid w:val="006E7B41"/>
    <w:rsid w:val="006E7C0D"/>
    <w:rsid w:val="006E7C20"/>
    <w:rsid w:val="006E7C9C"/>
    <w:rsid w:val="006E7CF5"/>
    <w:rsid w:val="006E7D8B"/>
    <w:rsid w:val="006E7ECA"/>
    <w:rsid w:val="006F0046"/>
    <w:rsid w:val="006F0162"/>
    <w:rsid w:val="006F0185"/>
    <w:rsid w:val="006F02B3"/>
    <w:rsid w:val="006F0394"/>
    <w:rsid w:val="006F04A4"/>
    <w:rsid w:val="006F04B4"/>
    <w:rsid w:val="006F04FC"/>
    <w:rsid w:val="006F07FE"/>
    <w:rsid w:val="006F0939"/>
    <w:rsid w:val="006F0966"/>
    <w:rsid w:val="006F09DE"/>
    <w:rsid w:val="006F0D02"/>
    <w:rsid w:val="006F0F6B"/>
    <w:rsid w:val="006F104C"/>
    <w:rsid w:val="006F107B"/>
    <w:rsid w:val="006F11BF"/>
    <w:rsid w:val="006F12F1"/>
    <w:rsid w:val="006F13E5"/>
    <w:rsid w:val="006F143F"/>
    <w:rsid w:val="006F14A7"/>
    <w:rsid w:val="006F14C3"/>
    <w:rsid w:val="006F1525"/>
    <w:rsid w:val="006F1526"/>
    <w:rsid w:val="006F1527"/>
    <w:rsid w:val="006F16E6"/>
    <w:rsid w:val="006F16F0"/>
    <w:rsid w:val="006F1732"/>
    <w:rsid w:val="006F174F"/>
    <w:rsid w:val="006F17D8"/>
    <w:rsid w:val="006F1884"/>
    <w:rsid w:val="006F1A23"/>
    <w:rsid w:val="006F1A41"/>
    <w:rsid w:val="006F1A4A"/>
    <w:rsid w:val="006F1A75"/>
    <w:rsid w:val="006F1A7B"/>
    <w:rsid w:val="006F1AAB"/>
    <w:rsid w:val="006F1AE1"/>
    <w:rsid w:val="006F1B15"/>
    <w:rsid w:val="006F1BEA"/>
    <w:rsid w:val="006F1C19"/>
    <w:rsid w:val="006F1C61"/>
    <w:rsid w:val="006F1D9A"/>
    <w:rsid w:val="006F1FB9"/>
    <w:rsid w:val="006F20B8"/>
    <w:rsid w:val="006F20CB"/>
    <w:rsid w:val="006F2186"/>
    <w:rsid w:val="006F21A0"/>
    <w:rsid w:val="006F21D5"/>
    <w:rsid w:val="006F2337"/>
    <w:rsid w:val="006F2362"/>
    <w:rsid w:val="006F2398"/>
    <w:rsid w:val="006F2442"/>
    <w:rsid w:val="006F2556"/>
    <w:rsid w:val="006F2595"/>
    <w:rsid w:val="006F2621"/>
    <w:rsid w:val="006F26B0"/>
    <w:rsid w:val="006F27B9"/>
    <w:rsid w:val="006F280C"/>
    <w:rsid w:val="006F2815"/>
    <w:rsid w:val="006F2883"/>
    <w:rsid w:val="006F2888"/>
    <w:rsid w:val="006F2910"/>
    <w:rsid w:val="006F293F"/>
    <w:rsid w:val="006F2A50"/>
    <w:rsid w:val="006F2A78"/>
    <w:rsid w:val="006F2A90"/>
    <w:rsid w:val="006F2AF4"/>
    <w:rsid w:val="006F2C5B"/>
    <w:rsid w:val="006F2D17"/>
    <w:rsid w:val="006F2D4D"/>
    <w:rsid w:val="006F2D62"/>
    <w:rsid w:val="006F2D6F"/>
    <w:rsid w:val="006F2DF5"/>
    <w:rsid w:val="006F30A5"/>
    <w:rsid w:val="006F310A"/>
    <w:rsid w:val="006F311A"/>
    <w:rsid w:val="006F3219"/>
    <w:rsid w:val="006F323A"/>
    <w:rsid w:val="006F329E"/>
    <w:rsid w:val="006F32B5"/>
    <w:rsid w:val="006F3414"/>
    <w:rsid w:val="006F351D"/>
    <w:rsid w:val="006F353F"/>
    <w:rsid w:val="006F35D6"/>
    <w:rsid w:val="006F3757"/>
    <w:rsid w:val="006F384D"/>
    <w:rsid w:val="006F395C"/>
    <w:rsid w:val="006F3B7D"/>
    <w:rsid w:val="006F3B98"/>
    <w:rsid w:val="006F3BB6"/>
    <w:rsid w:val="006F3DBF"/>
    <w:rsid w:val="006F3F55"/>
    <w:rsid w:val="006F3FCA"/>
    <w:rsid w:val="006F3FEA"/>
    <w:rsid w:val="006F4020"/>
    <w:rsid w:val="006F4036"/>
    <w:rsid w:val="006F4104"/>
    <w:rsid w:val="006F4219"/>
    <w:rsid w:val="006F430E"/>
    <w:rsid w:val="006F438F"/>
    <w:rsid w:val="006F4417"/>
    <w:rsid w:val="006F4429"/>
    <w:rsid w:val="006F4446"/>
    <w:rsid w:val="006F44B1"/>
    <w:rsid w:val="006F44D8"/>
    <w:rsid w:val="006F45B2"/>
    <w:rsid w:val="006F4647"/>
    <w:rsid w:val="006F4730"/>
    <w:rsid w:val="006F473F"/>
    <w:rsid w:val="006F4764"/>
    <w:rsid w:val="006F4817"/>
    <w:rsid w:val="006F49A5"/>
    <w:rsid w:val="006F4AA0"/>
    <w:rsid w:val="006F4D18"/>
    <w:rsid w:val="006F4D42"/>
    <w:rsid w:val="006F4E1C"/>
    <w:rsid w:val="006F4EB5"/>
    <w:rsid w:val="006F4FBA"/>
    <w:rsid w:val="006F50D1"/>
    <w:rsid w:val="006F51BD"/>
    <w:rsid w:val="006F51DA"/>
    <w:rsid w:val="006F51E5"/>
    <w:rsid w:val="006F5262"/>
    <w:rsid w:val="006F52BA"/>
    <w:rsid w:val="006F5306"/>
    <w:rsid w:val="006F541C"/>
    <w:rsid w:val="006F541F"/>
    <w:rsid w:val="006F5638"/>
    <w:rsid w:val="006F56B7"/>
    <w:rsid w:val="006F576E"/>
    <w:rsid w:val="006F5798"/>
    <w:rsid w:val="006F5808"/>
    <w:rsid w:val="006F589E"/>
    <w:rsid w:val="006F58B4"/>
    <w:rsid w:val="006F58ED"/>
    <w:rsid w:val="006F5926"/>
    <w:rsid w:val="006F594E"/>
    <w:rsid w:val="006F5A37"/>
    <w:rsid w:val="006F5BB1"/>
    <w:rsid w:val="006F5CAA"/>
    <w:rsid w:val="006F5D9C"/>
    <w:rsid w:val="006F5DE6"/>
    <w:rsid w:val="006F5E15"/>
    <w:rsid w:val="006F5FFA"/>
    <w:rsid w:val="006F6169"/>
    <w:rsid w:val="006F61CC"/>
    <w:rsid w:val="006F61F7"/>
    <w:rsid w:val="006F624B"/>
    <w:rsid w:val="006F6298"/>
    <w:rsid w:val="006F6324"/>
    <w:rsid w:val="006F63C9"/>
    <w:rsid w:val="006F6489"/>
    <w:rsid w:val="006F6512"/>
    <w:rsid w:val="006F652B"/>
    <w:rsid w:val="006F6553"/>
    <w:rsid w:val="006F6568"/>
    <w:rsid w:val="006F6572"/>
    <w:rsid w:val="006F65E5"/>
    <w:rsid w:val="006F6780"/>
    <w:rsid w:val="006F68ED"/>
    <w:rsid w:val="006F6A73"/>
    <w:rsid w:val="006F6AFF"/>
    <w:rsid w:val="006F6B14"/>
    <w:rsid w:val="006F6B28"/>
    <w:rsid w:val="006F6D27"/>
    <w:rsid w:val="006F6E57"/>
    <w:rsid w:val="006F6E67"/>
    <w:rsid w:val="006F714E"/>
    <w:rsid w:val="006F71B8"/>
    <w:rsid w:val="006F71CD"/>
    <w:rsid w:val="006F746D"/>
    <w:rsid w:val="006F7483"/>
    <w:rsid w:val="006F749B"/>
    <w:rsid w:val="006F7549"/>
    <w:rsid w:val="006F7669"/>
    <w:rsid w:val="006F76D5"/>
    <w:rsid w:val="006F76D6"/>
    <w:rsid w:val="006F786D"/>
    <w:rsid w:val="006F78DA"/>
    <w:rsid w:val="006F78EE"/>
    <w:rsid w:val="006F79C8"/>
    <w:rsid w:val="006F7A19"/>
    <w:rsid w:val="006F7A5E"/>
    <w:rsid w:val="006F7AD5"/>
    <w:rsid w:val="006F7BE9"/>
    <w:rsid w:val="006F7C05"/>
    <w:rsid w:val="006F7C43"/>
    <w:rsid w:val="006F7DEE"/>
    <w:rsid w:val="006F7EC6"/>
    <w:rsid w:val="006F7FC4"/>
    <w:rsid w:val="006FAD6A"/>
    <w:rsid w:val="007000C7"/>
    <w:rsid w:val="007002FD"/>
    <w:rsid w:val="00700349"/>
    <w:rsid w:val="00700451"/>
    <w:rsid w:val="007005D3"/>
    <w:rsid w:val="007005D9"/>
    <w:rsid w:val="0070062D"/>
    <w:rsid w:val="0070063E"/>
    <w:rsid w:val="00700651"/>
    <w:rsid w:val="00700652"/>
    <w:rsid w:val="00700776"/>
    <w:rsid w:val="007007E4"/>
    <w:rsid w:val="0070087C"/>
    <w:rsid w:val="0070091B"/>
    <w:rsid w:val="0070099B"/>
    <w:rsid w:val="007009E7"/>
    <w:rsid w:val="00700A5D"/>
    <w:rsid w:val="00700D02"/>
    <w:rsid w:val="00700D05"/>
    <w:rsid w:val="00700D47"/>
    <w:rsid w:val="00700E56"/>
    <w:rsid w:val="00700E71"/>
    <w:rsid w:val="00701127"/>
    <w:rsid w:val="00701278"/>
    <w:rsid w:val="007012EF"/>
    <w:rsid w:val="00701464"/>
    <w:rsid w:val="007014A5"/>
    <w:rsid w:val="00701516"/>
    <w:rsid w:val="00701558"/>
    <w:rsid w:val="0070175D"/>
    <w:rsid w:val="007017B9"/>
    <w:rsid w:val="0070181E"/>
    <w:rsid w:val="007018F6"/>
    <w:rsid w:val="007019B4"/>
    <w:rsid w:val="00701A18"/>
    <w:rsid w:val="00701B3B"/>
    <w:rsid w:val="00701CE4"/>
    <w:rsid w:val="00701D30"/>
    <w:rsid w:val="00701DD3"/>
    <w:rsid w:val="00701EAD"/>
    <w:rsid w:val="00701F0C"/>
    <w:rsid w:val="00701FA5"/>
    <w:rsid w:val="00702252"/>
    <w:rsid w:val="00702334"/>
    <w:rsid w:val="007023A0"/>
    <w:rsid w:val="00702472"/>
    <w:rsid w:val="007024AE"/>
    <w:rsid w:val="00702525"/>
    <w:rsid w:val="00702559"/>
    <w:rsid w:val="00702587"/>
    <w:rsid w:val="007025CD"/>
    <w:rsid w:val="007025E4"/>
    <w:rsid w:val="0070262E"/>
    <w:rsid w:val="007026A3"/>
    <w:rsid w:val="007026F8"/>
    <w:rsid w:val="0070274C"/>
    <w:rsid w:val="00702777"/>
    <w:rsid w:val="007027F1"/>
    <w:rsid w:val="00702826"/>
    <w:rsid w:val="00702840"/>
    <w:rsid w:val="00702842"/>
    <w:rsid w:val="007028C1"/>
    <w:rsid w:val="0070298B"/>
    <w:rsid w:val="00702A4E"/>
    <w:rsid w:val="00702AC7"/>
    <w:rsid w:val="00702CD8"/>
    <w:rsid w:val="00702D2C"/>
    <w:rsid w:val="00702EC6"/>
    <w:rsid w:val="00702EF4"/>
    <w:rsid w:val="00702F9E"/>
    <w:rsid w:val="00702FF0"/>
    <w:rsid w:val="0070301A"/>
    <w:rsid w:val="00703063"/>
    <w:rsid w:val="0070315C"/>
    <w:rsid w:val="0070323F"/>
    <w:rsid w:val="00703290"/>
    <w:rsid w:val="00703323"/>
    <w:rsid w:val="007033B9"/>
    <w:rsid w:val="00703446"/>
    <w:rsid w:val="00703672"/>
    <w:rsid w:val="007037C1"/>
    <w:rsid w:val="00703A33"/>
    <w:rsid w:val="00703ACD"/>
    <w:rsid w:val="00703C81"/>
    <w:rsid w:val="00703D0E"/>
    <w:rsid w:val="00703E8F"/>
    <w:rsid w:val="00703FB4"/>
    <w:rsid w:val="007040AE"/>
    <w:rsid w:val="00704235"/>
    <w:rsid w:val="00704327"/>
    <w:rsid w:val="007043A1"/>
    <w:rsid w:val="007043B1"/>
    <w:rsid w:val="007043F7"/>
    <w:rsid w:val="00704514"/>
    <w:rsid w:val="007045A2"/>
    <w:rsid w:val="00704666"/>
    <w:rsid w:val="00704669"/>
    <w:rsid w:val="007046EE"/>
    <w:rsid w:val="00704757"/>
    <w:rsid w:val="007048CB"/>
    <w:rsid w:val="007049AB"/>
    <w:rsid w:val="00704A56"/>
    <w:rsid w:val="00704A7B"/>
    <w:rsid w:val="00704B2E"/>
    <w:rsid w:val="00704BA3"/>
    <w:rsid w:val="00704BE4"/>
    <w:rsid w:val="00704C34"/>
    <w:rsid w:val="00704C76"/>
    <w:rsid w:val="00704E06"/>
    <w:rsid w:val="00704EAB"/>
    <w:rsid w:val="00704EDA"/>
    <w:rsid w:val="00704F05"/>
    <w:rsid w:val="00704F9F"/>
    <w:rsid w:val="007050BF"/>
    <w:rsid w:val="007050CD"/>
    <w:rsid w:val="007050F6"/>
    <w:rsid w:val="00705143"/>
    <w:rsid w:val="0070519E"/>
    <w:rsid w:val="007051A2"/>
    <w:rsid w:val="00705253"/>
    <w:rsid w:val="007052EB"/>
    <w:rsid w:val="00705336"/>
    <w:rsid w:val="00705368"/>
    <w:rsid w:val="007053B6"/>
    <w:rsid w:val="007053F6"/>
    <w:rsid w:val="007054EE"/>
    <w:rsid w:val="0070552C"/>
    <w:rsid w:val="0070564B"/>
    <w:rsid w:val="00705653"/>
    <w:rsid w:val="0070566F"/>
    <w:rsid w:val="007057F9"/>
    <w:rsid w:val="00705A9E"/>
    <w:rsid w:val="00705B6D"/>
    <w:rsid w:val="00705BFE"/>
    <w:rsid w:val="00705CA8"/>
    <w:rsid w:val="00705DA1"/>
    <w:rsid w:val="00705E31"/>
    <w:rsid w:val="00705F20"/>
    <w:rsid w:val="00706013"/>
    <w:rsid w:val="007060D9"/>
    <w:rsid w:val="007060EC"/>
    <w:rsid w:val="007061E2"/>
    <w:rsid w:val="007061E6"/>
    <w:rsid w:val="00706216"/>
    <w:rsid w:val="00706316"/>
    <w:rsid w:val="00706359"/>
    <w:rsid w:val="007064B5"/>
    <w:rsid w:val="007064D7"/>
    <w:rsid w:val="00706519"/>
    <w:rsid w:val="0070651C"/>
    <w:rsid w:val="00706637"/>
    <w:rsid w:val="007066CA"/>
    <w:rsid w:val="007066F2"/>
    <w:rsid w:val="00706771"/>
    <w:rsid w:val="007067B2"/>
    <w:rsid w:val="007068A3"/>
    <w:rsid w:val="00706918"/>
    <w:rsid w:val="00706B2D"/>
    <w:rsid w:val="00706B5D"/>
    <w:rsid w:val="00706C40"/>
    <w:rsid w:val="00706C61"/>
    <w:rsid w:val="00706E9F"/>
    <w:rsid w:val="00706EE3"/>
    <w:rsid w:val="00706F84"/>
    <w:rsid w:val="00706FF7"/>
    <w:rsid w:val="0070718D"/>
    <w:rsid w:val="00707235"/>
    <w:rsid w:val="0070743D"/>
    <w:rsid w:val="007074A1"/>
    <w:rsid w:val="0070754E"/>
    <w:rsid w:val="007078BF"/>
    <w:rsid w:val="007078D6"/>
    <w:rsid w:val="0070799B"/>
    <w:rsid w:val="007079E6"/>
    <w:rsid w:val="00707C60"/>
    <w:rsid w:val="00707D01"/>
    <w:rsid w:val="00707D5F"/>
    <w:rsid w:val="00707D6E"/>
    <w:rsid w:val="00707E04"/>
    <w:rsid w:val="00707E15"/>
    <w:rsid w:val="00707E48"/>
    <w:rsid w:val="00707F2D"/>
    <w:rsid w:val="00707F57"/>
    <w:rsid w:val="0070B55F"/>
    <w:rsid w:val="00710052"/>
    <w:rsid w:val="007100A4"/>
    <w:rsid w:val="0071012A"/>
    <w:rsid w:val="00710141"/>
    <w:rsid w:val="0071025A"/>
    <w:rsid w:val="0071026C"/>
    <w:rsid w:val="00710298"/>
    <w:rsid w:val="007102BD"/>
    <w:rsid w:val="007102C6"/>
    <w:rsid w:val="00710326"/>
    <w:rsid w:val="00710345"/>
    <w:rsid w:val="00710365"/>
    <w:rsid w:val="00710474"/>
    <w:rsid w:val="00710513"/>
    <w:rsid w:val="0071060A"/>
    <w:rsid w:val="0071060C"/>
    <w:rsid w:val="0071066F"/>
    <w:rsid w:val="00710673"/>
    <w:rsid w:val="007106E3"/>
    <w:rsid w:val="00710735"/>
    <w:rsid w:val="00710839"/>
    <w:rsid w:val="00710840"/>
    <w:rsid w:val="007108D4"/>
    <w:rsid w:val="00710955"/>
    <w:rsid w:val="00710A78"/>
    <w:rsid w:val="00710AD5"/>
    <w:rsid w:val="00710B40"/>
    <w:rsid w:val="00710BB7"/>
    <w:rsid w:val="00710C1D"/>
    <w:rsid w:val="00710C7C"/>
    <w:rsid w:val="00710CE1"/>
    <w:rsid w:val="00710EB0"/>
    <w:rsid w:val="00710ED4"/>
    <w:rsid w:val="0071110F"/>
    <w:rsid w:val="00711112"/>
    <w:rsid w:val="007111CB"/>
    <w:rsid w:val="007113E5"/>
    <w:rsid w:val="00711428"/>
    <w:rsid w:val="00711557"/>
    <w:rsid w:val="007116AF"/>
    <w:rsid w:val="0071189C"/>
    <w:rsid w:val="007118AE"/>
    <w:rsid w:val="007119A1"/>
    <w:rsid w:val="00711BE3"/>
    <w:rsid w:val="00711C51"/>
    <w:rsid w:val="00711D00"/>
    <w:rsid w:val="00711D42"/>
    <w:rsid w:val="00711D75"/>
    <w:rsid w:val="00711DF8"/>
    <w:rsid w:val="00711E61"/>
    <w:rsid w:val="00711E83"/>
    <w:rsid w:val="00711E92"/>
    <w:rsid w:val="00712021"/>
    <w:rsid w:val="007120B4"/>
    <w:rsid w:val="0071214F"/>
    <w:rsid w:val="00712222"/>
    <w:rsid w:val="0071225D"/>
    <w:rsid w:val="007122B5"/>
    <w:rsid w:val="00712369"/>
    <w:rsid w:val="007123C0"/>
    <w:rsid w:val="0071252E"/>
    <w:rsid w:val="00712686"/>
    <w:rsid w:val="007126B1"/>
    <w:rsid w:val="0071279D"/>
    <w:rsid w:val="0071284A"/>
    <w:rsid w:val="00712A52"/>
    <w:rsid w:val="00712A9A"/>
    <w:rsid w:val="00712AB2"/>
    <w:rsid w:val="00712B50"/>
    <w:rsid w:val="00712BFA"/>
    <w:rsid w:val="00712C10"/>
    <w:rsid w:val="00712C8A"/>
    <w:rsid w:val="00712E5D"/>
    <w:rsid w:val="00712E67"/>
    <w:rsid w:val="00712F2B"/>
    <w:rsid w:val="00713023"/>
    <w:rsid w:val="00713073"/>
    <w:rsid w:val="007130ED"/>
    <w:rsid w:val="007130F0"/>
    <w:rsid w:val="00713172"/>
    <w:rsid w:val="00713191"/>
    <w:rsid w:val="007131B6"/>
    <w:rsid w:val="007132D4"/>
    <w:rsid w:val="0071335F"/>
    <w:rsid w:val="00713388"/>
    <w:rsid w:val="00713435"/>
    <w:rsid w:val="00713514"/>
    <w:rsid w:val="0071363A"/>
    <w:rsid w:val="00713725"/>
    <w:rsid w:val="0071381F"/>
    <w:rsid w:val="00713862"/>
    <w:rsid w:val="007138FC"/>
    <w:rsid w:val="007139B5"/>
    <w:rsid w:val="007139E5"/>
    <w:rsid w:val="00713A18"/>
    <w:rsid w:val="00713B17"/>
    <w:rsid w:val="00713C05"/>
    <w:rsid w:val="00713C3C"/>
    <w:rsid w:val="00713C91"/>
    <w:rsid w:val="00713CCB"/>
    <w:rsid w:val="00713D29"/>
    <w:rsid w:val="00713DBC"/>
    <w:rsid w:val="00713DFD"/>
    <w:rsid w:val="00713E2A"/>
    <w:rsid w:val="00713F5A"/>
    <w:rsid w:val="00713F73"/>
    <w:rsid w:val="00714177"/>
    <w:rsid w:val="007141B9"/>
    <w:rsid w:val="00714230"/>
    <w:rsid w:val="0071433B"/>
    <w:rsid w:val="00714345"/>
    <w:rsid w:val="007143D2"/>
    <w:rsid w:val="0071440E"/>
    <w:rsid w:val="00714420"/>
    <w:rsid w:val="0071450B"/>
    <w:rsid w:val="0071452A"/>
    <w:rsid w:val="007145F6"/>
    <w:rsid w:val="0071460F"/>
    <w:rsid w:val="0071466D"/>
    <w:rsid w:val="007146A8"/>
    <w:rsid w:val="007146CF"/>
    <w:rsid w:val="00714786"/>
    <w:rsid w:val="00714790"/>
    <w:rsid w:val="00714798"/>
    <w:rsid w:val="00714925"/>
    <w:rsid w:val="0071492D"/>
    <w:rsid w:val="0071493B"/>
    <w:rsid w:val="007149B1"/>
    <w:rsid w:val="00714ABC"/>
    <w:rsid w:val="00714B5F"/>
    <w:rsid w:val="00714C43"/>
    <w:rsid w:val="00714C5E"/>
    <w:rsid w:val="00714C9F"/>
    <w:rsid w:val="00714CA2"/>
    <w:rsid w:val="00714D0D"/>
    <w:rsid w:val="00714D33"/>
    <w:rsid w:val="00714DB6"/>
    <w:rsid w:val="00714E2A"/>
    <w:rsid w:val="00714E5B"/>
    <w:rsid w:val="00714E8F"/>
    <w:rsid w:val="00714FC4"/>
    <w:rsid w:val="00714FE5"/>
    <w:rsid w:val="00714FE8"/>
    <w:rsid w:val="00715100"/>
    <w:rsid w:val="00715127"/>
    <w:rsid w:val="00715147"/>
    <w:rsid w:val="007151A7"/>
    <w:rsid w:val="00715260"/>
    <w:rsid w:val="007153A2"/>
    <w:rsid w:val="007153DA"/>
    <w:rsid w:val="0071541F"/>
    <w:rsid w:val="00715458"/>
    <w:rsid w:val="007155A3"/>
    <w:rsid w:val="00715604"/>
    <w:rsid w:val="0071563C"/>
    <w:rsid w:val="00715666"/>
    <w:rsid w:val="007156C1"/>
    <w:rsid w:val="007156CD"/>
    <w:rsid w:val="0071571F"/>
    <w:rsid w:val="00715763"/>
    <w:rsid w:val="007157B2"/>
    <w:rsid w:val="007157D0"/>
    <w:rsid w:val="0071594E"/>
    <w:rsid w:val="00715961"/>
    <w:rsid w:val="007159DB"/>
    <w:rsid w:val="00715A38"/>
    <w:rsid w:val="00715A65"/>
    <w:rsid w:val="00715AA2"/>
    <w:rsid w:val="00715BA8"/>
    <w:rsid w:val="00715BB3"/>
    <w:rsid w:val="00715C4B"/>
    <w:rsid w:val="00715DBF"/>
    <w:rsid w:val="00715E16"/>
    <w:rsid w:val="00715E82"/>
    <w:rsid w:val="00715FE6"/>
    <w:rsid w:val="0071606A"/>
    <w:rsid w:val="00716077"/>
    <w:rsid w:val="007160AC"/>
    <w:rsid w:val="007160B3"/>
    <w:rsid w:val="007160DB"/>
    <w:rsid w:val="0071610A"/>
    <w:rsid w:val="00716132"/>
    <w:rsid w:val="0071613C"/>
    <w:rsid w:val="007161ED"/>
    <w:rsid w:val="00716205"/>
    <w:rsid w:val="0071621E"/>
    <w:rsid w:val="007163C0"/>
    <w:rsid w:val="0071641A"/>
    <w:rsid w:val="0071648E"/>
    <w:rsid w:val="007164AD"/>
    <w:rsid w:val="0071658C"/>
    <w:rsid w:val="007165CC"/>
    <w:rsid w:val="007165DF"/>
    <w:rsid w:val="0071663D"/>
    <w:rsid w:val="00716687"/>
    <w:rsid w:val="007166EB"/>
    <w:rsid w:val="00716950"/>
    <w:rsid w:val="0071695B"/>
    <w:rsid w:val="007169E9"/>
    <w:rsid w:val="00716AEE"/>
    <w:rsid w:val="00716CA7"/>
    <w:rsid w:val="00716D42"/>
    <w:rsid w:val="00716D50"/>
    <w:rsid w:val="00716D6B"/>
    <w:rsid w:val="00716DC8"/>
    <w:rsid w:val="00716E19"/>
    <w:rsid w:val="00716E38"/>
    <w:rsid w:val="00716E70"/>
    <w:rsid w:val="00716F5A"/>
    <w:rsid w:val="00716F70"/>
    <w:rsid w:val="00716FE5"/>
    <w:rsid w:val="0071703D"/>
    <w:rsid w:val="007172D3"/>
    <w:rsid w:val="007172DB"/>
    <w:rsid w:val="00717391"/>
    <w:rsid w:val="0071743B"/>
    <w:rsid w:val="00717596"/>
    <w:rsid w:val="0071759F"/>
    <w:rsid w:val="007175BE"/>
    <w:rsid w:val="007177DA"/>
    <w:rsid w:val="0071785D"/>
    <w:rsid w:val="007178A5"/>
    <w:rsid w:val="007178D1"/>
    <w:rsid w:val="007179AC"/>
    <w:rsid w:val="007179D0"/>
    <w:rsid w:val="007179DD"/>
    <w:rsid w:val="00717A84"/>
    <w:rsid w:val="00717AA2"/>
    <w:rsid w:val="00717ACC"/>
    <w:rsid w:val="00717B1A"/>
    <w:rsid w:val="00717B4A"/>
    <w:rsid w:val="00717C03"/>
    <w:rsid w:val="00717D5D"/>
    <w:rsid w:val="00717E36"/>
    <w:rsid w:val="00717EF7"/>
    <w:rsid w:val="00717F09"/>
    <w:rsid w:val="00717F1D"/>
    <w:rsid w:val="00720082"/>
    <w:rsid w:val="00720321"/>
    <w:rsid w:val="007203CE"/>
    <w:rsid w:val="007203F0"/>
    <w:rsid w:val="0072044C"/>
    <w:rsid w:val="0072049B"/>
    <w:rsid w:val="007204E4"/>
    <w:rsid w:val="007205E5"/>
    <w:rsid w:val="00720625"/>
    <w:rsid w:val="00720699"/>
    <w:rsid w:val="00720795"/>
    <w:rsid w:val="0072082E"/>
    <w:rsid w:val="00720AE8"/>
    <w:rsid w:val="00720B37"/>
    <w:rsid w:val="00720B80"/>
    <w:rsid w:val="00720CBA"/>
    <w:rsid w:val="00720D29"/>
    <w:rsid w:val="00720E17"/>
    <w:rsid w:val="00720E99"/>
    <w:rsid w:val="00720EA4"/>
    <w:rsid w:val="00720EC7"/>
    <w:rsid w:val="00720EF8"/>
    <w:rsid w:val="00720FB6"/>
    <w:rsid w:val="00720FE6"/>
    <w:rsid w:val="0072101A"/>
    <w:rsid w:val="0072108D"/>
    <w:rsid w:val="007210DF"/>
    <w:rsid w:val="00721160"/>
    <w:rsid w:val="007212C3"/>
    <w:rsid w:val="007214F1"/>
    <w:rsid w:val="007215C0"/>
    <w:rsid w:val="00721625"/>
    <w:rsid w:val="0072164A"/>
    <w:rsid w:val="007216A7"/>
    <w:rsid w:val="00721746"/>
    <w:rsid w:val="00721752"/>
    <w:rsid w:val="0072182D"/>
    <w:rsid w:val="00721961"/>
    <w:rsid w:val="0072198D"/>
    <w:rsid w:val="007219A6"/>
    <w:rsid w:val="007219F9"/>
    <w:rsid w:val="00721A2A"/>
    <w:rsid w:val="00721B89"/>
    <w:rsid w:val="00721BAD"/>
    <w:rsid w:val="00721C3B"/>
    <w:rsid w:val="00721C3C"/>
    <w:rsid w:val="00721D97"/>
    <w:rsid w:val="00721E03"/>
    <w:rsid w:val="00721FAE"/>
    <w:rsid w:val="00722004"/>
    <w:rsid w:val="007220F5"/>
    <w:rsid w:val="0072215A"/>
    <w:rsid w:val="007222D6"/>
    <w:rsid w:val="0072239E"/>
    <w:rsid w:val="007223C4"/>
    <w:rsid w:val="00722469"/>
    <w:rsid w:val="0072257B"/>
    <w:rsid w:val="00722589"/>
    <w:rsid w:val="007225AA"/>
    <w:rsid w:val="007225BD"/>
    <w:rsid w:val="00722639"/>
    <w:rsid w:val="0072265A"/>
    <w:rsid w:val="00722688"/>
    <w:rsid w:val="007227E0"/>
    <w:rsid w:val="0072284F"/>
    <w:rsid w:val="007228A9"/>
    <w:rsid w:val="007228C9"/>
    <w:rsid w:val="0072299C"/>
    <w:rsid w:val="007229B7"/>
    <w:rsid w:val="007229CB"/>
    <w:rsid w:val="00722A18"/>
    <w:rsid w:val="00722A7C"/>
    <w:rsid w:val="00722BE3"/>
    <w:rsid w:val="00722C7E"/>
    <w:rsid w:val="00722CC2"/>
    <w:rsid w:val="00722DB0"/>
    <w:rsid w:val="00722EE9"/>
    <w:rsid w:val="00722EF9"/>
    <w:rsid w:val="00722F1D"/>
    <w:rsid w:val="00722F35"/>
    <w:rsid w:val="00722F85"/>
    <w:rsid w:val="00722FEC"/>
    <w:rsid w:val="0072319A"/>
    <w:rsid w:val="007231BE"/>
    <w:rsid w:val="00723276"/>
    <w:rsid w:val="00723297"/>
    <w:rsid w:val="007232D1"/>
    <w:rsid w:val="00723554"/>
    <w:rsid w:val="007235FB"/>
    <w:rsid w:val="007235FE"/>
    <w:rsid w:val="0072360F"/>
    <w:rsid w:val="007236ED"/>
    <w:rsid w:val="00723700"/>
    <w:rsid w:val="007238BC"/>
    <w:rsid w:val="007239CF"/>
    <w:rsid w:val="007239DA"/>
    <w:rsid w:val="00723AA4"/>
    <w:rsid w:val="00723B68"/>
    <w:rsid w:val="00723C87"/>
    <w:rsid w:val="00723CC6"/>
    <w:rsid w:val="00723CC8"/>
    <w:rsid w:val="00723D63"/>
    <w:rsid w:val="00723D6E"/>
    <w:rsid w:val="00723DD6"/>
    <w:rsid w:val="00723EFD"/>
    <w:rsid w:val="00724035"/>
    <w:rsid w:val="0072412D"/>
    <w:rsid w:val="007241E5"/>
    <w:rsid w:val="0072425D"/>
    <w:rsid w:val="00724388"/>
    <w:rsid w:val="0072438D"/>
    <w:rsid w:val="00724404"/>
    <w:rsid w:val="007244F3"/>
    <w:rsid w:val="00724564"/>
    <w:rsid w:val="00724605"/>
    <w:rsid w:val="0072464D"/>
    <w:rsid w:val="0072467C"/>
    <w:rsid w:val="00724727"/>
    <w:rsid w:val="007247C0"/>
    <w:rsid w:val="00724826"/>
    <w:rsid w:val="00724851"/>
    <w:rsid w:val="007248EF"/>
    <w:rsid w:val="007248F4"/>
    <w:rsid w:val="0072498A"/>
    <w:rsid w:val="00724A17"/>
    <w:rsid w:val="00724B13"/>
    <w:rsid w:val="00724BE0"/>
    <w:rsid w:val="00724C31"/>
    <w:rsid w:val="00724E2B"/>
    <w:rsid w:val="00724E32"/>
    <w:rsid w:val="00724E4D"/>
    <w:rsid w:val="00724E78"/>
    <w:rsid w:val="00724EF6"/>
    <w:rsid w:val="007250F5"/>
    <w:rsid w:val="007250FB"/>
    <w:rsid w:val="00725182"/>
    <w:rsid w:val="007255B1"/>
    <w:rsid w:val="00725953"/>
    <w:rsid w:val="00725956"/>
    <w:rsid w:val="00725992"/>
    <w:rsid w:val="00725AFE"/>
    <w:rsid w:val="00725BB1"/>
    <w:rsid w:val="00725E29"/>
    <w:rsid w:val="00725EAD"/>
    <w:rsid w:val="00725FB4"/>
    <w:rsid w:val="0072601E"/>
    <w:rsid w:val="00726110"/>
    <w:rsid w:val="0072613C"/>
    <w:rsid w:val="00726234"/>
    <w:rsid w:val="00726310"/>
    <w:rsid w:val="0072631E"/>
    <w:rsid w:val="007263E6"/>
    <w:rsid w:val="0072645E"/>
    <w:rsid w:val="007265AD"/>
    <w:rsid w:val="007265BE"/>
    <w:rsid w:val="0072667F"/>
    <w:rsid w:val="007266BD"/>
    <w:rsid w:val="007269DD"/>
    <w:rsid w:val="00726A3F"/>
    <w:rsid w:val="00726A57"/>
    <w:rsid w:val="00726ACD"/>
    <w:rsid w:val="00726AF6"/>
    <w:rsid w:val="00726B53"/>
    <w:rsid w:val="00726CC7"/>
    <w:rsid w:val="00726DD1"/>
    <w:rsid w:val="00726EF1"/>
    <w:rsid w:val="00726F17"/>
    <w:rsid w:val="0072700A"/>
    <w:rsid w:val="00727246"/>
    <w:rsid w:val="007273E0"/>
    <w:rsid w:val="0072749F"/>
    <w:rsid w:val="007274D4"/>
    <w:rsid w:val="0072757E"/>
    <w:rsid w:val="00727637"/>
    <w:rsid w:val="00727676"/>
    <w:rsid w:val="007276B3"/>
    <w:rsid w:val="00727700"/>
    <w:rsid w:val="007277BC"/>
    <w:rsid w:val="007277D9"/>
    <w:rsid w:val="00727A8D"/>
    <w:rsid w:val="00727AA4"/>
    <w:rsid w:val="00727B1F"/>
    <w:rsid w:val="00727B64"/>
    <w:rsid w:val="00727CA1"/>
    <w:rsid w:val="00727CC8"/>
    <w:rsid w:val="00727D5F"/>
    <w:rsid w:val="00727F9B"/>
    <w:rsid w:val="00727FAC"/>
    <w:rsid w:val="00730067"/>
    <w:rsid w:val="0073030E"/>
    <w:rsid w:val="0073038F"/>
    <w:rsid w:val="0073049E"/>
    <w:rsid w:val="007304CC"/>
    <w:rsid w:val="00730711"/>
    <w:rsid w:val="0073083E"/>
    <w:rsid w:val="007308C0"/>
    <w:rsid w:val="00730A5C"/>
    <w:rsid w:val="00730AC8"/>
    <w:rsid w:val="00730B49"/>
    <w:rsid w:val="00730BE0"/>
    <w:rsid w:val="00730C06"/>
    <w:rsid w:val="00730D9E"/>
    <w:rsid w:val="00730DB0"/>
    <w:rsid w:val="00730E1C"/>
    <w:rsid w:val="00730E31"/>
    <w:rsid w:val="00730E51"/>
    <w:rsid w:val="00731143"/>
    <w:rsid w:val="00731159"/>
    <w:rsid w:val="0073132E"/>
    <w:rsid w:val="00731364"/>
    <w:rsid w:val="0073139D"/>
    <w:rsid w:val="007313BD"/>
    <w:rsid w:val="007313EC"/>
    <w:rsid w:val="007313FE"/>
    <w:rsid w:val="00731444"/>
    <w:rsid w:val="00731499"/>
    <w:rsid w:val="007314BD"/>
    <w:rsid w:val="0073165C"/>
    <w:rsid w:val="007316D3"/>
    <w:rsid w:val="00731715"/>
    <w:rsid w:val="00731725"/>
    <w:rsid w:val="0073177E"/>
    <w:rsid w:val="007317C9"/>
    <w:rsid w:val="00731914"/>
    <w:rsid w:val="00731A68"/>
    <w:rsid w:val="00731AC4"/>
    <w:rsid w:val="00731B53"/>
    <w:rsid w:val="00731E42"/>
    <w:rsid w:val="00731F87"/>
    <w:rsid w:val="00731FF6"/>
    <w:rsid w:val="00732037"/>
    <w:rsid w:val="007321DD"/>
    <w:rsid w:val="0073248B"/>
    <w:rsid w:val="0073262F"/>
    <w:rsid w:val="0073266E"/>
    <w:rsid w:val="00732699"/>
    <w:rsid w:val="007326AB"/>
    <w:rsid w:val="007326DC"/>
    <w:rsid w:val="007327DC"/>
    <w:rsid w:val="0073292E"/>
    <w:rsid w:val="00732A1B"/>
    <w:rsid w:val="00732A2D"/>
    <w:rsid w:val="00732A6A"/>
    <w:rsid w:val="00732D46"/>
    <w:rsid w:val="00732DBE"/>
    <w:rsid w:val="00732E0F"/>
    <w:rsid w:val="00732E86"/>
    <w:rsid w:val="00732F11"/>
    <w:rsid w:val="00732F81"/>
    <w:rsid w:val="007330FB"/>
    <w:rsid w:val="007331AC"/>
    <w:rsid w:val="00733282"/>
    <w:rsid w:val="007332B2"/>
    <w:rsid w:val="007332F8"/>
    <w:rsid w:val="00733350"/>
    <w:rsid w:val="007334D2"/>
    <w:rsid w:val="00733561"/>
    <w:rsid w:val="00733564"/>
    <w:rsid w:val="00733606"/>
    <w:rsid w:val="00733616"/>
    <w:rsid w:val="0073369B"/>
    <w:rsid w:val="007336FD"/>
    <w:rsid w:val="00733894"/>
    <w:rsid w:val="00733905"/>
    <w:rsid w:val="0073395F"/>
    <w:rsid w:val="00733982"/>
    <w:rsid w:val="007339AB"/>
    <w:rsid w:val="007339F0"/>
    <w:rsid w:val="00733A8A"/>
    <w:rsid w:val="00733ABB"/>
    <w:rsid w:val="00733B35"/>
    <w:rsid w:val="00733B99"/>
    <w:rsid w:val="00733CEE"/>
    <w:rsid w:val="00733CF1"/>
    <w:rsid w:val="00733DC0"/>
    <w:rsid w:val="00733EB7"/>
    <w:rsid w:val="00733F13"/>
    <w:rsid w:val="00734044"/>
    <w:rsid w:val="007340B3"/>
    <w:rsid w:val="00734213"/>
    <w:rsid w:val="007342ED"/>
    <w:rsid w:val="00734337"/>
    <w:rsid w:val="007343C9"/>
    <w:rsid w:val="007344E1"/>
    <w:rsid w:val="00734501"/>
    <w:rsid w:val="0073455D"/>
    <w:rsid w:val="007345BF"/>
    <w:rsid w:val="00734603"/>
    <w:rsid w:val="007346A7"/>
    <w:rsid w:val="00734715"/>
    <w:rsid w:val="00734734"/>
    <w:rsid w:val="0073476B"/>
    <w:rsid w:val="0073491E"/>
    <w:rsid w:val="00734987"/>
    <w:rsid w:val="007349CA"/>
    <w:rsid w:val="00734A3A"/>
    <w:rsid w:val="00734A71"/>
    <w:rsid w:val="00734A93"/>
    <w:rsid w:val="00734BF5"/>
    <w:rsid w:val="00734C2C"/>
    <w:rsid w:val="00734C81"/>
    <w:rsid w:val="00734D63"/>
    <w:rsid w:val="00734D89"/>
    <w:rsid w:val="00734DA9"/>
    <w:rsid w:val="00734E01"/>
    <w:rsid w:val="00734E16"/>
    <w:rsid w:val="0073501D"/>
    <w:rsid w:val="007351C7"/>
    <w:rsid w:val="007351D4"/>
    <w:rsid w:val="00735207"/>
    <w:rsid w:val="00735261"/>
    <w:rsid w:val="007353E8"/>
    <w:rsid w:val="00735519"/>
    <w:rsid w:val="0073553A"/>
    <w:rsid w:val="007355D4"/>
    <w:rsid w:val="00735654"/>
    <w:rsid w:val="00735721"/>
    <w:rsid w:val="00735759"/>
    <w:rsid w:val="00735783"/>
    <w:rsid w:val="00735796"/>
    <w:rsid w:val="0073579E"/>
    <w:rsid w:val="00735966"/>
    <w:rsid w:val="00735983"/>
    <w:rsid w:val="00735ABB"/>
    <w:rsid w:val="00735AF2"/>
    <w:rsid w:val="00735D79"/>
    <w:rsid w:val="00735E30"/>
    <w:rsid w:val="00735E53"/>
    <w:rsid w:val="00735F76"/>
    <w:rsid w:val="00735FB0"/>
    <w:rsid w:val="00735FFB"/>
    <w:rsid w:val="0073608D"/>
    <w:rsid w:val="007361A1"/>
    <w:rsid w:val="007361C8"/>
    <w:rsid w:val="00736297"/>
    <w:rsid w:val="00736342"/>
    <w:rsid w:val="00736389"/>
    <w:rsid w:val="0073648E"/>
    <w:rsid w:val="007368A9"/>
    <w:rsid w:val="007368B8"/>
    <w:rsid w:val="007368CC"/>
    <w:rsid w:val="00736AAF"/>
    <w:rsid w:val="00736C03"/>
    <w:rsid w:val="00736E49"/>
    <w:rsid w:val="00736ED0"/>
    <w:rsid w:val="00736ED5"/>
    <w:rsid w:val="00736EE9"/>
    <w:rsid w:val="00736F46"/>
    <w:rsid w:val="00736F56"/>
    <w:rsid w:val="00737047"/>
    <w:rsid w:val="007370E7"/>
    <w:rsid w:val="00737220"/>
    <w:rsid w:val="00737281"/>
    <w:rsid w:val="0073730D"/>
    <w:rsid w:val="0073730E"/>
    <w:rsid w:val="00737337"/>
    <w:rsid w:val="00737548"/>
    <w:rsid w:val="0073767F"/>
    <w:rsid w:val="00737748"/>
    <w:rsid w:val="0073779C"/>
    <w:rsid w:val="0073793E"/>
    <w:rsid w:val="00737986"/>
    <w:rsid w:val="00737993"/>
    <w:rsid w:val="00737AD7"/>
    <w:rsid w:val="00737C58"/>
    <w:rsid w:val="00737CD9"/>
    <w:rsid w:val="00737D6A"/>
    <w:rsid w:val="00737EC9"/>
    <w:rsid w:val="00737EDD"/>
    <w:rsid w:val="007400B4"/>
    <w:rsid w:val="00740169"/>
    <w:rsid w:val="007401E2"/>
    <w:rsid w:val="007401FC"/>
    <w:rsid w:val="00740287"/>
    <w:rsid w:val="0074029A"/>
    <w:rsid w:val="007402BA"/>
    <w:rsid w:val="00740304"/>
    <w:rsid w:val="007403BD"/>
    <w:rsid w:val="00740418"/>
    <w:rsid w:val="00740458"/>
    <w:rsid w:val="00740473"/>
    <w:rsid w:val="0074048E"/>
    <w:rsid w:val="007404B0"/>
    <w:rsid w:val="007404BD"/>
    <w:rsid w:val="007404F4"/>
    <w:rsid w:val="0074056C"/>
    <w:rsid w:val="00740683"/>
    <w:rsid w:val="00740859"/>
    <w:rsid w:val="007408D0"/>
    <w:rsid w:val="00740907"/>
    <w:rsid w:val="00740A12"/>
    <w:rsid w:val="00740B5B"/>
    <w:rsid w:val="00740B61"/>
    <w:rsid w:val="00740BD5"/>
    <w:rsid w:val="00740C6C"/>
    <w:rsid w:val="00740DEC"/>
    <w:rsid w:val="00740DED"/>
    <w:rsid w:val="00740E55"/>
    <w:rsid w:val="00740EC4"/>
    <w:rsid w:val="00741014"/>
    <w:rsid w:val="0074103F"/>
    <w:rsid w:val="00741234"/>
    <w:rsid w:val="00741374"/>
    <w:rsid w:val="007413FD"/>
    <w:rsid w:val="0074143A"/>
    <w:rsid w:val="007414C5"/>
    <w:rsid w:val="007414E3"/>
    <w:rsid w:val="0074159A"/>
    <w:rsid w:val="007417D0"/>
    <w:rsid w:val="00741896"/>
    <w:rsid w:val="007418A3"/>
    <w:rsid w:val="00741991"/>
    <w:rsid w:val="00741ADA"/>
    <w:rsid w:val="00741D40"/>
    <w:rsid w:val="00741E61"/>
    <w:rsid w:val="00741E64"/>
    <w:rsid w:val="00741EBF"/>
    <w:rsid w:val="00741F5D"/>
    <w:rsid w:val="00741F68"/>
    <w:rsid w:val="00741F99"/>
    <w:rsid w:val="00742173"/>
    <w:rsid w:val="007421B1"/>
    <w:rsid w:val="00742206"/>
    <w:rsid w:val="00742328"/>
    <w:rsid w:val="0074232B"/>
    <w:rsid w:val="0074235C"/>
    <w:rsid w:val="00742426"/>
    <w:rsid w:val="007425D3"/>
    <w:rsid w:val="007425E1"/>
    <w:rsid w:val="00742661"/>
    <w:rsid w:val="00742673"/>
    <w:rsid w:val="007426F2"/>
    <w:rsid w:val="007427D4"/>
    <w:rsid w:val="0074289F"/>
    <w:rsid w:val="007428B0"/>
    <w:rsid w:val="00742992"/>
    <w:rsid w:val="007429B0"/>
    <w:rsid w:val="007429E1"/>
    <w:rsid w:val="007429FD"/>
    <w:rsid w:val="00742A3E"/>
    <w:rsid w:val="00742B18"/>
    <w:rsid w:val="00742B66"/>
    <w:rsid w:val="00742BF9"/>
    <w:rsid w:val="00742CB3"/>
    <w:rsid w:val="00742CEB"/>
    <w:rsid w:val="00742DEA"/>
    <w:rsid w:val="00742E95"/>
    <w:rsid w:val="00742ECE"/>
    <w:rsid w:val="00742F11"/>
    <w:rsid w:val="0074305C"/>
    <w:rsid w:val="00743087"/>
    <w:rsid w:val="0074322F"/>
    <w:rsid w:val="007432AA"/>
    <w:rsid w:val="007432C1"/>
    <w:rsid w:val="0074345E"/>
    <w:rsid w:val="007434AA"/>
    <w:rsid w:val="0074355F"/>
    <w:rsid w:val="0074368F"/>
    <w:rsid w:val="00743694"/>
    <w:rsid w:val="00743797"/>
    <w:rsid w:val="007437AA"/>
    <w:rsid w:val="00743897"/>
    <w:rsid w:val="0074389C"/>
    <w:rsid w:val="007438A8"/>
    <w:rsid w:val="007438C0"/>
    <w:rsid w:val="007439B7"/>
    <w:rsid w:val="00743A80"/>
    <w:rsid w:val="00743AC3"/>
    <w:rsid w:val="00743AD3"/>
    <w:rsid w:val="00743BB0"/>
    <w:rsid w:val="00743BE0"/>
    <w:rsid w:val="00743C24"/>
    <w:rsid w:val="00743C78"/>
    <w:rsid w:val="00743CA3"/>
    <w:rsid w:val="00743D14"/>
    <w:rsid w:val="00743E99"/>
    <w:rsid w:val="00743E9A"/>
    <w:rsid w:val="00744006"/>
    <w:rsid w:val="00744083"/>
    <w:rsid w:val="007441D7"/>
    <w:rsid w:val="0074429D"/>
    <w:rsid w:val="007442DE"/>
    <w:rsid w:val="0074431C"/>
    <w:rsid w:val="0074441B"/>
    <w:rsid w:val="0074446A"/>
    <w:rsid w:val="007444A6"/>
    <w:rsid w:val="00744525"/>
    <w:rsid w:val="007445D1"/>
    <w:rsid w:val="007445D2"/>
    <w:rsid w:val="0074461A"/>
    <w:rsid w:val="00744676"/>
    <w:rsid w:val="00744699"/>
    <w:rsid w:val="0074471C"/>
    <w:rsid w:val="007448B7"/>
    <w:rsid w:val="007448DE"/>
    <w:rsid w:val="00744B72"/>
    <w:rsid w:val="00744D5B"/>
    <w:rsid w:val="00744DDD"/>
    <w:rsid w:val="00744E50"/>
    <w:rsid w:val="00745029"/>
    <w:rsid w:val="00745033"/>
    <w:rsid w:val="00745061"/>
    <w:rsid w:val="0074514B"/>
    <w:rsid w:val="0074519F"/>
    <w:rsid w:val="0074523B"/>
    <w:rsid w:val="00745253"/>
    <w:rsid w:val="00745378"/>
    <w:rsid w:val="0074544F"/>
    <w:rsid w:val="0074552F"/>
    <w:rsid w:val="00745544"/>
    <w:rsid w:val="007455F3"/>
    <w:rsid w:val="007455F9"/>
    <w:rsid w:val="007456B0"/>
    <w:rsid w:val="007456BE"/>
    <w:rsid w:val="007457FB"/>
    <w:rsid w:val="00745824"/>
    <w:rsid w:val="0074585C"/>
    <w:rsid w:val="0074594F"/>
    <w:rsid w:val="007459F7"/>
    <w:rsid w:val="007459FA"/>
    <w:rsid w:val="00745AD7"/>
    <w:rsid w:val="00745CF1"/>
    <w:rsid w:val="00745D5C"/>
    <w:rsid w:val="00745E31"/>
    <w:rsid w:val="00745EBA"/>
    <w:rsid w:val="0074608E"/>
    <w:rsid w:val="007460D8"/>
    <w:rsid w:val="007460FB"/>
    <w:rsid w:val="00746341"/>
    <w:rsid w:val="0074638C"/>
    <w:rsid w:val="00746463"/>
    <w:rsid w:val="0074651F"/>
    <w:rsid w:val="007465B0"/>
    <w:rsid w:val="007465E8"/>
    <w:rsid w:val="007467FF"/>
    <w:rsid w:val="00746828"/>
    <w:rsid w:val="007469A4"/>
    <w:rsid w:val="00746A05"/>
    <w:rsid w:val="00746BFE"/>
    <w:rsid w:val="00746C01"/>
    <w:rsid w:val="00746C75"/>
    <w:rsid w:val="00746F46"/>
    <w:rsid w:val="00746FE8"/>
    <w:rsid w:val="007470BF"/>
    <w:rsid w:val="0074710C"/>
    <w:rsid w:val="007472CD"/>
    <w:rsid w:val="007472FF"/>
    <w:rsid w:val="00747354"/>
    <w:rsid w:val="0074742F"/>
    <w:rsid w:val="00747466"/>
    <w:rsid w:val="007474BC"/>
    <w:rsid w:val="007475C6"/>
    <w:rsid w:val="007475F2"/>
    <w:rsid w:val="00747614"/>
    <w:rsid w:val="00747622"/>
    <w:rsid w:val="00747632"/>
    <w:rsid w:val="007476C3"/>
    <w:rsid w:val="0074771E"/>
    <w:rsid w:val="0074778A"/>
    <w:rsid w:val="007477ED"/>
    <w:rsid w:val="0074784E"/>
    <w:rsid w:val="007478D7"/>
    <w:rsid w:val="007478DA"/>
    <w:rsid w:val="00747A44"/>
    <w:rsid w:val="00747A52"/>
    <w:rsid w:val="00747A55"/>
    <w:rsid w:val="00747AFB"/>
    <w:rsid w:val="00747B64"/>
    <w:rsid w:val="00747BB8"/>
    <w:rsid w:val="00747BD1"/>
    <w:rsid w:val="00747C22"/>
    <w:rsid w:val="00747D07"/>
    <w:rsid w:val="00747DD0"/>
    <w:rsid w:val="00747F55"/>
    <w:rsid w:val="007500F8"/>
    <w:rsid w:val="00750115"/>
    <w:rsid w:val="007501BD"/>
    <w:rsid w:val="0075026B"/>
    <w:rsid w:val="007502C3"/>
    <w:rsid w:val="0075032B"/>
    <w:rsid w:val="0075037C"/>
    <w:rsid w:val="007503B7"/>
    <w:rsid w:val="007503C2"/>
    <w:rsid w:val="0075040A"/>
    <w:rsid w:val="00750484"/>
    <w:rsid w:val="007504B2"/>
    <w:rsid w:val="007504E1"/>
    <w:rsid w:val="007504E5"/>
    <w:rsid w:val="00750633"/>
    <w:rsid w:val="00750750"/>
    <w:rsid w:val="007507E9"/>
    <w:rsid w:val="00750827"/>
    <w:rsid w:val="007509BD"/>
    <w:rsid w:val="00750B4D"/>
    <w:rsid w:val="00750BBA"/>
    <w:rsid w:val="00750C02"/>
    <w:rsid w:val="00750C29"/>
    <w:rsid w:val="00750D08"/>
    <w:rsid w:val="00750D73"/>
    <w:rsid w:val="00750DD9"/>
    <w:rsid w:val="00750ECE"/>
    <w:rsid w:val="00750F08"/>
    <w:rsid w:val="00750FB1"/>
    <w:rsid w:val="00750FE3"/>
    <w:rsid w:val="00751072"/>
    <w:rsid w:val="00751086"/>
    <w:rsid w:val="007511FA"/>
    <w:rsid w:val="0075137B"/>
    <w:rsid w:val="00751406"/>
    <w:rsid w:val="00751417"/>
    <w:rsid w:val="007515CC"/>
    <w:rsid w:val="0075162C"/>
    <w:rsid w:val="00751661"/>
    <w:rsid w:val="007516B5"/>
    <w:rsid w:val="007516BE"/>
    <w:rsid w:val="0075193E"/>
    <w:rsid w:val="007519EE"/>
    <w:rsid w:val="00751B05"/>
    <w:rsid w:val="00751B35"/>
    <w:rsid w:val="00751B8F"/>
    <w:rsid w:val="00751C24"/>
    <w:rsid w:val="00751DB7"/>
    <w:rsid w:val="00751E05"/>
    <w:rsid w:val="00751FCF"/>
    <w:rsid w:val="00752015"/>
    <w:rsid w:val="007521B2"/>
    <w:rsid w:val="00752269"/>
    <w:rsid w:val="007523E3"/>
    <w:rsid w:val="00752530"/>
    <w:rsid w:val="007525C2"/>
    <w:rsid w:val="00752629"/>
    <w:rsid w:val="0075263B"/>
    <w:rsid w:val="007527BA"/>
    <w:rsid w:val="007528A0"/>
    <w:rsid w:val="00752A70"/>
    <w:rsid w:val="00752AD9"/>
    <w:rsid w:val="00752B54"/>
    <w:rsid w:val="00752BEC"/>
    <w:rsid w:val="00752D15"/>
    <w:rsid w:val="00752DCD"/>
    <w:rsid w:val="00752DF0"/>
    <w:rsid w:val="00752E54"/>
    <w:rsid w:val="00752F4D"/>
    <w:rsid w:val="00752F86"/>
    <w:rsid w:val="00753005"/>
    <w:rsid w:val="007531A2"/>
    <w:rsid w:val="007531A3"/>
    <w:rsid w:val="007533B9"/>
    <w:rsid w:val="00753419"/>
    <w:rsid w:val="007534BF"/>
    <w:rsid w:val="007534F0"/>
    <w:rsid w:val="007536FD"/>
    <w:rsid w:val="0075376C"/>
    <w:rsid w:val="007537DD"/>
    <w:rsid w:val="00753899"/>
    <w:rsid w:val="007538E2"/>
    <w:rsid w:val="007539BC"/>
    <w:rsid w:val="00753A40"/>
    <w:rsid w:val="00753A70"/>
    <w:rsid w:val="00753A7F"/>
    <w:rsid w:val="00753ABA"/>
    <w:rsid w:val="00753B49"/>
    <w:rsid w:val="00753B67"/>
    <w:rsid w:val="00753B81"/>
    <w:rsid w:val="00753C6C"/>
    <w:rsid w:val="00753CC5"/>
    <w:rsid w:val="00753D55"/>
    <w:rsid w:val="00753E3C"/>
    <w:rsid w:val="00753F02"/>
    <w:rsid w:val="00753F2E"/>
    <w:rsid w:val="00753F30"/>
    <w:rsid w:val="00754022"/>
    <w:rsid w:val="00754089"/>
    <w:rsid w:val="007540D5"/>
    <w:rsid w:val="00754135"/>
    <w:rsid w:val="00754139"/>
    <w:rsid w:val="007541C1"/>
    <w:rsid w:val="007541C3"/>
    <w:rsid w:val="007542F7"/>
    <w:rsid w:val="00754367"/>
    <w:rsid w:val="007543E6"/>
    <w:rsid w:val="0075447E"/>
    <w:rsid w:val="0075450B"/>
    <w:rsid w:val="007545E6"/>
    <w:rsid w:val="00754639"/>
    <w:rsid w:val="00754684"/>
    <w:rsid w:val="007546BC"/>
    <w:rsid w:val="00754713"/>
    <w:rsid w:val="00754723"/>
    <w:rsid w:val="007547EF"/>
    <w:rsid w:val="007548A7"/>
    <w:rsid w:val="007548BD"/>
    <w:rsid w:val="007548D1"/>
    <w:rsid w:val="007549E1"/>
    <w:rsid w:val="00754A6D"/>
    <w:rsid w:val="00754AB6"/>
    <w:rsid w:val="00754B3B"/>
    <w:rsid w:val="00754BF9"/>
    <w:rsid w:val="00754C9C"/>
    <w:rsid w:val="00754D22"/>
    <w:rsid w:val="00754DAF"/>
    <w:rsid w:val="00754FCC"/>
    <w:rsid w:val="00755036"/>
    <w:rsid w:val="00755043"/>
    <w:rsid w:val="007550CC"/>
    <w:rsid w:val="007551AC"/>
    <w:rsid w:val="007551D8"/>
    <w:rsid w:val="007551FD"/>
    <w:rsid w:val="00755249"/>
    <w:rsid w:val="00755277"/>
    <w:rsid w:val="00755280"/>
    <w:rsid w:val="0075531F"/>
    <w:rsid w:val="00755468"/>
    <w:rsid w:val="007555A2"/>
    <w:rsid w:val="00755781"/>
    <w:rsid w:val="007558B8"/>
    <w:rsid w:val="00755A24"/>
    <w:rsid w:val="00755CDE"/>
    <w:rsid w:val="00755D0B"/>
    <w:rsid w:val="00755D23"/>
    <w:rsid w:val="00755D3B"/>
    <w:rsid w:val="00755D52"/>
    <w:rsid w:val="00755D7B"/>
    <w:rsid w:val="00755DBD"/>
    <w:rsid w:val="00755E06"/>
    <w:rsid w:val="00755EBE"/>
    <w:rsid w:val="00755FB2"/>
    <w:rsid w:val="00756064"/>
    <w:rsid w:val="0075612E"/>
    <w:rsid w:val="0075620D"/>
    <w:rsid w:val="00756257"/>
    <w:rsid w:val="0075633C"/>
    <w:rsid w:val="007564E0"/>
    <w:rsid w:val="0075658C"/>
    <w:rsid w:val="007566D8"/>
    <w:rsid w:val="007567F6"/>
    <w:rsid w:val="0075688D"/>
    <w:rsid w:val="007568C1"/>
    <w:rsid w:val="007568E0"/>
    <w:rsid w:val="00756A02"/>
    <w:rsid w:val="00756BA3"/>
    <w:rsid w:val="00756BA8"/>
    <w:rsid w:val="00756C88"/>
    <w:rsid w:val="00756CBD"/>
    <w:rsid w:val="00756D66"/>
    <w:rsid w:val="00756D78"/>
    <w:rsid w:val="00756DD4"/>
    <w:rsid w:val="00756DDE"/>
    <w:rsid w:val="00756DE1"/>
    <w:rsid w:val="00756DE5"/>
    <w:rsid w:val="00756E4C"/>
    <w:rsid w:val="00756EF1"/>
    <w:rsid w:val="00756F00"/>
    <w:rsid w:val="00756F53"/>
    <w:rsid w:val="00756F83"/>
    <w:rsid w:val="00756F9A"/>
    <w:rsid w:val="00756FC7"/>
    <w:rsid w:val="007570FD"/>
    <w:rsid w:val="0075713E"/>
    <w:rsid w:val="00757360"/>
    <w:rsid w:val="00757379"/>
    <w:rsid w:val="007576A0"/>
    <w:rsid w:val="007576F3"/>
    <w:rsid w:val="00757766"/>
    <w:rsid w:val="00757785"/>
    <w:rsid w:val="007577BA"/>
    <w:rsid w:val="0075782E"/>
    <w:rsid w:val="0075785D"/>
    <w:rsid w:val="00757888"/>
    <w:rsid w:val="00757897"/>
    <w:rsid w:val="007578A6"/>
    <w:rsid w:val="007578DD"/>
    <w:rsid w:val="00757A80"/>
    <w:rsid w:val="00757B27"/>
    <w:rsid w:val="00757B2D"/>
    <w:rsid w:val="00757D70"/>
    <w:rsid w:val="00757DAE"/>
    <w:rsid w:val="00757E60"/>
    <w:rsid w:val="00757FB2"/>
    <w:rsid w:val="007600D7"/>
    <w:rsid w:val="007603DC"/>
    <w:rsid w:val="00760428"/>
    <w:rsid w:val="0076045C"/>
    <w:rsid w:val="007604AE"/>
    <w:rsid w:val="007604F2"/>
    <w:rsid w:val="00760580"/>
    <w:rsid w:val="00760594"/>
    <w:rsid w:val="0076061F"/>
    <w:rsid w:val="00760629"/>
    <w:rsid w:val="00760684"/>
    <w:rsid w:val="00760786"/>
    <w:rsid w:val="00760819"/>
    <w:rsid w:val="0076081F"/>
    <w:rsid w:val="00760827"/>
    <w:rsid w:val="0076091B"/>
    <w:rsid w:val="0076098A"/>
    <w:rsid w:val="00760A16"/>
    <w:rsid w:val="00760BEF"/>
    <w:rsid w:val="00760C76"/>
    <w:rsid w:val="00760C7C"/>
    <w:rsid w:val="00760CE6"/>
    <w:rsid w:val="00760D4E"/>
    <w:rsid w:val="00760E93"/>
    <w:rsid w:val="00760F54"/>
    <w:rsid w:val="00760F70"/>
    <w:rsid w:val="00760FFC"/>
    <w:rsid w:val="0076108B"/>
    <w:rsid w:val="007610AC"/>
    <w:rsid w:val="0076115D"/>
    <w:rsid w:val="007611FD"/>
    <w:rsid w:val="00761226"/>
    <w:rsid w:val="007613FB"/>
    <w:rsid w:val="007615FF"/>
    <w:rsid w:val="00761610"/>
    <w:rsid w:val="007616DB"/>
    <w:rsid w:val="00761732"/>
    <w:rsid w:val="007617CC"/>
    <w:rsid w:val="0076181C"/>
    <w:rsid w:val="007618EE"/>
    <w:rsid w:val="00761942"/>
    <w:rsid w:val="0076198F"/>
    <w:rsid w:val="00761A7D"/>
    <w:rsid w:val="00761AC6"/>
    <w:rsid w:val="00761C2E"/>
    <w:rsid w:val="00761CA0"/>
    <w:rsid w:val="00761CFA"/>
    <w:rsid w:val="00761DC3"/>
    <w:rsid w:val="00761DD5"/>
    <w:rsid w:val="00761E09"/>
    <w:rsid w:val="00761E74"/>
    <w:rsid w:val="00761F1C"/>
    <w:rsid w:val="00761F93"/>
    <w:rsid w:val="00762315"/>
    <w:rsid w:val="00762316"/>
    <w:rsid w:val="0076234A"/>
    <w:rsid w:val="0076239D"/>
    <w:rsid w:val="007623A1"/>
    <w:rsid w:val="007623A2"/>
    <w:rsid w:val="007626B3"/>
    <w:rsid w:val="007626C3"/>
    <w:rsid w:val="0076273A"/>
    <w:rsid w:val="00762783"/>
    <w:rsid w:val="007627A6"/>
    <w:rsid w:val="0076280C"/>
    <w:rsid w:val="00762813"/>
    <w:rsid w:val="00762821"/>
    <w:rsid w:val="007628DC"/>
    <w:rsid w:val="007628E6"/>
    <w:rsid w:val="00762944"/>
    <w:rsid w:val="00762A58"/>
    <w:rsid w:val="00762BE2"/>
    <w:rsid w:val="00762C21"/>
    <w:rsid w:val="00763144"/>
    <w:rsid w:val="00763166"/>
    <w:rsid w:val="00763218"/>
    <w:rsid w:val="007632C8"/>
    <w:rsid w:val="00763327"/>
    <w:rsid w:val="00763328"/>
    <w:rsid w:val="007633A0"/>
    <w:rsid w:val="00763401"/>
    <w:rsid w:val="00763436"/>
    <w:rsid w:val="007635CB"/>
    <w:rsid w:val="00763617"/>
    <w:rsid w:val="0076364E"/>
    <w:rsid w:val="007636A8"/>
    <w:rsid w:val="00763774"/>
    <w:rsid w:val="00763837"/>
    <w:rsid w:val="00763845"/>
    <w:rsid w:val="00763872"/>
    <w:rsid w:val="00763873"/>
    <w:rsid w:val="007638A4"/>
    <w:rsid w:val="007638D7"/>
    <w:rsid w:val="0076394A"/>
    <w:rsid w:val="007639C3"/>
    <w:rsid w:val="00763A81"/>
    <w:rsid w:val="00763A92"/>
    <w:rsid w:val="00763B0D"/>
    <w:rsid w:val="00763B93"/>
    <w:rsid w:val="00763B9E"/>
    <w:rsid w:val="00763BB1"/>
    <w:rsid w:val="00763C73"/>
    <w:rsid w:val="00763D32"/>
    <w:rsid w:val="00763DD2"/>
    <w:rsid w:val="00763DDF"/>
    <w:rsid w:val="00763E78"/>
    <w:rsid w:val="00763E7B"/>
    <w:rsid w:val="00763F2E"/>
    <w:rsid w:val="0076404E"/>
    <w:rsid w:val="00764285"/>
    <w:rsid w:val="007644F7"/>
    <w:rsid w:val="0076458C"/>
    <w:rsid w:val="007645C9"/>
    <w:rsid w:val="007645F6"/>
    <w:rsid w:val="00764767"/>
    <w:rsid w:val="0076484A"/>
    <w:rsid w:val="00764A37"/>
    <w:rsid w:val="00764A4F"/>
    <w:rsid w:val="00764A75"/>
    <w:rsid w:val="00764AC2"/>
    <w:rsid w:val="00764B19"/>
    <w:rsid w:val="00764B42"/>
    <w:rsid w:val="00764B49"/>
    <w:rsid w:val="00764B72"/>
    <w:rsid w:val="00764BB5"/>
    <w:rsid w:val="00764BE8"/>
    <w:rsid w:val="00764C98"/>
    <w:rsid w:val="00764D2C"/>
    <w:rsid w:val="00764DC5"/>
    <w:rsid w:val="00764E2C"/>
    <w:rsid w:val="00764EEE"/>
    <w:rsid w:val="00764EFD"/>
    <w:rsid w:val="00764FA2"/>
    <w:rsid w:val="007650C5"/>
    <w:rsid w:val="0076518F"/>
    <w:rsid w:val="007651AA"/>
    <w:rsid w:val="00765389"/>
    <w:rsid w:val="00765522"/>
    <w:rsid w:val="00765570"/>
    <w:rsid w:val="007656AA"/>
    <w:rsid w:val="00765788"/>
    <w:rsid w:val="007657C8"/>
    <w:rsid w:val="007659D9"/>
    <w:rsid w:val="00765AC2"/>
    <w:rsid w:val="00765C93"/>
    <w:rsid w:val="00765E43"/>
    <w:rsid w:val="00765FB4"/>
    <w:rsid w:val="00766152"/>
    <w:rsid w:val="00766168"/>
    <w:rsid w:val="007661C9"/>
    <w:rsid w:val="007661E4"/>
    <w:rsid w:val="00766308"/>
    <w:rsid w:val="00766328"/>
    <w:rsid w:val="0076636C"/>
    <w:rsid w:val="007663D0"/>
    <w:rsid w:val="00766427"/>
    <w:rsid w:val="00766522"/>
    <w:rsid w:val="0076654B"/>
    <w:rsid w:val="0076667D"/>
    <w:rsid w:val="00766787"/>
    <w:rsid w:val="00766927"/>
    <w:rsid w:val="007669A8"/>
    <w:rsid w:val="00766A96"/>
    <w:rsid w:val="00766B16"/>
    <w:rsid w:val="00766C45"/>
    <w:rsid w:val="00766CD1"/>
    <w:rsid w:val="00766DC8"/>
    <w:rsid w:val="00766DE2"/>
    <w:rsid w:val="00766E17"/>
    <w:rsid w:val="00766EB5"/>
    <w:rsid w:val="00766EBB"/>
    <w:rsid w:val="00766EBC"/>
    <w:rsid w:val="00766F0E"/>
    <w:rsid w:val="00766F29"/>
    <w:rsid w:val="00767051"/>
    <w:rsid w:val="00767080"/>
    <w:rsid w:val="007670C9"/>
    <w:rsid w:val="00767380"/>
    <w:rsid w:val="007673A4"/>
    <w:rsid w:val="007673F9"/>
    <w:rsid w:val="0076743D"/>
    <w:rsid w:val="00767775"/>
    <w:rsid w:val="00767826"/>
    <w:rsid w:val="007679A3"/>
    <w:rsid w:val="00767B22"/>
    <w:rsid w:val="00767B89"/>
    <w:rsid w:val="00767BC1"/>
    <w:rsid w:val="00767BF2"/>
    <w:rsid w:val="00767C5B"/>
    <w:rsid w:val="00767CBE"/>
    <w:rsid w:val="00767DA1"/>
    <w:rsid w:val="00767E88"/>
    <w:rsid w:val="00767FBF"/>
    <w:rsid w:val="00767FF4"/>
    <w:rsid w:val="00767FFE"/>
    <w:rsid w:val="0077002D"/>
    <w:rsid w:val="00770139"/>
    <w:rsid w:val="0077018C"/>
    <w:rsid w:val="0077018D"/>
    <w:rsid w:val="00770191"/>
    <w:rsid w:val="007701EC"/>
    <w:rsid w:val="007703A7"/>
    <w:rsid w:val="00770459"/>
    <w:rsid w:val="00770515"/>
    <w:rsid w:val="007705D9"/>
    <w:rsid w:val="0077061F"/>
    <w:rsid w:val="007706CC"/>
    <w:rsid w:val="0077076F"/>
    <w:rsid w:val="00770777"/>
    <w:rsid w:val="0077077D"/>
    <w:rsid w:val="007707CE"/>
    <w:rsid w:val="0077087B"/>
    <w:rsid w:val="007708DA"/>
    <w:rsid w:val="00770981"/>
    <w:rsid w:val="00770A65"/>
    <w:rsid w:val="00770DA5"/>
    <w:rsid w:val="00770E44"/>
    <w:rsid w:val="00770ED7"/>
    <w:rsid w:val="00770EE0"/>
    <w:rsid w:val="00770EFD"/>
    <w:rsid w:val="00770FA2"/>
    <w:rsid w:val="00770FD1"/>
    <w:rsid w:val="00771057"/>
    <w:rsid w:val="0077112A"/>
    <w:rsid w:val="00771206"/>
    <w:rsid w:val="00771245"/>
    <w:rsid w:val="00771289"/>
    <w:rsid w:val="00771350"/>
    <w:rsid w:val="00771371"/>
    <w:rsid w:val="00771385"/>
    <w:rsid w:val="007713F7"/>
    <w:rsid w:val="00771446"/>
    <w:rsid w:val="00771464"/>
    <w:rsid w:val="007714D4"/>
    <w:rsid w:val="007714E4"/>
    <w:rsid w:val="007714F5"/>
    <w:rsid w:val="00771511"/>
    <w:rsid w:val="0077162C"/>
    <w:rsid w:val="00771747"/>
    <w:rsid w:val="0077184D"/>
    <w:rsid w:val="00771A20"/>
    <w:rsid w:val="00771BE6"/>
    <w:rsid w:val="00771D71"/>
    <w:rsid w:val="00771DA2"/>
    <w:rsid w:val="00771DE2"/>
    <w:rsid w:val="00771E07"/>
    <w:rsid w:val="00771E79"/>
    <w:rsid w:val="00771F92"/>
    <w:rsid w:val="007720B2"/>
    <w:rsid w:val="00772194"/>
    <w:rsid w:val="007721E2"/>
    <w:rsid w:val="007721E9"/>
    <w:rsid w:val="007722B6"/>
    <w:rsid w:val="007723E5"/>
    <w:rsid w:val="00772425"/>
    <w:rsid w:val="007724E5"/>
    <w:rsid w:val="00772584"/>
    <w:rsid w:val="00772634"/>
    <w:rsid w:val="00772801"/>
    <w:rsid w:val="00772963"/>
    <w:rsid w:val="007729CD"/>
    <w:rsid w:val="00772C30"/>
    <w:rsid w:val="00772C8D"/>
    <w:rsid w:val="00772DF9"/>
    <w:rsid w:val="00773018"/>
    <w:rsid w:val="007732BA"/>
    <w:rsid w:val="007733E0"/>
    <w:rsid w:val="007734D1"/>
    <w:rsid w:val="00773524"/>
    <w:rsid w:val="00773567"/>
    <w:rsid w:val="00773571"/>
    <w:rsid w:val="00773589"/>
    <w:rsid w:val="007735F6"/>
    <w:rsid w:val="00773615"/>
    <w:rsid w:val="0077361A"/>
    <w:rsid w:val="00773784"/>
    <w:rsid w:val="00773799"/>
    <w:rsid w:val="00773929"/>
    <w:rsid w:val="0077398D"/>
    <w:rsid w:val="00773B08"/>
    <w:rsid w:val="00773BB0"/>
    <w:rsid w:val="00773C00"/>
    <w:rsid w:val="00773CFB"/>
    <w:rsid w:val="00773DDC"/>
    <w:rsid w:val="0077401C"/>
    <w:rsid w:val="0077412B"/>
    <w:rsid w:val="00774229"/>
    <w:rsid w:val="00774353"/>
    <w:rsid w:val="007743A9"/>
    <w:rsid w:val="007747DB"/>
    <w:rsid w:val="00774922"/>
    <w:rsid w:val="007749D4"/>
    <w:rsid w:val="00774AC7"/>
    <w:rsid w:val="00774C3C"/>
    <w:rsid w:val="00774CD1"/>
    <w:rsid w:val="00774CF5"/>
    <w:rsid w:val="00774EEC"/>
    <w:rsid w:val="00774F1F"/>
    <w:rsid w:val="00774FBF"/>
    <w:rsid w:val="0077504E"/>
    <w:rsid w:val="007750A5"/>
    <w:rsid w:val="007750CA"/>
    <w:rsid w:val="00775131"/>
    <w:rsid w:val="00775166"/>
    <w:rsid w:val="00775300"/>
    <w:rsid w:val="007753DB"/>
    <w:rsid w:val="0077540A"/>
    <w:rsid w:val="0077548A"/>
    <w:rsid w:val="00775569"/>
    <w:rsid w:val="0077560C"/>
    <w:rsid w:val="00775712"/>
    <w:rsid w:val="0077572E"/>
    <w:rsid w:val="007757D4"/>
    <w:rsid w:val="00775871"/>
    <w:rsid w:val="007759CD"/>
    <w:rsid w:val="007759F3"/>
    <w:rsid w:val="00775A7F"/>
    <w:rsid w:val="00775AF0"/>
    <w:rsid w:val="00775BEA"/>
    <w:rsid w:val="00775CAD"/>
    <w:rsid w:val="00775CC1"/>
    <w:rsid w:val="00775CD0"/>
    <w:rsid w:val="00775CE6"/>
    <w:rsid w:val="00775D7F"/>
    <w:rsid w:val="00775D98"/>
    <w:rsid w:val="00775E17"/>
    <w:rsid w:val="00775E8D"/>
    <w:rsid w:val="00775F03"/>
    <w:rsid w:val="00775F62"/>
    <w:rsid w:val="0077603F"/>
    <w:rsid w:val="0077623E"/>
    <w:rsid w:val="0077625A"/>
    <w:rsid w:val="00776264"/>
    <w:rsid w:val="007762DD"/>
    <w:rsid w:val="00776434"/>
    <w:rsid w:val="0077653A"/>
    <w:rsid w:val="007765B0"/>
    <w:rsid w:val="00776618"/>
    <w:rsid w:val="00776619"/>
    <w:rsid w:val="007766C5"/>
    <w:rsid w:val="0077670A"/>
    <w:rsid w:val="0077679D"/>
    <w:rsid w:val="0077693E"/>
    <w:rsid w:val="007769E8"/>
    <w:rsid w:val="007769EC"/>
    <w:rsid w:val="00776A31"/>
    <w:rsid w:val="00776B1D"/>
    <w:rsid w:val="00776BB3"/>
    <w:rsid w:val="00776D56"/>
    <w:rsid w:val="00776E22"/>
    <w:rsid w:val="00776EAC"/>
    <w:rsid w:val="00776F82"/>
    <w:rsid w:val="00777112"/>
    <w:rsid w:val="007774AD"/>
    <w:rsid w:val="007774B1"/>
    <w:rsid w:val="00777500"/>
    <w:rsid w:val="007776A5"/>
    <w:rsid w:val="0077773F"/>
    <w:rsid w:val="0077791B"/>
    <w:rsid w:val="007779EB"/>
    <w:rsid w:val="00777ACE"/>
    <w:rsid w:val="00777BBC"/>
    <w:rsid w:val="00777BED"/>
    <w:rsid w:val="00777C66"/>
    <w:rsid w:val="00777DDE"/>
    <w:rsid w:val="00777F2F"/>
    <w:rsid w:val="00777F9A"/>
    <w:rsid w:val="00780024"/>
    <w:rsid w:val="007800A6"/>
    <w:rsid w:val="007800AD"/>
    <w:rsid w:val="007800E6"/>
    <w:rsid w:val="00780115"/>
    <w:rsid w:val="0078013B"/>
    <w:rsid w:val="0078016D"/>
    <w:rsid w:val="00780176"/>
    <w:rsid w:val="0078017D"/>
    <w:rsid w:val="007801A6"/>
    <w:rsid w:val="007803D9"/>
    <w:rsid w:val="0078054F"/>
    <w:rsid w:val="00780565"/>
    <w:rsid w:val="0078058D"/>
    <w:rsid w:val="00780718"/>
    <w:rsid w:val="00780761"/>
    <w:rsid w:val="00780887"/>
    <w:rsid w:val="00780903"/>
    <w:rsid w:val="00780AEB"/>
    <w:rsid w:val="00780B85"/>
    <w:rsid w:val="00780D08"/>
    <w:rsid w:val="00780DBD"/>
    <w:rsid w:val="00780E9C"/>
    <w:rsid w:val="0078105E"/>
    <w:rsid w:val="007810F7"/>
    <w:rsid w:val="007812AF"/>
    <w:rsid w:val="007812FC"/>
    <w:rsid w:val="0078137B"/>
    <w:rsid w:val="00781423"/>
    <w:rsid w:val="007814F8"/>
    <w:rsid w:val="00781523"/>
    <w:rsid w:val="007815EC"/>
    <w:rsid w:val="0078162C"/>
    <w:rsid w:val="007817B5"/>
    <w:rsid w:val="007817C7"/>
    <w:rsid w:val="007817D0"/>
    <w:rsid w:val="00781917"/>
    <w:rsid w:val="0078192B"/>
    <w:rsid w:val="0078197C"/>
    <w:rsid w:val="00781A18"/>
    <w:rsid w:val="00781A3E"/>
    <w:rsid w:val="00781AF2"/>
    <w:rsid w:val="00781BE0"/>
    <w:rsid w:val="00781C5D"/>
    <w:rsid w:val="00781C7B"/>
    <w:rsid w:val="00781C81"/>
    <w:rsid w:val="00781C8B"/>
    <w:rsid w:val="00781CE2"/>
    <w:rsid w:val="00781D5B"/>
    <w:rsid w:val="00781D91"/>
    <w:rsid w:val="00781DCF"/>
    <w:rsid w:val="00781DDE"/>
    <w:rsid w:val="00781F63"/>
    <w:rsid w:val="00782017"/>
    <w:rsid w:val="0078202B"/>
    <w:rsid w:val="00782057"/>
    <w:rsid w:val="00782182"/>
    <w:rsid w:val="00782241"/>
    <w:rsid w:val="007822F5"/>
    <w:rsid w:val="0078236A"/>
    <w:rsid w:val="00782488"/>
    <w:rsid w:val="007824D2"/>
    <w:rsid w:val="007826B9"/>
    <w:rsid w:val="007827E5"/>
    <w:rsid w:val="00782845"/>
    <w:rsid w:val="0078289D"/>
    <w:rsid w:val="00782923"/>
    <w:rsid w:val="00782A8C"/>
    <w:rsid w:val="00782B96"/>
    <w:rsid w:val="00782C45"/>
    <w:rsid w:val="00782C4E"/>
    <w:rsid w:val="00782C59"/>
    <w:rsid w:val="00782E37"/>
    <w:rsid w:val="00782ECB"/>
    <w:rsid w:val="00782ECD"/>
    <w:rsid w:val="00782F9E"/>
    <w:rsid w:val="00782F9F"/>
    <w:rsid w:val="007830B5"/>
    <w:rsid w:val="0078312E"/>
    <w:rsid w:val="0078315A"/>
    <w:rsid w:val="0078319D"/>
    <w:rsid w:val="007831DE"/>
    <w:rsid w:val="007831DF"/>
    <w:rsid w:val="007831E3"/>
    <w:rsid w:val="007832B2"/>
    <w:rsid w:val="0078330A"/>
    <w:rsid w:val="00783421"/>
    <w:rsid w:val="0078355F"/>
    <w:rsid w:val="00783583"/>
    <w:rsid w:val="00783641"/>
    <w:rsid w:val="007836BB"/>
    <w:rsid w:val="007836F6"/>
    <w:rsid w:val="007837E0"/>
    <w:rsid w:val="007839C8"/>
    <w:rsid w:val="00783B2D"/>
    <w:rsid w:val="00783BEB"/>
    <w:rsid w:val="00783C1D"/>
    <w:rsid w:val="00783C8F"/>
    <w:rsid w:val="00783C98"/>
    <w:rsid w:val="00783CCB"/>
    <w:rsid w:val="00783E46"/>
    <w:rsid w:val="00783F39"/>
    <w:rsid w:val="00783F55"/>
    <w:rsid w:val="00783FB4"/>
    <w:rsid w:val="00783FE3"/>
    <w:rsid w:val="0078405C"/>
    <w:rsid w:val="007841D6"/>
    <w:rsid w:val="007842A1"/>
    <w:rsid w:val="007842C4"/>
    <w:rsid w:val="0078435B"/>
    <w:rsid w:val="0078438C"/>
    <w:rsid w:val="0078463E"/>
    <w:rsid w:val="0078464A"/>
    <w:rsid w:val="00784667"/>
    <w:rsid w:val="0078468C"/>
    <w:rsid w:val="0078470C"/>
    <w:rsid w:val="00784755"/>
    <w:rsid w:val="00784792"/>
    <w:rsid w:val="007849AE"/>
    <w:rsid w:val="00784B99"/>
    <w:rsid w:val="00784C62"/>
    <w:rsid w:val="00784C95"/>
    <w:rsid w:val="00784CC3"/>
    <w:rsid w:val="00784D7A"/>
    <w:rsid w:val="00784D9F"/>
    <w:rsid w:val="00784E24"/>
    <w:rsid w:val="00784EE1"/>
    <w:rsid w:val="00784FD7"/>
    <w:rsid w:val="0078515B"/>
    <w:rsid w:val="0078518D"/>
    <w:rsid w:val="007853CA"/>
    <w:rsid w:val="007853FA"/>
    <w:rsid w:val="007854A3"/>
    <w:rsid w:val="007854B4"/>
    <w:rsid w:val="0078553A"/>
    <w:rsid w:val="0078558A"/>
    <w:rsid w:val="007855FC"/>
    <w:rsid w:val="00785676"/>
    <w:rsid w:val="00785691"/>
    <w:rsid w:val="00785778"/>
    <w:rsid w:val="00785836"/>
    <w:rsid w:val="007858C5"/>
    <w:rsid w:val="00785B0C"/>
    <w:rsid w:val="00785B53"/>
    <w:rsid w:val="00785BB3"/>
    <w:rsid w:val="00785C1A"/>
    <w:rsid w:val="00785C47"/>
    <w:rsid w:val="00785CCB"/>
    <w:rsid w:val="00785CE2"/>
    <w:rsid w:val="00785D79"/>
    <w:rsid w:val="00785D99"/>
    <w:rsid w:val="00785E5C"/>
    <w:rsid w:val="007860F9"/>
    <w:rsid w:val="0078626D"/>
    <w:rsid w:val="00786272"/>
    <w:rsid w:val="00786379"/>
    <w:rsid w:val="007863E3"/>
    <w:rsid w:val="0078659E"/>
    <w:rsid w:val="007865F2"/>
    <w:rsid w:val="0078669B"/>
    <w:rsid w:val="007867A4"/>
    <w:rsid w:val="007867F4"/>
    <w:rsid w:val="00786883"/>
    <w:rsid w:val="00786962"/>
    <w:rsid w:val="00786B5E"/>
    <w:rsid w:val="00786C48"/>
    <w:rsid w:val="00786C87"/>
    <w:rsid w:val="00786D61"/>
    <w:rsid w:val="00786D96"/>
    <w:rsid w:val="00786DCB"/>
    <w:rsid w:val="00786E3A"/>
    <w:rsid w:val="00786F1A"/>
    <w:rsid w:val="0078710B"/>
    <w:rsid w:val="00787170"/>
    <w:rsid w:val="007871B9"/>
    <w:rsid w:val="0078725B"/>
    <w:rsid w:val="00787343"/>
    <w:rsid w:val="0078734D"/>
    <w:rsid w:val="00787405"/>
    <w:rsid w:val="0078743D"/>
    <w:rsid w:val="00787541"/>
    <w:rsid w:val="00787557"/>
    <w:rsid w:val="0078758F"/>
    <w:rsid w:val="00787612"/>
    <w:rsid w:val="007876C8"/>
    <w:rsid w:val="007876D2"/>
    <w:rsid w:val="0078774A"/>
    <w:rsid w:val="00787793"/>
    <w:rsid w:val="00787815"/>
    <w:rsid w:val="007879D4"/>
    <w:rsid w:val="00787B5E"/>
    <w:rsid w:val="00787B6F"/>
    <w:rsid w:val="00787C29"/>
    <w:rsid w:val="00787C7C"/>
    <w:rsid w:val="00787C96"/>
    <w:rsid w:val="00787DD7"/>
    <w:rsid w:val="00787DEC"/>
    <w:rsid w:val="00787E25"/>
    <w:rsid w:val="00787E40"/>
    <w:rsid w:val="00787ED1"/>
    <w:rsid w:val="00787F1C"/>
    <w:rsid w:val="00790124"/>
    <w:rsid w:val="00790132"/>
    <w:rsid w:val="00790274"/>
    <w:rsid w:val="0079038A"/>
    <w:rsid w:val="007903B4"/>
    <w:rsid w:val="007903D7"/>
    <w:rsid w:val="007904DC"/>
    <w:rsid w:val="00790648"/>
    <w:rsid w:val="0079071D"/>
    <w:rsid w:val="00790771"/>
    <w:rsid w:val="007907DD"/>
    <w:rsid w:val="00790817"/>
    <w:rsid w:val="00790828"/>
    <w:rsid w:val="007908F0"/>
    <w:rsid w:val="0079097C"/>
    <w:rsid w:val="0079099D"/>
    <w:rsid w:val="00790C3C"/>
    <w:rsid w:val="00790C95"/>
    <w:rsid w:val="00790D7F"/>
    <w:rsid w:val="00790DCF"/>
    <w:rsid w:val="00790E72"/>
    <w:rsid w:val="00790EA6"/>
    <w:rsid w:val="00791055"/>
    <w:rsid w:val="00791077"/>
    <w:rsid w:val="007910C9"/>
    <w:rsid w:val="0079120C"/>
    <w:rsid w:val="00791254"/>
    <w:rsid w:val="007912BD"/>
    <w:rsid w:val="007912E9"/>
    <w:rsid w:val="007913AB"/>
    <w:rsid w:val="007914DE"/>
    <w:rsid w:val="007918BC"/>
    <w:rsid w:val="0079196A"/>
    <w:rsid w:val="007919A2"/>
    <w:rsid w:val="007919AF"/>
    <w:rsid w:val="007919EF"/>
    <w:rsid w:val="00791BBF"/>
    <w:rsid w:val="00791BCE"/>
    <w:rsid w:val="00791C50"/>
    <w:rsid w:val="00791CAD"/>
    <w:rsid w:val="00791CDC"/>
    <w:rsid w:val="00791D0D"/>
    <w:rsid w:val="00791DC5"/>
    <w:rsid w:val="00791E4B"/>
    <w:rsid w:val="00791EC9"/>
    <w:rsid w:val="00791EF1"/>
    <w:rsid w:val="00791FD1"/>
    <w:rsid w:val="00792095"/>
    <w:rsid w:val="00792215"/>
    <w:rsid w:val="007922B9"/>
    <w:rsid w:val="007922F2"/>
    <w:rsid w:val="007924A1"/>
    <w:rsid w:val="007924EE"/>
    <w:rsid w:val="007925CA"/>
    <w:rsid w:val="00792606"/>
    <w:rsid w:val="00792736"/>
    <w:rsid w:val="0079277F"/>
    <w:rsid w:val="00792B1F"/>
    <w:rsid w:val="00792C54"/>
    <w:rsid w:val="00792C64"/>
    <w:rsid w:val="00792DA6"/>
    <w:rsid w:val="00792EEE"/>
    <w:rsid w:val="00792F21"/>
    <w:rsid w:val="00792F5D"/>
    <w:rsid w:val="00792FA4"/>
    <w:rsid w:val="00792FF7"/>
    <w:rsid w:val="00793251"/>
    <w:rsid w:val="00793258"/>
    <w:rsid w:val="00793317"/>
    <w:rsid w:val="00793330"/>
    <w:rsid w:val="00793356"/>
    <w:rsid w:val="0079337B"/>
    <w:rsid w:val="00793388"/>
    <w:rsid w:val="00793396"/>
    <w:rsid w:val="0079346C"/>
    <w:rsid w:val="007934A7"/>
    <w:rsid w:val="007934C9"/>
    <w:rsid w:val="00793555"/>
    <w:rsid w:val="00793632"/>
    <w:rsid w:val="00793655"/>
    <w:rsid w:val="007936A6"/>
    <w:rsid w:val="00793786"/>
    <w:rsid w:val="00793814"/>
    <w:rsid w:val="00793933"/>
    <w:rsid w:val="00793AE2"/>
    <w:rsid w:val="00793B78"/>
    <w:rsid w:val="00793BF0"/>
    <w:rsid w:val="00793BFC"/>
    <w:rsid w:val="00793C8F"/>
    <w:rsid w:val="00793D79"/>
    <w:rsid w:val="00793FF1"/>
    <w:rsid w:val="007940BA"/>
    <w:rsid w:val="007940BB"/>
    <w:rsid w:val="00794191"/>
    <w:rsid w:val="007941E5"/>
    <w:rsid w:val="007941ED"/>
    <w:rsid w:val="0079426E"/>
    <w:rsid w:val="007944CD"/>
    <w:rsid w:val="007944DE"/>
    <w:rsid w:val="00794575"/>
    <w:rsid w:val="00794639"/>
    <w:rsid w:val="007946F2"/>
    <w:rsid w:val="00794717"/>
    <w:rsid w:val="00794773"/>
    <w:rsid w:val="007947FB"/>
    <w:rsid w:val="0079489B"/>
    <w:rsid w:val="007949BC"/>
    <w:rsid w:val="00794A4E"/>
    <w:rsid w:val="00794B1E"/>
    <w:rsid w:val="00794B42"/>
    <w:rsid w:val="00794BA6"/>
    <w:rsid w:val="00794C2A"/>
    <w:rsid w:val="00794C46"/>
    <w:rsid w:val="00794C48"/>
    <w:rsid w:val="00794CB8"/>
    <w:rsid w:val="00794F7C"/>
    <w:rsid w:val="00794FAF"/>
    <w:rsid w:val="00794FC4"/>
    <w:rsid w:val="007950CD"/>
    <w:rsid w:val="007951EB"/>
    <w:rsid w:val="00795256"/>
    <w:rsid w:val="007952C8"/>
    <w:rsid w:val="007952E5"/>
    <w:rsid w:val="00795363"/>
    <w:rsid w:val="00795413"/>
    <w:rsid w:val="007955DD"/>
    <w:rsid w:val="007955FC"/>
    <w:rsid w:val="00795610"/>
    <w:rsid w:val="0079586E"/>
    <w:rsid w:val="00795930"/>
    <w:rsid w:val="00795A74"/>
    <w:rsid w:val="00795ABF"/>
    <w:rsid w:val="00795B22"/>
    <w:rsid w:val="00795B29"/>
    <w:rsid w:val="00795CA4"/>
    <w:rsid w:val="00795D79"/>
    <w:rsid w:val="00795EA7"/>
    <w:rsid w:val="00796109"/>
    <w:rsid w:val="007961B5"/>
    <w:rsid w:val="007961E1"/>
    <w:rsid w:val="00796279"/>
    <w:rsid w:val="0079628F"/>
    <w:rsid w:val="007962BA"/>
    <w:rsid w:val="007963BE"/>
    <w:rsid w:val="0079641B"/>
    <w:rsid w:val="0079642D"/>
    <w:rsid w:val="0079643C"/>
    <w:rsid w:val="00796450"/>
    <w:rsid w:val="0079657D"/>
    <w:rsid w:val="00796649"/>
    <w:rsid w:val="0079665C"/>
    <w:rsid w:val="0079669E"/>
    <w:rsid w:val="007966A7"/>
    <w:rsid w:val="007968A2"/>
    <w:rsid w:val="007968AD"/>
    <w:rsid w:val="007968AF"/>
    <w:rsid w:val="007968DC"/>
    <w:rsid w:val="00796A6E"/>
    <w:rsid w:val="00796D4D"/>
    <w:rsid w:val="00796E0E"/>
    <w:rsid w:val="00796EA0"/>
    <w:rsid w:val="00796F32"/>
    <w:rsid w:val="00796F60"/>
    <w:rsid w:val="00796F79"/>
    <w:rsid w:val="00796F94"/>
    <w:rsid w:val="00796FC6"/>
    <w:rsid w:val="007970C7"/>
    <w:rsid w:val="00797145"/>
    <w:rsid w:val="007971EF"/>
    <w:rsid w:val="007972C6"/>
    <w:rsid w:val="007972EE"/>
    <w:rsid w:val="00797301"/>
    <w:rsid w:val="007973BA"/>
    <w:rsid w:val="00797432"/>
    <w:rsid w:val="0079762C"/>
    <w:rsid w:val="0079773C"/>
    <w:rsid w:val="007977A3"/>
    <w:rsid w:val="007978C4"/>
    <w:rsid w:val="007978F2"/>
    <w:rsid w:val="0079796F"/>
    <w:rsid w:val="007979DB"/>
    <w:rsid w:val="00797B5F"/>
    <w:rsid w:val="00797C46"/>
    <w:rsid w:val="00797D9E"/>
    <w:rsid w:val="00797E46"/>
    <w:rsid w:val="00797EFB"/>
    <w:rsid w:val="00797F74"/>
    <w:rsid w:val="00797FF2"/>
    <w:rsid w:val="007A014F"/>
    <w:rsid w:val="007A038F"/>
    <w:rsid w:val="007A03F7"/>
    <w:rsid w:val="007A0469"/>
    <w:rsid w:val="007A0553"/>
    <w:rsid w:val="007A06C4"/>
    <w:rsid w:val="007A0882"/>
    <w:rsid w:val="007A088C"/>
    <w:rsid w:val="007A08DB"/>
    <w:rsid w:val="007A0903"/>
    <w:rsid w:val="007A0AB2"/>
    <w:rsid w:val="007A0B9E"/>
    <w:rsid w:val="007A0BD0"/>
    <w:rsid w:val="007A0D84"/>
    <w:rsid w:val="007A0D89"/>
    <w:rsid w:val="007A0F91"/>
    <w:rsid w:val="007A113A"/>
    <w:rsid w:val="007A1153"/>
    <w:rsid w:val="007A11A6"/>
    <w:rsid w:val="007A1284"/>
    <w:rsid w:val="007A1292"/>
    <w:rsid w:val="007A133B"/>
    <w:rsid w:val="007A13EA"/>
    <w:rsid w:val="007A1440"/>
    <w:rsid w:val="007A1476"/>
    <w:rsid w:val="007A152F"/>
    <w:rsid w:val="007A15A4"/>
    <w:rsid w:val="007A15BE"/>
    <w:rsid w:val="007A15C9"/>
    <w:rsid w:val="007A16B8"/>
    <w:rsid w:val="007A1744"/>
    <w:rsid w:val="007A180C"/>
    <w:rsid w:val="007A1918"/>
    <w:rsid w:val="007A1A8E"/>
    <w:rsid w:val="007A1AE6"/>
    <w:rsid w:val="007A1B4F"/>
    <w:rsid w:val="007A1C4D"/>
    <w:rsid w:val="007A1D22"/>
    <w:rsid w:val="007A1D4D"/>
    <w:rsid w:val="007A1DA5"/>
    <w:rsid w:val="007A1E58"/>
    <w:rsid w:val="007A1EE6"/>
    <w:rsid w:val="007A1F17"/>
    <w:rsid w:val="007A1F59"/>
    <w:rsid w:val="007A1F8E"/>
    <w:rsid w:val="007A1FB5"/>
    <w:rsid w:val="007A2006"/>
    <w:rsid w:val="007A2046"/>
    <w:rsid w:val="007A2122"/>
    <w:rsid w:val="007A228C"/>
    <w:rsid w:val="007A234C"/>
    <w:rsid w:val="007A23ED"/>
    <w:rsid w:val="007A24D5"/>
    <w:rsid w:val="007A24F3"/>
    <w:rsid w:val="007A259A"/>
    <w:rsid w:val="007A25D3"/>
    <w:rsid w:val="007A2760"/>
    <w:rsid w:val="007A2794"/>
    <w:rsid w:val="007A28E8"/>
    <w:rsid w:val="007A29B4"/>
    <w:rsid w:val="007A29E0"/>
    <w:rsid w:val="007A2A06"/>
    <w:rsid w:val="007A2A61"/>
    <w:rsid w:val="007A2AA1"/>
    <w:rsid w:val="007A2AC1"/>
    <w:rsid w:val="007A2AE7"/>
    <w:rsid w:val="007A2B43"/>
    <w:rsid w:val="007A2B9A"/>
    <w:rsid w:val="007A2C9A"/>
    <w:rsid w:val="007A2DB1"/>
    <w:rsid w:val="007A2FF3"/>
    <w:rsid w:val="007A3021"/>
    <w:rsid w:val="007A3076"/>
    <w:rsid w:val="007A3155"/>
    <w:rsid w:val="007A31AE"/>
    <w:rsid w:val="007A3210"/>
    <w:rsid w:val="007A338A"/>
    <w:rsid w:val="007A344F"/>
    <w:rsid w:val="007A34D6"/>
    <w:rsid w:val="007A34E3"/>
    <w:rsid w:val="007A3549"/>
    <w:rsid w:val="007A358D"/>
    <w:rsid w:val="007A3798"/>
    <w:rsid w:val="007A38DE"/>
    <w:rsid w:val="007A3941"/>
    <w:rsid w:val="007A396F"/>
    <w:rsid w:val="007A3977"/>
    <w:rsid w:val="007A3A75"/>
    <w:rsid w:val="007A3A7E"/>
    <w:rsid w:val="007A3B5C"/>
    <w:rsid w:val="007A3BAB"/>
    <w:rsid w:val="007A3C7C"/>
    <w:rsid w:val="007A3D28"/>
    <w:rsid w:val="007A3DB4"/>
    <w:rsid w:val="007A3E3E"/>
    <w:rsid w:val="007A3EC6"/>
    <w:rsid w:val="007A3F19"/>
    <w:rsid w:val="007A3FE4"/>
    <w:rsid w:val="007A4033"/>
    <w:rsid w:val="007A407A"/>
    <w:rsid w:val="007A4225"/>
    <w:rsid w:val="007A4338"/>
    <w:rsid w:val="007A4374"/>
    <w:rsid w:val="007A43CF"/>
    <w:rsid w:val="007A447C"/>
    <w:rsid w:val="007A44C9"/>
    <w:rsid w:val="007A451A"/>
    <w:rsid w:val="007A45FB"/>
    <w:rsid w:val="007A467F"/>
    <w:rsid w:val="007A46F4"/>
    <w:rsid w:val="007A4725"/>
    <w:rsid w:val="007A4878"/>
    <w:rsid w:val="007A497F"/>
    <w:rsid w:val="007A4999"/>
    <w:rsid w:val="007A4A09"/>
    <w:rsid w:val="007A4B7A"/>
    <w:rsid w:val="007A4BA5"/>
    <w:rsid w:val="007A4CA0"/>
    <w:rsid w:val="007A4D3C"/>
    <w:rsid w:val="007A5048"/>
    <w:rsid w:val="007A511E"/>
    <w:rsid w:val="007A51FA"/>
    <w:rsid w:val="007A52DC"/>
    <w:rsid w:val="007A53E1"/>
    <w:rsid w:val="007A53E2"/>
    <w:rsid w:val="007A5426"/>
    <w:rsid w:val="007A5553"/>
    <w:rsid w:val="007A576A"/>
    <w:rsid w:val="007A5819"/>
    <w:rsid w:val="007A5854"/>
    <w:rsid w:val="007A591B"/>
    <w:rsid w:val="007A59D6"/>
    <w:rsid w:val="007A5A62"/>
    <w:rsid w:val="007A5A91"/>
    <w:rsid w:val="007A5A92"/>
    <w:rsid w:val="007A5AFA"/>
    <w:rsid w:val="007A5C06"/>
    <w:rsid w:val="007A5C5E"/>
    <w:rsid w:val="007A5D43"/>
    <w:rsid w:val="007A5D9D"/>
    <w:rsid w:val="007A5DA5"/>
    <w:rsid w:val="007A5DCE"/>
    <w:rsid w:val="007A5DDC"/>
    <w:rsid w:val="007A5E3D"/>
    <w:rsid w:val="007A5E6F"/>
    <w:rsid w:val="007A5EFC"/>
    <w:rsid w:val="007A5F03"/>
    <w:rsid w:val="007A6075"/>
    <w:rsid w:val="007A60F7"/>
    <w:rsid w:val="007A6236"/>
    <w:rsid w:val="007A625E"/>
    <w:rsid w:val="007A6316"/>
    <w:rsid w:val="007A6384"/>
    <w:rsid w:val="007A650C"/>
    <w:rsid w:val="007A6561"/>
    <w:rsid w:val="007A6630"/>
    <w:rsid w:val="007A67F7"/>
    <w:rsid w:val="007A6845"/>
    <w:rsid w:val="007A6969"/>
    <w:rsid w:val="007A69CE"/>
    <w:rsid w:val="007A6A25"/>
    <w:rsid w:val="007A6A56"/>
    <w:rsid w:val="007A6A64"/>
    <w:rsid w:val="007A6AAC"/>
    <w:rsid w:val="007A6B25"/>
    <w:rsid w:val="007A6B8D"/>
    <w:rsid w:val="007A6CC9"/>
    <w:rsid w:val="007A6D99"/>
    <w:rsid w:val="007A6DB2"/>
    <w:rsid w:val="007A6DE4"/>
    <w:rsid w:val="007A6DF7"/>
    <w:rsid w:val="007A6E1E"/>
    <w:rsid w:val="007A6E44"/>
    <w:rsid w:val="007A6E4D"/>
    <w:rsid w:val="007A6E80"/>
    <w:rsid w:val="007A6EA0"/>
    <w:rsid w:val="007A6EA1"/>
    <w:rsid w:val="007A6F22"/>
    <w:rsid w:val="007A7024"/>
    <w:rsid w:val="007A7062"/>
    <w:rsid w:val="007A7081"/>
    <w:rsid w:val="007A70DF"/>
    <w:rsid w:val="007A7194"/>
    <w:rsid w:val="007A71F1"/>
    <w:rsid w:val="007A7235"/>
    <w:rsid w:val="007A723C"/>
    <w:rsid w:val="007A729B"/>
    <w:rsid w:val="007A72AB"/>
    <w:rsid w:val="007A72E2"/>
    <w:rsid w:val="007A731B"/>
    <w:rsid w:val="007A733A"/>
    <w:rsid w:val="007A7342"/>
    <w:rsid w:val="007A7394"/>
    <w:rsid w:val="007A7415"/>
    <w:rsid w:val="007A742D"/>
    <w:rsid w:val="007A744E"/>
    <w:rsid w:val="007A747C"/>
    <w:rsid w:val="007A74C3"/>
    <w:rsid w:val="007A75A6"/>
    <w:rsid w:val="007A75FE"/>
    <w:rsid w:val="007A7668"/>
    <w:rsid w:val="007A7744"/>
    <w:rsid w:val="007A7856"/>
    <w:rsid w:val="007A78C6"/>
    <w:rsid w:val="007A7A60"/>
    <w:rsid w:val="007A7AA4"/>
    <w:rsid w:val="007A7B3C"/>
    <w:rsid w:val="007A7C5A"/>
    <w:rsid w:val="007A7C86"/>
    <w:rsid w:val="007A7DAC"/>
    <w:rsid w:val="007A7E57"/>
    <w:rsid w:val="007A7EF7"/>
    <w:rsid w:val="007A7F52"/>
    <w:rsid w:val="007A7F6E"/>
    <w:rsid w:val="007B009D"/>
    <w:rsid w:val="007B0135"/>
    <w:rsid w:val="007B01AD"/>
    <w:rsid w:val="007B01C4"/>
    <w:rsid w:val="007B0383"/>
    <w:rsid w:val="007B03B5"/>
    <w:rsid w:val="007B0403"/>
    <w:rsid w:val="007B0410"/>
    <w:rsid w:val="007B0448"/>
    <w:rsid w:val="007B05C0"/>
    <w:rsid w:val="007B05D7"/>
    <w:rsid w:val="007B067E"/>
    <w:rsid w:val="007B072D"/>
    <w:rsid w:val="007B07CD"/>
    <w:rsid w:val="007B086C"/>
    <w:rsid w:val="007B0965"/>
    <w:rsid w:val="007B0ADA"/>
    <w:rsid w:val="007B0B28"/>
    <w:rsid w:val="007B0BCB"/>
    <w:rsid w:val="007B0CAC"/>
    <w:rsid w:val="007B0D18"/>
    <w:rsid w:val="007B0D9A"/>
    <w:rsid w:val="007B0F07"/>
    <w:rsid w:val="007B1049"/>
    <w:rsid w:val="007B104A"/>
    <w:rsid w:val="007B1070"/>
    <w:rsid w:val="007B1206"/>
    <w:rsid w:val="007B1251"/>
    <w:rsid w:val="007B1340"/>
    <w:rsid w:val="007B136F"/>
    <w:rsid w:val="007B1528"/>
    <w:rsid w:val="007B1548"/>
    <w:rsid w:val="007B167C"/>
    <w:rsid w:val="007B16AD"/>
    <w:rsid w:val="007B16BB"/>
    <w:rsid w:val="007B17A4"/>
    <w:rsid w:val="007B1811"/>
    <w:rsid w:val="007B1873"/>
    <w:rsid w:val="007B1987"/>
    <w:rsid w:val="007B198D"/>
    <w:rsid w:val="007B1AC6"/>
    <w:rsid w:val="007B1C0B"/>
    <w:rsid w:val="007B1D77"/>
    <w:rsid w:val="007B1D9B"/>
    <w:rsid w:val="007B1E06"/>
    <w:rsid w:val="007B1F45"/>
    <w:rsid w:val="007B205F"/>
    <w:rsid w:val="007B2087"/>
    <w:rsid w:val="007B20C1"/>
    <w:rsid w:val="007B20DD"/>
    <w:rsid w:val="007B2120"/>
    <w:rsid w:val="007B2172"/>
    <w:rsid w:val="007B21C7"/>
    <w:rsid w:val="007B21EA"/>
    <w:rsid w:val="007B2251"/>
    <w:rsid w:val="007B2257"/>
    <w:rsid w:val="007B2261"/>
    <w:rsid w:val="007B2357"/>
    <w:rsid w:val="007B23DF"/>
    <w:rsid w:val="007B2422"/>
    <w:rsid w:val="007B24DF"/>
    <w:rsid w:val="007B255F"/>
    <w:rsid w:val="007B2590"/>
    <w:rsid w:val="007B25A3"/>
    <w:rsid w:val="007B2644"/>
    <w:rsid w:val="007B27BB"/>
    <w:rsid w:val="007B27E6"/>
    <w:rsid w:val="007B28C2"/>
    <w:rsid w:val="007B2906"/>
    <w:rsid w:val="007B290B"/>
    <w:rsid w:val="007B294E"/>
    <w:rsid w:val="007B29A5"/>
    <w:rsid w:val="007B2BCE"/>
    <w:rsid w:val="007B2D9F"/>
    <w:rsid w:val="007B2F80"/>
    <w:rsid w:val="007B3008"/>
    <w:rsid w:val="007B31A1"/>
    <w:rsid w:val="007B3274"/>
    <w:rsid w:val="007B32E3"/>
    <w:rsid w:val="007B3343"/>
    <w:rsid w:val="007B33E4"/>
    <w:rsid w:val="007B3420"/>
    <w:rsid w:val="007B3423"/>
    <w:rsid w:val="007B346C"/>
    <w:rsid w:val="007B35E2"/>
    <w:rsid w:val="007B360D"/>
    <w:rsid w:val="007B3671"/>
    <w:rsid w:val="007B38B3"/>
    <w:rsid w:val="007B38DB"/>
    <w:rsid w:val="007B397D"/>
    <w:rsid w:val="007B3A1F"/>
    <w:rsid w:val="007B3B20"/>
    <w:rsid w:val="007B3BD8"/>
    <w:rsid w:val="007B3C63"/>
    <w:rsid w:val="007B3C87"/>
    <w:rsid w:val="007B3F4E"/>
    <w:rsid w:val="007B3F8A"/>
    <w:rsid w:val="007B4047"/>
    <w:rsid w:val="007B4058"/>
    <w:rsid w:val="007B408B"/>
    <w:rsid w:val="007B415B"/>
    <w:rsid w:val="007B429A"/>
    <w:rsid w:val="007B42F1"/>
    <w:rsid w:val="007B43A9"/>
    <w:rsid w:val="007B43D1"/>
    <w:rsid w:val="007B440B"/>
    <w:rsid w:val="007B442F"/>
    <w:rsid w:val="007B446D"/>
    <w:rsid w:val="007B44CE"/>
    <w:rsid w:val="007B45AC"/>
    <w:rsid w:val="007B4705"/>
    <w:rsid w:val="007B49B8"/>
    <w:rsid w:val="007B4A6F"/>
    <w:rsid w:val="007B4A77"/>
    <w:rsid w:val="007B4B48"/>
    <w:rsid w:val="007B4BAB"/>
    <w:rsid w:val="007B4D14"/>
    <w:rsid w:val="007B4E32"/>
    <w:rsid w:val="007B4E49"/>
    <w:rsid w:val="007B4FFD"/>
    <w:rsid w:val="007B5047"/>
    <w:rsid w:val="007B5062"/>
    <w:rsid w:val="007B5108"/>
    <w:rsid w:val="007B5146"/>
    <w:rsid w:val="007B5289"/>
    <w:rsid w:val="007B52F1"/>
    <w:rsid w:val="007B538B"/>
    <w:rsid w:val="007B5418"/>
    <w:rsid w:val="007B5463"/>
    <w:rsid w:val="007B5497"/>
    <w:rsid w:val="007B5512"/>
    <w:rsid w:val="007B5551"/>
    <w:rsid w:val="007B55B9"/>
    <w:rsid w:val="007B5629"/>
    <w:rsid w:val="007B5746"/>
    <w:rsid w:val="007B583E"/>
    <w:rsid w:val="007B589A"/>
    <w:rsid w:val="007B5901"/>
    <w:rsid w:val="007B5B13"/>
    <w:rsid w:val="007B5B77"/>
    <w:rsid w:val="007B5B7B"/>
    <w:rsid w:val="007B5BB4"/>
    <w:rsid w:val="007B5C03"/>
    <w:rsid w:val="007B5C48"/>
    <w:rsid w:val="007B5CB8"/>
    <w:rsid w:val="007B5CBF"/>
    <w:rsid w:val="007B5CE8"/>
    <w:rsid w:val="007B5D37"/>
    <w:rsid w:val="007B5DBB"/>
    <w:rsid w:val="007B5E12"/>
    <w:rsid w:val="007B5E8A"/>
    <w:rsid w:val="007B5F89"/>
    <w:rsid w:val="007B5F96"/>
    <w:rsid w:val="007B60EA"/>
    <w:rsid w:val="007B61FC"/>
    <w:rsid w:val="007B6317"/>
    <w:rsid w:val="007B636B"/>
    <w:rsid w:val="007B6386"/>
    <w:rsid w:val="007B64E7"/>
    <w:rsid w:val="007B656C"/>
    <w:rsid w:val="007B669E"/>
    <w:rsid w:val="007B6702"/>
    <w:rsid w:val="007B677B"/>
    <w:rsid w:val="007B67B0"/>
    <w:rsid w:val="007B67CB"/>
    <w:rsid w:val="007B68BB"/>
    <w:rsid w:val="007B68BE"/>
    <w:rsid w:val="007B6B0D"/>
    <w:rsid w:val="007B6C95"/>
    <w:rsid w:val="007B6E53"/>
    <w:rsid w:val="007B6EF0"/>
    <w:rsid w:val="007B6F83"/>
    <w:rsid w:val="007B716B"/>
    <w:rsid w:val="007B71A5"/>
    <w:rsid w:val="007B71AE"/>
    <w:rsid w:val="007B7231"/>
    <w:rsid w:val="007B7273"/>
    <w:rsid w:val="007B7408"/>
    <w:rsid w:val="007B746E"/>
    <w:rsid w:val="007B7498"/>
    <w:rsid w:val="007B74E6"/>
    <w:rsid w:val="007B75C2"/>
    <w:rsid w:val="007B763A"/>
    <w:rsid w:val="007B7642"/>
    <w:rsid w:val="007B7706"/>
    <w:rsid w:val="007B7735"/>
    <w:rsid w:val="007B77D6"/>
    <w:rsid w:val="007B7809"/>
    <w:rsid w:val="007B7813"/>
    <w:rsid w:val="007B7850"/>
    <w:rsid w:val="007B7853"/>
    <w:rsid w:val="007B7878"/>
    <w:rsid w:val="007B787E"/>
    <w:rsid w:val="007B78E6"/>
    <w:rsid w:val="007B7930"/>
    <w:rsid w:val="007B79FB"/>
    <w:rsid w:val="007B7A29"/>
    <w:rsid w:val="007B7AD5"/>
    <w:rsid w:val="007B7B49"/>
    <w:rsid w:val="007B7B69"/>
    <w:rsid w:val="007B7BF6"/>
    <w:rsid w:val="007B7C11"/>
    <w:rsid w:val="007B7CD5"/>
    <w:rsid w:val="007B7D86"/>
    <w:rsid w:val="007B7E9F"/>
    <w:rsid w:val="007B7FB5"/>
    <w:rsid w:val="007C0102"/>
    <w:rsid w:val="007C0145"/>
    <w:rsid w:val="007C0171"/>
    <w:rsid w:val="007C01BD"/>
    <w:rsid w:val="007C01F7"/>
    <w:rsid w:val="007C0235"/>
    <w:rsid w:val="007C03DF"/>
    <w:rsid w:val="007C043F"/>
    <w:rsid w:val="007C050F"/>
    <w:rsid w:val="007C059F"/>
    <w:rsid w:val="007C060F"/>
    <w:rsid w:val="007C0623"/>
    <w:rsid w:val="007C075F"/>
    <w:rsid w:val="007C0770"/>
    <w:rsid w:val="007C0779"/>
    <w:rsid w:val="007C081F"/>
    <w:rsid w:val="007C084D"/>
    <w:rsid w:val="007C08D1"/>
    <w:rsid w:val="007C0925"/>
    <w:rsid w:val="007C09A7"/>
    <w:rsid w:val="007C09F5"/>
    <w:rsid w:val="007C09F7"/>
    <w:rsid w:val="007C09F8"/>
    <w:rsid w:val="007C0A9C"/>
    <w:rsid w:val="007C0AE2"/>
    <w:rsid w:val="007C0B45"/>
    <w:rsid w:val="007C0CA8"/>
    <w:rsid w:val="007C0CC8"/>
    <w:rsid w:val="007C0D70"/>
    <w:rsid w:val="007C0E2F"/>
    <w:rsid w:val="007C0F06"/>
    <w:rsid w:val="007C0F63"/>
    <w:rsid w:val="007C0F82"/>
    <w:rsid w:val="007C109C"/>
    <w:rsid w:val="007C10E7"/>
    <w:rsid w:val="007C1106"/>
    <w:rsid w:val="007C1175"/>
    <w:rsid w:val="007C11A6"/>
    <w:rsid w:val="007C1251"/>
    <w:rsid w:val="007C126E"/>
    <w:rsid w:val="007C12F3"/>
    <w:rsid w:val="007C131A"/>
    <w:rsid w:val="007C13A7"/>
    <w:rsid w:val="007C14B3"/>
    <w:rsid w:val="007C14CE"/>
    <w:rsid w:val="007C14EB"/>
    <w:rsid w:val="007C150D"/>
    <w:rsid w:val="007C156E"/>
    <w:rsid w:val="007C15A5"/>
    <w:rsid w:val="007C15A6"/>
    <w:rsid w:val="007C15AD"/>
    <w:rsid w:val="007C15B3"/>
    <w:rsid w:val="007C15F8"/>
    <w:rsid w:val="007C1649"/>
    <w:rsid w:val="007C1696"/>
    <w:rsid w:val="007C16B3"/>
    <w:rsid w:val="007C16F4"/>
    <w:rsid w:val="007C1799"/>
    <w:rsid w:val="007C17DC"/>
    <w:rsid w:val="007C17FB"/>
    <w:rsid w:val="007C18C4"/>
    <w:rsid w:val="007C18CD"/>
    <w:rsid w:val="007C1A00"/>
    <w:rsid w:val="007C1A8E"/>
    <w:rsid w:val="007C1B76"/>
    <w:rsid w:val="007C1C0D"/>
    <w:rsid w:val="007C1CC4"/>
    <w:rsid w:val="007C1CD2"/>
    <w:rsid w:val="007C1CEA"/>
    <w:rsid w:val="007C1D51"/>
    <w:rsid w:val="007C1D9D"/>
    <w:rsid w:val="007C1DA7"/>
    <w:rsid w:val="007C1DB1"/>
    <w:rsid w:val="007C1DBD"/>
    <w:rsid w:val="007C1E18"/>
    <w:rsid w:val="007C1E35"/>
    <w:rsid w:val="007C1E78"/>
    <w:rsid w:val="007C1EFA"/>
    <w:rsid w:val="007C1F7B"/>
    <w:rsid w:val="007C1FA2"/>
    <w:rsid w:val="007C1FD7"/>
    <w:rsid w:val="007C1FDD"/>
    <w:rsid w:val="007C1FE1"/>
    <w:rsid w:val="007C1FEF"/>
    <w:rsid w:val="007C20AD"/>
    <w:rsid w:val="007C2163"/>
    <w:rsid w:val="007C21A3"/>
    <w:rsid w:val="007C21AE"/>
    <w:rsid w:val="007C21ED"/>
    <w:rsid w:val="007C22A1"/>
    <w:rsid w:val="007C233F"/>
    <w:rsid w:val="007C2444"/>
    <w:rsid w:val="007C2561"/>
    <w:rsid w:val="007C25AD"/>
    <w:rsid w:val="007C2641"/>
    <w:rsid w:val="007C269A"/>
    <w:rsid w:val="007C2765"/>
    <w:rsid w:val="007C2848"/>
    <w:rsid w:val="007C285E"/>
    <w:rsid w:val="007C290E"/>
    <w:rsid w:val="007C2915"/>
    <w:rsid w:val="007C2921"/>
    <w:rsid w:val="007C295D"/>
    <w:rsid w:val="007C29AA"/>
    <w:rsid w:val="007C2AB7"/>
    <w:rsid w:val="007C2B13"/>
    <w:rsid w:val="007C2C05"/>
    <w:rsid w:val="007C2CBA"/>
    <w:rsid w:val="007C2DFE"/>
    <w:rsid w:val="007C2F10"/>
    <w:rsid w:val="007C2F9C"/>
    <w:rsid w:val="007C2FC0"/>
    <w:rsid w:val="007C2FC2"/>
    <w:rsid w:val="007C2FD3"/>
    <w:rsid w:val="007C2FF1"/>
    <w:rsid w:val="007C3078"/>
    <w:rsid w:val="007C30CD"/>
    <w:rsid w:val="007C30DE"/>
    <w:rsid w:val="007C30F6"/>
    <w:rsid w:val="007C312A"/>
    <w:rsid w:val="007C317C"/>
    <w:rsid w:val="007C343E"/>
    <w:rsid w:val="007C3529"/>
    <w:rsid w:val="007C357D"/>
    <w:rsid w:val="007C35E6"/>
    <w:rsid w:val="007C3697"/>
    <w:rsid w:val="007C3716"/>
    <w:rsid w:val="007C380E"/>
    <w:rsid w:val="007C38F1"/>
    <w:rsid w:val="007C3A3B"/>
    <w:rsid w:val="007C3AB1"/>
    <w:rsid w:val="007C3AD8"/>
    <w:rsid w:val="007C3AEE"/>
    <w:rsid w:val="007C3D14"/>
    <w:rsid w:val="007C3EC6"/>
    <w:rsid w:val="007C3F14"/>
    <w:rsid w:val="007C3F6E"/>
    <w:rsid w:val="007C3FFA"/>
    <w:rsid w:val="007C40F1"/>
    <w:rsid w:val="007C4191"/>
    <w:rsid w:val="007C41D2"/>
    <w:rsid w:val="007C41E2"/>
    <w:rsid w:val="007C41F7"/>
    <w:rsid w:val="007C4400"/>
    <w:rsid w:val="007C4498"/>
    <w:rsid w:val="007C453E"/>
    <w:rsid w:val="007C466E"/>
    <w:rsid w:val="007C4671"/>
    <w:rsid w:val="007C46B7"/>
    <w:rsid w:val="007C48F9"/>
    <w:rsid w:val="007C495B"/>
    <w:rsid w:val="007C4A7E"/>
    <w:rsid w:val="007C4A80"/>
    <w:rsid w:val="007C4B44"/>
    <w:rsid w:val="007C4BBA"/>
    <w:rsid w:val="007C4BD9"/>
    <w:rsid w:val="007C4DAB"/>
    <w:rsid w:val="007C4E22"/>
    <w:rsid w:val="007C4F81"/>
    <w:rsid w:val="007C508A"/>
    <w:rsid w:val="007C510F"/>
    <w:rsid w:val="007C5110"/>
    <w:rsid w:val="007C5358"/>
    <w:rsid w:val="007C5431"/>
    <w:rsid w:val="007C54A4"/>
    <w:rsid w:val="007C550D"/>
    <w:rsid w:val="007C55FC"/>
    <w:rsid w:val="007C5800"/>
    <w:rsid w:val="007C581F"/>
    <w:rsid w:val="007C58F4"/>
    <w:rsid w:val="007C58FD"/>
    <w:rsid w:val="007C590F"/>
    <w:rsid w:val="007C5B20"/>
    <w:rsid w:val="007C5BD9"/>
    <w:rsid w:val="007C5C1D"/>
    <w:rsid w:val="007C5E30"/>
    <w:rsid w:val="007C5E90"/>
    <w:rsid w:val="007C5EDD"/>
    <w:rsid w:val="007C5F91"/>
    <w:rsid w:val="007C5F97"/>
    <w:rsid w:val="007C6067"/>
    <w:rsid w:val="007C60B2"/>
    <w:rsid w:val="007C6185"/>
    <w:rsid w:val="007C62CE"/>
    <w:rsid w:val="007C6315"/>
    <w:rsid w:val="007C6333"/>
    <w:rsid w:val="007C6345"/>
    <w:rsid w:val="007C6354"/>
    <w:rsid w:val="007C6359"/>
    <w:rsid w:val="007C636F"/>
    <w:rsid w:val="007C640D"/>
    <w:rsid w:val="007C64F6"/>
    <w:rsid w:val="007C6502"/>
    <w:rsid w:val="007C663E"/>
    <w:rsid w:val="007C66A1"/>
    <w:rsid w:val="007C6784"/>
    <w:rsid w:val="007C6808"/>
    <w:rsid w:val="007C6809"/>
    <w:rsid w:val="007C6AB3"/>
    <w:rsid w:val="007C6AE7"/>
    <w:rsid w:val="007C6B70"/>
    <w:rsid w:val="007C6B73"/>
    <w:rsid w:val="007C6C49"/>
    <w:rsid w:val="007C6D64"/>
    <w:rsid w:val="007C6DB0"/>
    <w:rsid w:val="007C6FBF"/>
    <w:rsid w:val="007C701D"/>
    <w:rsid w:val="007C7188"/>
    <w:rsid w:val="007C7220"/>
    <w:rsid w:val="007C72E6"/>
    <w:rsid w:val="007C7348"/>
    <w:rsid w:val="007C73EC"/>
    <w:rsid w:val="007C7466"/>
    <w:rsid w:val="007C747A"/>
    <w:rsid w:val="007C750D"/>
    <w:rsid w:val="007C75B7"/>
    <w:rsid w:val="007C777A"/>
    <w:rsid w:val="007C78B0"/>
    <w:rsid w:val="007C7A69"/>
    <w:rsid w:val="007C7AAC"/>
    <w:rsid w:val="007C7D14"/>
    <w:rsid w:val="007C7EBB"/>
    <w:rsid w:val="007C7F79"/>
    <w:rsid w:val="007C7FAB"/>
    <w:rsid w:val="007D0045"/>
    <w:rsid w:val="007D012E"/>
    <w:rsid w:val="007D02B7"/>
    <w:rsid w:val="007D02FC"/>
    <w:rsid w:val="007D036F"/>
    <w:rsid w:val="007D03FB"/>
    <w:rsid w:val="007D044C"/>
    <w:rsid w:val="007D0512"/>
    <w:rsid w:val="007D0666"/>
    <w:rsid w:val="007D0716"/>
    <w:rsid w:val="007D073F"/>
    <w:rsid w:val="007D07D0"/>
    <w:rsid w:val="007D0924"/>
    <w:rsid w:val="007D0A6F"/>
    <w:rsid w:val="007D0BAC"/>
    <w:rsid w:val="007D0C89"/>
    <w:rsid w:val="007D0C9E"/>
    <w:rsid w:val="007D0D20"/>
    <w:rsid w:val="007D0D2A"/>
    <w:rsid w:val="007D0F0A"/>
    <w:rsid w:val="007D122C"/>
    <w:rsid w:val="007D1313"/>
    <w:rsid w:val="007D1315"/>
    <w:rsid w:val="007D133C"/>
    <w:rsid w:val="007D1490"/>
    <w:rsid w:val="007D1509"/>
    <w:rsid w:val="007D1A6F"/>
    <w:rsid w:val="007D1ADF"/>
    <w:rsid w:val="007D1B10"/>
    <w:rsid w:val="007D1B54"/>
    <w:rsid w:val="007D1B8A"/>
    <w:rsid w:val="007D1BE1"/>
    <w:rsid w:val="007D1C2E"/>
    <w:rsid w:val="007D1D9F"/>
    <w:rsid w:val="007D20BB"/>
    <w:rsid w:val="007D2106"/>
    <w:rsid w:val="007D2110"/>
    <w:rsid w:val="007D213F"/>
    <w:rsid w:val="007D214B"/>
    <w:rsid w:val="007D216F"/>
    <w:rsid w:val="007D21E3"/>
    <w:rsid w:val="007D220C"/>
    <w:rsid w:val="007D237D"/>
    <w:rsid w:val="007D23E8"/>
    <w:rsid w:val="007D2404"/>
    <w:rsid w:val="007D24AC"/>
    <w:rsid w:val="007D2516"/>
    <w:rsid w:val="007D2940"/>
    <w:rsid w:val="007D2977"/>
    <w:rsid w:val="007D2979"/>
    <w:rsid w:val="007D2992"/>
    <w:rsid w:val="007D29BA"/>
    <w:rsid w:val="007D2A0C"/>
    <w:rsid w:val="007D2AB0"/>
    <w:rsid w:val="007D2ACD"/>
    <w:rsid w:val="007D2B38"/>
    <w:rsid w:val="007D2BC5"/>
    <w:rsid w:val="007D2BDA"/>
    <w:rsid w:val="007D2C0F"/>
    <w:rsid w:val="007D2D0D"/>
    <w:rsid w:val="007D2D61"/>
    <w:rsid w:val="007D2D79"/>
    <w:rsid w:val="007D2D9B"/>
    <w:rsid w:val="007D2DA7"/>
    <w:rsid w:val="007D2DC3"/>
    <w:rsid w:val="007D2F36"/>
    <w:rsid w:val="007D2F45"/>
    <w:rsid w:val="007D2F9A"/>
    <w:rsid w:val="007D30B9"/>
    <w:rsid w:val="007D3126"/>
    <w:rsid w:val="007D332F"/>
    <w:rsid w:val="007D33A9"/>
    <w:rsid w:val="007D33F7"/>
    <w:rsid w:val="007D35CC"/>
    <w:rsid w:val="007D374F"/>
    <w:rsid w:val="007D391B"/>
    <w:rsid w:val="007D391C"/>
    <w:rsid w:val="007D3A56"/>
    <w:rsid w:val="007D3A82"/>
    <w:rsid w:val="007D3AC9"/>
    <w:rsid w:val="007D3B23"/>
    <w:rsid w:val="007D3B42"/>
    <w:rsid w:val="007D3B88"/>
    <w:rsid w:val="007D3B8F"/>
    <w:rsid w:val="007D3BB6"/>
    <w:rsid w:val="007D3C22"/>
    <w:rsid w:val="007D3D97"/>
    <w:rsid w:val="007D3E68"/>
    <w:rsid w:val="007D3E7F"/>
    <w:rsid w:val="007D3EAA"/>
    <w:rsid w:val="007D3EFD"/>
    <w:rsid w:val="007D40A1"/>
    <w:rsid w:val="007D4175"/>
    <w:rsid w:val="007D419C"/>
    <w:rsid w:val="007D41E5"/>
    <w:rsid w:val="007D428D"/>
    <w:rsid w:val="007D4343"/>
    <w:rsid w:val="007D43F6"/>
    <w:rsid w:val="007D4446"/>
    <w:rsid w:val="007D45FB"/>
    <w:rsid w:val="007D4608"/>
    <w:rsid w:val="007D47E8"/>
    <w:rsid w:val="007D4898"/>
    <w:rsid w:val="007D491C"/>
    <w:rsid w:val="007D4941"/>
    <w:rsid w:val="007D494D"/>
    <w:rsid w:val="007D4A51"/>
    <w:rsid w:val="007D4C20"/>
    <w:rsid w:val="007D4CEB"/>
    <w:rsid w:val="007D4D57"/>
    <w:rsid w:val="007D4EB7"/>
    <w:rsid w:val="007D4EF4"/>
    <w:rsid w:val="007D4FB5"/>
    <w:rsid w:val="007D526F"/>
    <w:rsid w:val="007D5411"/>
    <w:rsid w:val="007D54B8"/>
    <w:rsid w:val="007D54C8"/>
    <w:rsid w:val="007D5654"/>
    <w:rsid w:val="007D5886"/>
    <w:rsid w:val="007D58F5"/>
    <w:rsid w:val="007D5919"/>
    <w:rsid w:val="007D5971"/>
    <w:rsid w:val="007D59E4"/>
    <w:rsid w:val="007D5A3C"/>
    <w:rsid w:val="007D5B20"/>
    <w:rsid w:val="007D5BB4"/>
    <w:rsid w:val="007D5BBE"/>
    <w:rsid w:val="007D5ED1"/>
    <w:rsid w:val="007D5F27"/>
    <w:rsid w:val="007D60C1"/>
    <w:rsid w:val="007D6127"/>
    <w:rsid w:val="007D6154"/>
    <w:rsid w:val="007D6178"/>
    <w:rsid w:val="007D622B"/>
    <w:rsid w:val="007D62EC"/>
    <w:rsid w:val="007D63E8"/>
    <w:rsid w:val="007D64FC"/>
    <w:rsid w:val="007D656B"/>
    <w:rsid w:val="007D658A"/>
    <w:rsid w:val="007D6696"/>
    <w:rsid w:val="007D6747"/>
    <w:rsid w:val="007D676D"/>
    <w:rsid w:val="007D6798"/>
    <w:rsid w:val="007D681F"/>
    <w:rsid w:val="007D68AE"/>
    <w:rsid w:val="007D69C3"/>
    <w:rsid w:val="007D6A1A"/>
    <w:rsid w:val="007D6AD2"/>
    <w:rsid w:val="007D6BE5"/>
    <w:rsid w:val="007D6C4E"/>
    <w:rsid w:val="007D6C90"/>
    <w:rsid w:val="007D6D30"/>
    <w:rsid w:val="007D6DC7"/>
    <w:rsid w:val="007D6E83"/>
    <w:rsid w:val="007D6E91"/>
    <w:rsid w:val="007D6F1F"/>
    <w:rsid w:val="007D6F58"/>
    <w:rsid w:val="007D6F64"/>
    <w:rsid w:val="007D6F6D"/>
    <w:rsid w:val="007D6F97"/>
    <w:rsid w:val="007D7048"/>
    <w:rsid w:val="007D706F"/>
    <w:rsid w:val="007D711B"/>
    <w:rsid w:val="007D71C1"/>
    <w:rsid w:val="007D72CD"/>
    <w:rsid w:val="007D73CA"/>
    <w:rsid w:val="007D73E8"/>
    <w:rsid w:val="007D7406"/>
    <w:rsid w:val="007D7611"/>
    <w:rsid w:val="007D767F"/>
    <w:rsid w:val="007D76FC"/>
    <w:rsid w:val="007D770B"/>
    <w:rsid w:val="007D7757"/>
    <w:rsid w:val="007D7924"/>
    <w:rsid w:val="007D79CB"/>
    <w:rsid w:val="007D7A47"/>
    <w:rsid w:val="007D7A4B"/>
    <w:rsid w:val="007D7AF1"/>
    <w:rsid w:val="007D7BEB"/>
    <w:rsid w:val="007D7BEF"/>
    <w:rsid w:val="007D7C65"/>
    <w:rsid w:val="007D7C8C"/>
    <w:rsid w:val="007D7D56"/>
    <w:rsid w:val="007D7E18"/>
    <w:rsid w:val="007D7EE1"/>
    <w:rsid w:val="007D7F5D"/>
    <w:rsid w:val="007D7F6D"/>
    <w:rsid w:val="007D7FFC"/>
    <w:rsid w:val="007E00CE"/>
    <w:rsid w:val="007E00E3"/>
    <w:rsid w:val="007E00F7"/>
    <w:rsid w:val="007E01C5"/>
    <w:rsid w:val="007E021A"/>
    <w:rsid w:val="007E0231"/>
    <w:rsid w:val="007E04B2"/>
    <w:rsid w:val="007E0629"/>
    <w:rsid w:val="007E0751"/>
    <w:rsid w:val="007E084E"/>
    <w:rsid w:val="007E0907"/>
    <w:rsid w:val="007E0929"/>
    <w:rsid w:val="007E09DA"/>
    <w:rsid w:val="007E0A4C"/>
    <w:rsid w:val="007E0B37"/>
    <w:rsid w:val="007E0B45"/>
    <w:rsid w:val="007E0C55"/>
    <w:rsid w:val="007E0C61"/>
    <w:rsid w:val="007E0C8F"/>
    <w:rsid w:val="007E0CB3"/>
    <w:rsid w:val="007E0CD9"/>
    <w:rsid w:val="007E0D05"/>
    <w:rsid w:val="007E0D16"/>
    <w:rsid w:val="007E0D7A"/>
    <w:rsid w:val="007E0E01"/>
    <w:rsid w:val="007E1048"/>
    <w:rsid w:val="007E12A3"/>
    <w:rsid w:val="007E1346"/>
    <w:rsid w:val="007E1352"/>
    <w:rsid w:val="007E13B4"/>
    <w:rsid w:val="007E1444"/>
    <w:rsid w:val="007E1465"/>
    <w:rsid w:val="007E147C"/>
    <w:rsid w:val="007E147E"/>
    <w:rsid w:val="007E1488"/>
    <w:rsid w:val="007E14E4"/>
    <w:rsid w:val="007E158F"/>
    <w:rsid w:val="007E1715"/>
    <w:rsid w:val="007E173D"/>
    <w:rsid w:val="007E17D6"/>
    <w:rsid w:val="007E1987"/>
    <w:rsid w:val="007E19B1"/>
    <w:rsid w:val="007E19D3"/>
    <w:rsid w:val="007E1A4C"/>
    <w:rsid w:val="007E1AA5"/>
    <w:rsid w:val="007E1B3C"/>
    <w:rsid w:val="007E1B66"/>
    <w:rsid w:val="007E1BE0"/>
    <w:rsid w:val="007E1BFF"/>
    <w:rsid w:val="007E1CB4"/>
    <w:rsid w:val="007E1CBA"/>
    <w:rsid w:val="007E1CED"/>
    <w:rsid w:val="007E1D20"/>
    <w:rsid w:val="007E1E4C"/>
    <w:rsid w:val="007E1E61"/>
    <w:rsid w:val="007E1F4F"/>
    <w:rsid w:val="007E1FE1"/>
    <w:rsid w:val="007E203C"/>
    <w:rsid w:val="007E20F5"/>
    <w:rsid w:val="007E218D"/>
    <w:rsid w:val="007E221A"/>
    <w:rsid w:val="007E2278"/>
    <w:rsid w:val="007E22E7"/>
    <w:rsid w:val="007E23B3"/>
    <w:rsid w:val="007E240E"/>
    <w:rsid w:val="007E252B"/>
    <w:rsid w:val="007E2595"/>
    <w:rsid w:val="007E28BE"/>
    <w:rsid w:val="007E28DA"/>
    <w:rsid w:val="007E2A7B"/>
    <w:rsid w:val="007E2AB5"/>
    <w:rsid w:val="007E2ADF"/>
    <w:rsid w:val="007E2D75"/>
    <w:rsid w:val="007E2D96"/>
    <w:rsid w:val="007E2E0C"/>
    <w:rsid w:val="007E2E38"/>
    <w:rsid w:val="007E2ECF"/>
    <w:rsid w:val="007E2FF6"/>
    <w:rsid w:val="007E30A8"/>
    <w:rsid w:val="007E31B6"/>
    <w:rsid w:val="007E3640"/>
    <w:rsid w:val="007E3679"/>
    <w:rsid w:val="007E367A"/>
    <w:rsid w:val="007E36F1"/>
    <w:rsid w:val="007E3704"/>
    <w:rsid w:val="007E3706"/>
    <w:rsid w:val="007E38C1"/>
    <w:rsid w:val="007E390B"/>
    <w:rsid w:val="007E3AFA"/>
    <w:rsid w:val="007E3B13"/>
    <w:rsid w:val="007E3B54"/>
    <w:rsid w:val="007E3DB8"/>
    <w:rsid w:val="007E3DED"/>
    <w:rsid w:val="007E3E15"/>
    <w:rsid w:val="007E3E32"/>
    <w:rsid w:val="007E3E55"/>
    <w:rsid w:val="007E3F42"/>
    <w:rsid w:val="007E4115"/>
    <w:rsid w:val="007E4185"/>
    <w:rsid w:val="007E41DA"/>
    <w:rsid w:val="007E44CD"/>
    <w:rsid w:val="007E44CE"/>
    <w:rsid w:val="007E46C5"/>
    <w:rsid w:val="007E471D"/>
    <w:rsid w:val="007E4753"/>
    <w:rsid w:val="007E4946"/>
    <w:rsid w:val="007E4A8B"/>
    <w:rsid w:val="007E4B2B"/>
    <w:rsid w:val="007E4C93"/>
    <w:rsid w:val="007E4E03"/>
    <w:rsid w:val="007E4F12"/>
    <w:rsid w:val="007E4F15"/>
    <w:rsid w:val="007E5053"/>
    <w:rsid w:val="007E536D"/>
    <w:rsid w:val="007E542B"/>
    <w:rsid w:val="007E5454"/>
    <w:rsid w:val="007E5493"/>
    <w:rsid w:val="007E54C7"/>
    <w:rsid w:val="007E56DD"/>
    <w:rsid w:val="007E56E5"/>
    <w:rsid w:val="007E57F0"/>
    <w:rsid w:val="007E5824"/>
    <w:rsid w:val="007E58B3"/>
    <w:rsid w:val="007E5BBF"/>
    <w:rsid w:val="007E5C78"/>
    <w:rsid w:val="007E5E11"/>
    <w:rsid w:val="007E5E75"/>
    <w:rsid w:val="007E5F12"/>
    <w:rsid w:val="007E5F97"/>
    <w:rsid w:val="007E5F9B"/>
    <w:rsid w:val="007E615C"/>
    <w:rsid w:val="007E6195"/>
    <w:rsid w:val="007E6212"/>
    <w:rsid w:val="007E63B9"/>
    <w:rsid w:val="007E65E4"/>
    <w:rsid w:val="007E66A0"/>
    <w:rsid w:val="007E676A"/>
    <w:rsid w:val="007E69FA"/>
    <w:rsid w:val="007E6A5E"/>
    <w:rsid w:val="007E6B92"/>
    <w:rsid w:val="007E6BFB"/>
    <w:rsid w:val="007E6CBF"/>
    <w:rsid w:val="007E6E30"/>
    <w:rsid w:val="007E6EC9"/>
    <w:rsid w:val="007E6EE5"/>
    <w:rsid w:val="007E6EFE"/>
    <w:rsid w:val="007E6F41"/>
    <w:rsid w:val="007E6F45"/>
    <w:rsid w:val="007E6FE1"/>
    <w:rsid w:val="007E70CB"/>
    <w:rsid w:val="007E71A9"/>
    <w:rsid w:val="007E71FF"/>
    <w:rsid w:val="007E7388"/>
    <w:rsid w:val="007E745C"/>
    <w:rsid w:val="007E74CF"/>
    <w:rsid w:val="007E74FF"/>
    <w:rsid w:val="007E757E"/>
    <w:rsid w:val="007E75F1"/>
    <w:rsid w:val="007E7709"/>
    <w:rsid w:val="007E770C"/>
    <w:rsid w:val="007E7722"/>
    <w:rsid w:val="007E7803"/>
    <w:rsid w:val="007E7B1A"/>
    <w:rsid w:val="007E7B7F"/>
    <w:rsid w:val="007E7BCB"/>
    <w:rsid w:val="007E7C0C"/>
    <w:rsid w:val="007E7C22"/>
    <w:rsid w:val="007E7E3E"/>
    <w:rsid w:val="007E7E5E"/>
    <w:rsid w:val="007E7F21"/>
    <w:rsid w:val="007E7F46"/>
    <w:rsid w:val="007E7F89"/>
    <w:rsid w:val="007E7FDF"/>
    <w:rsid w:val="007F00E6"/>
    <w:rsid w:val="007F019B"/>
    <w:rsid w:val="007F0285"/>
    <w:rsid w:val="007F032B"/>
    <w:rsid w:val="007F034B"/>
    <w:rsid w:val="007F03A6"/>
    <w:rsid w:val="007F03A8"/>
    <w:rsid w:val="007F03BE"/>
    <w:rsid w:val="007F0416"/>
    <w:rsid w:val="007F051B"/>
    <w:rsid w:val="007F0529"/>
    <w:rsid w:val="007F0635"/>
    <w:rsid w:val="007F076F"/>
    <w:rsid w:val="007F0838"/>
    <w:rsid w:val="007F089B"/>
    <w:rsid w:val="007F09F5"/>
    <w:rsid w:val="007F0B7F"/>
    <w:rsid w:val="007F0CA4"/>
    <w:rsid w:val="007F0CDB"/>
    <w:rsid w:val="007F0CDF"/>
    <w:rsid w:val="007F0D76"/>
    <w:rsid w:val="007F0E19"/>
    <w:rsid w:val="007F0E47"/>
    <w:rsid w:val="007F0E86"/>
    <w:rsid w:val="007F0F93"/>
    <w:rsid w:val="007F0FEE"/>
    <w:rsid w:val="007F1173"/>
    <w:rsid w:val="007F117B"/>
    <w:rsid w:val="007F1209"/>
    <w:rsid w:val="007F1280"/>
    <w:rsid w:val="007F12C6"/>
    <w:rsid w:val="007F130C"/>
    <w:rsid w:val="007F13A9"/>
    <w:rsid w:val="007F1407"/>
    <w:rsid w:val="007F1491"/>
    <w:rsid w:val="007F149D"/>
    <w:rsid w:val="007F1558"/>
    <w:rsid w:val="007F1642"/>
    <w:rsid w:val="007F166F"/>
    <w:rsid w:val="007F16F3"/>
    <w:rsid w:val="007F1831"/>
    <w:rsid w:val="007F1891"/>
    <w:rsid w:val="007F18A4"/>
    <w:rsid w:val="007F1941"/>
    <w:rsid w:val="007F1A48"/>
    <w:rsid w:val="007F1A68"/>
    <w:rsid w:val="007F1A98"/>
    <w:rsid w:val="007F1AA0"/>
    <w:rsid w:val="007F1ABB"/>
    <w:rsid w:val="007F1AE0"/>
    <w:rsid w:val="007F1B52"/>
    <w:rsid w:val="007F1D7A"/>
    <w:rsid w:val="007F1D8A"/>
    <w:rsid w:val="007F1DFE"/>
    <w:rsid w:val="007F2001"/>
    <w:rsid w:val="007F213B"/>
    <w:rsid w:val="007F2295"/>
    <w:rsid w:val="007F2397"/>
    <w:rsid w:val="007F2441"/>
    <w:rsid w:val="007F2492"/>
    <w:rsid w:val="007F2594"/>
    <w:rsid w:val="007F25BE"/>
    <w:rsid w:val="007F25C0"/>
    <w:rsid w:val="007F25D8"/>
    <w:rsid w:val="007F261B"/>
    <w:rsid w:val="007F2705"/>
    <w:rsid w:val="007F283B"/>
    <w:rsid w:val="007F2865"/>
    <w:rsid w:val="007F2875"/>
    <w:rsid w:val="007F2891"/>
    <w:rsid w:val="007F2A75"/>
    <w:rsid w:val="007F2AB7"/>
    <w:rsid w:val="007F2AED"/>
    <w:rsid w:val="007F2B09"/>
    <w:rsid w:val="007F2BEE"/>
    <w:rsid w:val="007F2C7E"/>
    <w:rsid w:val="007F2C8D"/>
    <w:rsid w:val="007F2CF2"/>
    <w:rsid w:val="007F2E75"/>
    <w:rsid w:val="007F2EF2"/>
    <w:rsid w:val="007F3004"/>
    <w:rsid w:val="007F314C"/>
    <w:rsid w:val="007F3154"/>
    <w:rsid w:val="007F3201"/>
    <w:rsid w:val="007F33D4"/>
    <w:rsid w:val="007F346F"/>
    <w:rsid w:val="007F349A"/>
    <w:rsid w:val="007F359F"/>
    <w:rsid w:val="007F3654"/>
    <w:rsid w:val="007F38AC"/>
    <w:rsid w:val="007F3994"/>
    <w:rsid w:val="007F3A11"/>
    <w:rsid w:val="007F3BD8"/>
    <w:rsid w:val="007F3D1D"/>
    <w:rsid w:val="007F3E55"/>
    <w:rsid w:val="007F3EB3"/>
    <w:rsid w:val="007F408A"/>
    <w:rsid w:val="007F4106"/>
    <w:rsid w:val="007F424D"/>
    <w:rsid w:val="007F4264"/>
    <w:rsid w:val="007F4274"/>
    <w:rsid w:val="007F42A4"/>
    <w:rsid w:val="007F432F"/>
    <w:rsid w:val="007F4480"/>
    <w:rsid w:val="007F4490"/>
    <w:rsid w:val="007F4530"/>
    <w:rsid w:val="007F45A7"/>
    <w:rsid w:val="007F46FE"/>
    <w:rsid w:val="007F4720"/>
    <w:rsid w:val="007F47CE"/>
    <w:rsid w:val="007F4860"/>
    <w:rsid w:val="007F4926"/>
    <w:rsid w:val="007F49B2"/>
    <w:rsid w:val="007F4A53"/>
    <w:rsid w:val="007F4A60"/>
    <w:rsid w:val="007F4AD2"/>
    <w:rsid w:val="007F4AE4"/>
    <w:rsid w:val="007F4B4A"/>
    <w:rsid w:val="007F4C9F"/>
    <w:rsid w:val="007F4D23"/>
    <w:rsid w:val="007F4E03"/>
    <w:rsid w:val="007F4EE0"/>
    <w:rsid w:val="007F4FD3"/>
    <w:rsid w:val="007F5031"/>
    <w:rsid w:val="007F51C3"/>
    <w:rsid w:val="007F5370"/>
    <w:rsid w:val="007F539A"/>
    <w:rsid w:val="007F542C"/>
    <w:rsid w:val="007F54B1"/>
    <w:rsid w:val="007F55B3"/>
    <w:rsid w:val="007F5610"/>
    <w:rsid w:val="007F566F"/>
    <w:rsid w:val="007F5678"/>
    <w:rsid w:val="007F579E"/>
    <w:rsid w:val="007F58FB"/>
    <w:rsid w:val="007F5A62"/>
    <w:rsid w:val="007F5C98"/>
    <w:rsid w:val="007F5D78"/>
    <w:rsid w:val="007F5DBE"/>
    <w:rsid w:val="007F5DD9"/>
    <w:rsid w:val="007F5EDC"/>
    <w:rsid w:val="007F5FF9"/>
    <w:rsid w:val="007F6025"/>
    <w:rsid w:val="007F60A8"/>
    <w:rsid w:val="007F61B0"/>
    <w:rsid w:val="007F622F"/>
    <w:rsid w:val="007F6267"/>
    <w:rsid w:val="007F62EC"/>
    <w:rsid w:val="007F637E"/>
    <w:rsid w:val="007F648B"/>
    <w:rsid w:val="007F64D8"/>
    <w:rsid w:val="007F6504"/>
    <w:rsid w:val="007F6604"/>
    <w:rsid w:val="007F674E"/>
    <w:rsid w:val="007F6785"/>
    <w:rsid w:val="007F6786"/>
    <w:rsid w:val="007F67BD"/>
    <w:rsid w:val="007F67C8"/>
    <w:rsid w:val="007F6809"/>
    <w:rsid w:val="007F681C"/>
    <w:rsid w:val="007F6827"/>
    <w:rsid w:val="007F6829"/>
    <w:rsid w:val="007F684F"/>
    <w:rsid w:val="007F6855"/>
    <w:rsid w:val="007F6AD9"/>
    <w:rsid w:val="007F6D60"/>
    <w:rsid w:val="007F6DDA"/>
    <w:rsid w:val="007F6E2B"/>
    <w:rsid w:val="007F6E81"/>
    <w:rsid w:val="007F71B0"/>
    <w:rsid w:val="007F7221"/>
    <w:rsid w:val="007F7248"/>
    <w:rsid w:val="007F7283"/>
    <w:rsid w:val="007F72A8"/>
    <w:rsid w:val="007F7342"/>
    <w:rsid w:val="007F737A"/>
    <w:rsid w:val="007F7530"/>
    <w:rsid w:val="007F78D6"/>
    <w:rsid w:val="007F7913"/>
    <w:rsid w:val="007F7920"/>
    <w:rsid w:val="007F7942"/>
    <w:rsid w:val="007F79B8"/>
    <w:rsid w:val="007F79D5"/>
    <w:rsid w:val="007F7A03"/>
    <w:rsid w:val="007F7A51"/>
    <w:rsid w:val="007F7A69"/>
    <w:rsid w:val="007F7B59"/>
    <w:rsid w:val="007F7B72"/>
    <w:rsid w:val="007F7BCC"/>
    <w:rsid w:val="007F7BD5"/>
    <w:rsid w:val="007F7BF4"/>
    <w:rsid w:val="007F7CBE"/>
    <w:rsid w:val="007F7D25"/>
    <w:rsid w:val="007F7DE5"/>
    <w:rsid w:val="007F7DFD"/>
    <w:rsid w:val="007F7E62"/>
    <w:rsid w:val="007F7F45"/>
    <w:rsid w:val="007F7F47"/>
    <w:rsid w:val="007F7F5F"/>
    <w:rsid w:val="00800034"/>
    <w:rsid w:val="00800056"/>
    <w:rsid w:val="008000EA"/>
    <w:rsid w:val="00800199"/>
    <w:rsid w:val="00800246"/>
    <w:rsid w:val="00800254"/>
    <w:rsid w:val="00800338"/>
    <w:rsid w:val="0080034B"/>
    <w:rsid w:val="00800388"/>
    <w:rsid w:val="0080043B"/>
    <w:rsid w:val="0080045A"/>
    <w:rsid w:val="00800462"/>
    <w:rsid w:val="008004F2"/>
    <w:rsid w:val="008005FE"/>
    <w:rsid w:val="008005FF"/>
    <w:rsid w:val="0080061A"/>
    <w:rsid w:val="0080068A"/>
    <w:rsid w:val="008006F2"/>
    <w:rsid w:val="008006FB"/>
    <w:rsid w:val="0080075C"/>
    <w:rsid w:val="00800854"/>
    <w:rsid w:val="0080087A"/>
    <w:rsid w:val="008008B8"/>
    <w:rsid w:val="008008BE"/>
    <w:rsid w:val="008009BD"/>
    <w:rsid w:val="008009FB"/>
    <w:rsid w:val="00800B88"/>
    <w:rsid w:val="00800BC0"/>
    <w:rsid w:val="00800C1D"/>
    <w:rsid w:val="00800C62"/>
    <w:rsid w:val="00800EA3"/>
    <w:rsid w:val="00800F85"/>
    <w:rsid w:val="00801084"/>
    <w:rsid w:val="008010E8"/>
    <w:rsid w:val="00801272"/>
    <w:rsid w:val="008012B6"/>
    <w:rsid w:val="00801301"/>
    <w:rsid w:val="008013F0"/>
    <w:rsid w:val="008014B0"/>
    <w:rsid w:val="0080157F"/>
    <w:rsid w:val="008015F8"/>
    <w:rsid w:val="0080163F"/>
    <w:rsid w:val="0080167E"/>
    <w:rsid w:val="0080170F"/>
    <w:rsid w:val="00801944"/>
    <w:rsid w:val="00801A41"/>
    <w:rsid w:val="00801A82"/>
    <w:rsid w:val="00801A9A"/>
    <w:rsid w:val="00801B05"/>
    <w:rsid w:val="00801BAB"/>
    <w:rsid w:val="00801BBC"/>
    <w:rsid w:val="00801BE4"/>
    <w:rsid w:val="00801C78"/>
    <w:rsid w:val="00801D80"/>
    <w:rsid w:val="00801E1D"/>
    <w:rsid w:val="00801EC3"/>
    <w:rsid w:val="00801F34"/>
    <w:rsid w:val="00802081"/>
    <w:rsid w:val="008020D1"/>
    <w:rsid w:val="00802137"/>
    <w:rsid w:val="00802162"/>
    <w:rsid w:val="008021BC"/>
    <w:rsid w:val="0080223B"/>
    <w:rsid w:val="008022A0"/>
    <w:rsid w:val="0080232E"/>
    <w:rsid w:val="0080259F"/>
    <w:rsid w:val="00802621"/>
    <w:rsid w:val="00802639"/>
    <w:rsid w:val="008027D1"/>
    <w:rsid w:val="008027D6"/>
    <w:rsid w:val="008028B8"/>
    <w:rsid w:val="00802994"/>
    <w:rsid w:val="00802996"/>
    <w:rsid w:val="008029FB"/>
    <w:rsid w:val="00802A6F"/>
    <w:rsid w:val="00802A72"/>
    <w:rsid w:val="00802ACC"/>
    <w:rsid w:val="00802AF5"/>
    <w:rsid w:val="00802B34"/>
    <w:rsid w:val="00802B51"/>
    <w:rsid w:val="00802BE6"/>
    <w:rsid w:val="00802C99"/>
    <w:rsid w:val="00802D23"/>
    <w:rsid w:val="00802DB4"/>
    <w:rsid w:val="00802DBF"/>
    <w:rsid w:val="00802DDF"/>
    <w:rsid w:val="00802EA1"/>
    <w:rsid w:val="00802F12"/>
    <w:rsid w:val="00802F7C"/>
    <w:rsid w:val="00802FC9"/>
    <w:rsid w:val="00802FD2"/>
    <w:rsid w:val="008030ED"/>
    <w:rsid w:val="0080315F"/>
    <w:rsid w:val="00803161"/>
    <w:rsid w:val="00803170"/>
    <w:rsid w:val="0080317A"/>
    <w:rsid w:val="008032FF"/>
    <w:rsid w:val="0080333C"/>
    <w:rsid w:val="00803385"/>
    <w:rsid w:val="008033BF"/>
    <w:rsid w:val="0080342E"/>
    <w:rsid w:val="0080356C"/>
    <w:rsid w:val="008036FF"/>
    <w:rsid w:val="00803795"/>
    <w:rsid w:val="0080383B"/>
    <w:rsid w:val="00803896"/>
    <w:rsid w:val="00803997"/>
    <w:rsid w:val="00803BF3"/>
    <w:rsid w:val="00803CF4"/>
    <w:rsid w:val="00803DEF"/>
    <w:rsid w:val="00803E09"/>
    <w:rsid w:val="00803E17"/>
    <w:rsid w:val="00803F49"/>
    <w:rsid w:val="00803F74"/>
    <w:rsid w:val="0080401C"/>
    <w:rsid w:val="00804084"/>
    <w:rsid w:val="008041E1"/>
    <w:rsid w:val="0080424D"/>
    <w:rsid w:val="0080424E"/>
    <w:rsid w:val="008045B7"/>
    <w:rsid w:val="008046C8"/>
    <w:rsid w:val="008046E7"/>
    <w:rsid w:val="00804763"/>
    <w:rsid w:val="00804771"/>
    <w:rsid w:val="00804795"/>
    <w:rsid w:val="008047FE"/>
    <w:rsid w:val="00804865"/>
    <w:rsid w:val="00804884"/>
    <w:rsid w:val="008049C7"/>
    <w:rsid w:val="00804A4F"/>
    <w:rsid w:val="00804A66"/>
    <w:rsid w:val="00804B29"/>
    <w:rsid w:val="00804B2B"/>
    <w:rsid w:val="00804D4C"/>
    <w:rsid w:val="00804DF0"/>
    <w:rsid w:val="00804F07"/>
    <w:rsid w:val="00804F24"/>
    <w:rsid w:val="00804F4D"/>
    <w:rsid w:val="00805020"/>
    <w:rsid w:val="0080510B"/>
    <w:rsid w:val="00805117"/>
    <w:rsid w:val="0080523A"/>
    <w:rsid w:val="008052E4"/>
    <w:rsid w:val="00805305"/>
    <w:rsid w:val="00805363"/>
    <w:rsid w:val="00805450"/>
    <w:rsid w:val="00805599"/>
    <w:rsid w:val="008056AF"/>
    <w:rsid w:val="00805751"/>
    <w:rsid w:val="00805783"/>
    <w:rsid w:val="008057EC"/>
    <w:rsid w:val="008057FE"/>
    <w:rsid w:val="008059C3"/>
    <w:rsid w:val="00805A63"/>
    <w:rsid w:val="00805AB0"/>
    <w:rsid w:val="00805B3E"/>
    <w:rsid w:val="00805BBF"/>
    <w:rsid w:val="00805C67"/>
    <w:rsid w:val="00805C94"/>
    <w:rsid w:val="00805D12"/>
    <w:rsid w:val="00805D35"/>
    <w:rsid w:val="00805D63"/>
    <w:rsid w:val="00805F08"/>
    <w:rsid w:val="00805F13"/>
    <w:rsid w:val="00805FB9"/>
    <w:rsid w:val="00805FD5"/>
    <w:rsid w:val="00806161"/>
    <w:rsid w:val="00806202"/>
    <w:rsid w:val="008062D6"/>
    <w:rsid w:val="00806397"/>
    <w:rsid w:val="008063BA"/>
    <w:rsid w:val="008063CB"/>
    <w:rsid w:val="008065AF"/>
    <w:rsid w:val="008066AC"/>
    <w:rsid w:val="008066F0"/>
    <w:rsid w:val="008066F6"/>
    <w:rsid w:val="008066F8"/>
    <w:rsid w:val="00806936"/>
    <w:rsid w:val="00806A31"/>
    <w:rsid w:val="00806AD2"/>
    <w:rsid w:val="00806BBA"/>
    <w:rsid w:val="00806BBB"/>
    <w:rsid w:val="00806C66"/>
    <w:rsid w:val="00806CA9"/>
    <w:rsid w:val="00806CE8"/>
    <w:rsid w:val="00806D32"/>
    <w:rsid w:val="00806D98"/>
    <w:rsid w:val="00806E37"/>
    <w:rsid w:val="00806EE7"/>
    <w:rsid w:val="00806FE2"/>
    <w:rsid w:val="008070DD"/>
    <w:rsid w:val="008073FA"/>
    <w:rsid w:val="00807401"/>
    <w:rsid w:val="008074A1"/>
    <w:rsid w:val="008075EE"/>
    <w:rsid w:val="00807622"/>
    <w:rsid w:val="00807658"/>
    <w:rsid w:val="008076E1"/>
    <w:rsid w:val="00807933"/>
    <w:rsid w:val="00807ABE"/>
    <w:rsid w:val="00807AFD"/>
    <w:rsid w:val="00807BE0"/>
    <w:rsid w:val="00807C09"/>
    <w:rsid w:val="00807CC9"/>
    <w:rsid w:val="00807D09"/>
    <w:rsid w:val="00807D0D"/>
    <w:rsid w:val="00807D0F"/>
    <w:rsid w:val="00807E3D"/>
    <w:rsid w:val="00809B14"/>
    <w:rsid w:val="008102C8"/>
    <w:rsid w:val="0081047A"/>
    <w:rsid w:val="00810550"/>
    <w:rsid w:val="008106D9"/>
    <w:rsid w:val="0081077C"/>
    <w:rsid w:val="008107A4"/>
    <w:rsid w:val="0081083D"/>
    <w:rsid w:val="00810894"/>
    <w:rsid w:val="00810897"/>
    <w:rsid w:val="008108CB"/>
    <w:rsid w:val="0081091A"/>
    <w:rsid w:val="00810A3E"/>
    <w:rsid w:val="00810A57"/>
    <w:rsid w:val="00810AD1"/>
    <w:rsid w:val="00810B09"/>
    <w:rsid w:val="00810B15"/>
    <w:rsid w:val="00810B60"/>
    <w:rsid w:val="00810B6E"/>
    <w:rsid w:val="00810C56"/>
    <w:rsid w:val="00810C71"/>
    <w:rsid w:val="00810DDB"/>
    <w:rsid w:val="00810E8B"/>
    <w:rsid w:val="00810FB3"/>
    <w:rsid w:val="00810FEA"/>
    <w:rsid w:val="00811015"/>
    <w:rsid w:val="00811336"/>
    <w:rsid w:val="0081137F"/>
    <w:rsid w:val="0081142B"/>
    <w:rsid w:val="0081152C"/>
    <w:rsid w:val="0081153E"/>
    <w:rsid w:val="00811660"/>
    <w:rsid w:val="008117C0"/>
    <w:rsid w:val="00811807"/>
    <w:rsid w:val="00811A2D"/>
    <w:rsid w:val="00811AE8"/>
    <w:rsid w:val="00811B8E"/>
    <w:rsid w:val="00811C49"/>
    <w:rsid w:val="00811E64"/>
    <w:rsid w:val="0081201A"/>
    <w:rsid w:val="008121F6"/>
    <w:rsid w:val="00812206"/>
    <w:rsid w:val="0081228B"/>
    <w:rsid w:val="008122D9"/>
    <w:rsid w:val="008123FC"/>
    <w:rsid w:val="00812592"/>
    <w:rsid w:val="008125DD"/>
    <w:rsid w:val="00812614"/>
    <w:rsid w:val="008126F2"/>
    <w:rsid w:val="0081272E"/>
    <w:rsid w:val="00812739"/>
    <w:rsid w:val="008127B4"/>
    <w:rsid w:val="008127F0"/>
    <w:rsid w:val="0081285C"/>
    <w:rsid w:val="008129DF"/>
    <w:rsid w:val="008129F2"/>
    <w:rsid w:val="00812B26"/>
    <w:rsid w:val="00812B2A"/>
    <w:rsid w:val="00812CF8"/>
    <w:rsid w:val="00812D6C"/>
    <w:rsid w:val="00812E83"/>
    <w:rsid w:val="00812EE6"/>
    <w:rsid w:val="00812EE7"/>
    <w:rsid w:val="00812FE7"/>
    <w:rsid w:val="0081322D"/>
    <w:rsid w:val="008132F1"/>
    <w:rsid w:val="0081338A"/>
    <w:rsid w:val="00813399"/>
    <w:rsid w:val="008133A8"/>
    <w:rsid w:val="008134C5"/>
    <w:rsid w:val="0081351D"/>
    <w:rsid w:val="00813629"/>
    <w:rsid w:val="00813748"/>
    <w:rsid w:val="00813818"/>
    <w:rsid w:val="0081390E"/>
    <w:rsid w:val="00813AC1"/>
    <w:rsid w:val="00813B77"/>
    <w:rsid w:val="00813CEA"/>
    <w:rsid w:val="00813D1E"/>
    <w:rsid w:val="00813D5F"/>
    <w:rsid w:val="00813EBE"/>
    <w:rsid w:val="00813F20"/>
    <w:rsid w:val="00813F38"/>
    <w:rsid w:val="00813FE8"/>
    <w:rsid w:val="00814024"/>
    <w:rsid w:val="008140B2"/>
    <w:rsid w:val="00814180"/>
    <w:rsid w:val="00814312"/>
    <w:rsid w:val="0081432D"/>
    <w:rsid w:val="0081437D"/>
    <w:rsid w:val="0081437F"/>
    <w:rsid w:val="008146FC"/>
    <w:rsid w:val="008149AF"/>
    <w:rsid w:val="008149CF"/>
    <w:rsid w:val="00814A2B"/>
    <w:rsid w:val="00814A89"/>
    <w:rsid w:val="00814B70"/>
    <w:rsid w:val="00814B8E"/>
    <w:rsid w:val="00814C1C"/>
    <w:rsid w:val="00814C41"/>
    <w:rsid w:val="00814C67"/>
    <w:rsid w:val="00814CA1"/>
    <w:rsid w:val="00814CEF"/>
    <w:rsid w:val="00814D9B"/>
    <w:rsid w:val="00814DA8"/>
    <w:rsid w:val="00814E0F"/>
    <w:rsid w:val="00814F5E"/>
    <w:rsid w:val="00814F6D"/>
    <w:rsid w:val="00814FBE"/>
    <w:rsid w:val="00814FFA"/>
    <w:rsid w:val="00815075"/>
    <w:rsid w:val="00815088"/>
    <w:rsid w:val="008150F7"/>
    <w:rsid w:val="008152B4"/>
    <w:rsid w:val="008152E9"/>
    <w:rsid w:val="00815365"/>
    <w:rsid w:val="008154C1"/>
    <w:rsid w:val="0081563E"/>
    <w:rsid w:val="008156C7"/>
    <w:rsid w:val="008158E4"/>
    <w:rsid w:val="008159CE"/>
    <w:rsid w:val="00815A27"/>
    <w:rsid w:val="00815A9B"/>
    <w:rsid w:val="00815AA2"/>
    <w:rsid w:val="00815BB8"/>
    <w:rsid w:val="00815BFB"/>
    <w:rsid w:val="00815C27"/>
    <w:rsid w:val="00815C4B"/>
    <w:rsid w:val="00815F84"/>
    <w:rsid w:val="00815FB9"/>
    <w:rsid w:val="00816190"/>
    <w:rsid w:val="0081621D"/>
    <w:rsid w:val="008162F1"/>
    <w:rsid w:val="0081638E"/>
    <w:rsid w:val="008163CB"/>
    <w:rsid w:val="00816406"/>
    <w:rsid w:val="00816441"/>
    <w:rsid w:val="00816454"/>
    <w:rsid w:val="00816456"/>
    <w:rsid w:val="008164B5"/>
    <w:rsid w:val="00816548"/>
    <w:rsid w:val="0081654A"/>
    <w:rsid w:val="0081654B"/>
    <w:rsid w:val="008166C3"/>
    <w:rsid w:val="00816771"/>
    <w:rsid w:val="00816799"/>
    <w:rsid w:val="0081680F"/>
    <w:rsid w:val="0081683E"/>
    <w:rsid w:val="00816918"/>
    <w:rsid w:val="00816938"/>
    <w:rsid w:val="00816A0F"/>
    <w:rsid w:val="00816B65"/>
    <w:rsid w:val="00816B67"/>
    <w:rsid w:val="00816C8E"/>
    <w:rsid w:val="00816D19"/>
    <w:rsid w:val="00816D4D"/>
    <w:rsid w:val="00816D65"/>
    <w:rsid w:val="00816D6D"/>
    <w:rsid w:val="00816E5E"/>
    <w:rsid w:val="00816F22"/>
    <w:rsid w:val="00816F57"/>
    <w:rsid w:val="00817121"/>
    <w:rsid w:val="00817171"/>
    <w:rsid w:val="008171F9"/>
    <w:rsid w:val="0081730E"/>
    <w:rsid w:val="00817322"/>
    <w:rsid w:val="00817396"/>
    <w:rsid w:val="008173CD"/>
    <w:rsid w:val="00817457"/>
    <w:rsid w:val="00817465"/>
    <w:rsid w:val="00817525"/>
    <w:rsid w:val="0081766D"/>
    <w:rsid w:val="00817780"/>
    <w:rsid w:val="008178AB"/>
    <w:rsid w:val="008178CD"/>
    <w:rsid w:val="008179C4"/>
    <w:rsid w:val="00817B29"/>
    <w:rsid w:val="00817D05"/>
    <w:rsid w:val="00817FB9"/>
    <w:rsid w:val="0082012A"/>
    <w:rsid w:val="00820163"/>
    <w:rsid w:val="00820247"/>
    <w:rsid w:val="00820350"/>
    <w:rsid w:val="00820386"/>
    <w:rsid w:val="008203A3"/>
    <w:rsid w:val="008203AA"/>
    <w:rsid w:val="00820529"/>
    <w:rsid w:val="0082065A"/>
    <w:rsid w:val="008206B0"/>
    <w:rsid w:val="00820892"/>
    <w:rsid w:val="008208F1"/>
    <w:rsid w:val="008208F4"/>
    <w:rsid w:val="008208F9"/>
    <w:rsid w:val="00820948"/>
    <w:rsid w:val="008209A3"/>
    <w:rsid w:val="00820A52"/>
    <w:rsid w:val="00820A78"/>
    <w:rsid w:val="00820A7F"/>
    <w:rsid w:val="00820AF5"/>
    <w:rsid w:val="00820C5F"/>
    <w:rsid w:val="00820CE6"/>
    <w:rsid w:val="00820F63"/>
    <w:rsid w:val="00820F8D"/>
    <w:rsid w:val="00820FE0"/>
    <w:rsid w:val="008210F6"/>
    <w:rsid w:val="008211C7"/>
    <w:rsid w:val="0082134C"/>
    <w:rsid w:val="008213DB"/>
    <w:rsid w:val="008213FF"/>
    <w:rsid w:val="008214F7"/>
    <w:rsid w:val="00821700"/>
    <w:rsid w:val="008218E5"/>
    <w:rsid w:val="00821AE2"/>
    <w:rsid w:val="00821B2A"/>
    <w:rsid w:val="00821BC3"/>
    <w:rsid w:val="00821D86"/>
    <w:rsid w:val="00821D8C"/>
    <w:rsid w:val="00821E66"/>
    <w:rsid w:val="00821EE1"/>
    <w:rsid w:val="00821F04"/>
    <w:rsid w:val="00821F68"/>
    <w:rsid w:val="00821FC4"/>
    <w:rsid w:val="00822084"/>
    <w:rsid w:val="008220F3"/>
    <w:rsid w:val="00822128"/>
    <w:rsid w:val="00822151"/>
    <w:rsid w:val="00822430"/>
    <w:rsid w:val="00822592"/>
    <w:rsid w:val="00822681"/>
    <w:rsid w:val="00822715"/>
    <w:rsid w:val="00822762"/>
    <w:rsid w:val="008227BB"/>
    <w:rsid w:val="00822899"/>
    <w:rsid w:val="0082289F"/>
    <w:rsid w:val="008228A8"/>
    <w:rsid w:val="00822AB4"/>
    <w:rsid w:val="00822B03"/>
    <w:rsid w:val="00822BE8"/>
    <w:rsid w:val="00822C52"/>
    <w:rsid w:val="00822E0E"/>
    <w:rsid w:val="00822E22"/>
    <w:rsid w:val="00822E6E"/>
    <w:rsid w:val="00822EDE"/>
    <w:rsid w:val="0082304E"/>
    <w:rsid w:val="00823081"/>
    <w:rsid w:val="008233E6"/>
    <w:rsid w:val="008234BD"/>
    <w:rsid w:val="008234C1"/>
    <w:rsid w:val="008236F3"/>
    <w:rsid w:val="0082370C"/>
    <w:rsid w:val="00823785"/>
    <w:rsid w:val="00823844"/>
    <w:rsid w:val="008239AB"/>
    <w:rsid w:val="00823B05"/>
    <w:rsid w:val="00823CEB"/>
    <w:rsid w:val="00823E49"/>
    <w:rsid w:val="00823EDB"/>
    <w:rsid w:val="00823F00"/>
    <w:rsid w:val="00823F55"/>
    <w:rsid w:val="00823FDB"/>
    <w:rsid w:val="00823FF4"/>
    <w:rsid w:val="00823FF7"/>
    <w:rsid w:val="008240B2"/>
    <w:rsid w:val="0082423A"/>
    <w:rsid w:val="0082425B"/>
    <w:rsid w:val="00824298"/>
    <w:rsid w:val="00824330"/>
    <w:rsid w:val="0082441F"/>
    <w:rsid w:val="00824499"/>
    <w:rsid w:val="008244B1"/>
    <w:rsid w:val="008244E2"/>
    <w:rsid w:val="00824533"/>
    <w:rsid w:val="008246E2"/>
    <w:rsid w:val="008248D8"/>
    <w:rsid w:val="00824948"/>
    <w:rsid w:val="00824A45"/>
    <w:rsid w:val="00824AB1"/>
    <w:rsid w:val="00824C60"/>
    <w:rsid w:val="00824C96"/>
    <w:rsid w:val="00824CC2"/>
    <w:rsid w:val="00824EA8"/>
    <w:rsid w:val="00825086"/>
    <w:rsid w:val="008250C4"/>
    <w:rsid w:val="008250F2"/>
    <w:rsid w:val="008250FA"/>
    <w:rsid w:val="0082527B"/>
    <w:rsid w:val="008253ED"/>
    <w:rsid w:val="00825413"/>
    <w:rsid w:val="00825497"/>
    <w:rsid w:val="008254E1"/>
    <w:rsid w:val="00825517"/>
    <w:rsid w:val="00825653"/>
    <w:rsid w:val="0082568E"/>
    <w:rsid w:val="008256E3"/>
    <w:rsid w:val="008257DF"/>
    <w:rsid w:val="00825940"/>
    <w:rsid w:val="00825984"/>
    <w:rsid w:val="00825A9C"/>
    <w:rsid w:val="00825B77"/>
    <w:rsid w:val="00825C36"/>
    <w:rsid w:val="00825C37"/>
    <w:rsid w:val="00825C6C"/>
    <w:rsid w:val="00825C74"/>
    <w:rsid w:val="00825E63"/>
    <w:rsid w:val="00825E87"/>
    <w:rsid w:val="00825ED2"/>
    <w:rsid w:val="00825ED6"/>
    <w:rsid w:val="00825ED8"/>
    <w:rsid w:val="00825F0E"/>
    <w:rsid w:val="00825F8D"/>
    <w:rsid w:val="00825FA6"/>
    <w:rsid w:val="008260D6"/>
    <w:rsid w:val="008261B8"/>
    <w:rsid w:val="008261FD"/>
    <w:rsid w:val="0082629A"/>
    <w:rsid w:val="008262B2"/>
    <w:rsid w:val="008262E5"/>
    <w:rsid w:val="008263C5"/>
    <w:rsid w:val="00826456"/>
    <w:rsid w:val="0082645D"/>
    <w:rsid w:val="00826470"/>
    <w:rsid w:val="00826501"/>
    <w:rsid w:val="00826546"/>
    <w:rsid w:val="00826662"/>
    <w:rsid w:val="00826725"/>
    <w:rsid w:val="00826731"/>
    <w:rsid w:val="00826739"/>
    <w:rsid w:val="008267D6"/>
    <w:rsid w:val="0082681B"/>
    <w:rsid w:val="008269FD"/>
    <w:rsid w:val="00826B1C"/>
    <w:rsid w:val="00826CD9"/>
    <w:rsid w:val="00826D08"/>
    <w:rsid w:val="00826E35"/>
    <w:rsid w:val="00826E78"/>
    <w:rsid w:val="00826F06"/>
    <w:rsid w:val="0082718F"/>
    <w:rsid w:val="00827243"/>
    <w:rsid w:val="00827247"/>
    <w:rsid w:val="008273E0"/>
    <w:rsid w:val="00827449"/>
    <w:rsid w:val="008274CC"/>
    <w:rsid w:val="00827534"/>
    <w:rsid w:val="00827604"/>
    <w:rsid w:val="0082762C"/>
    <w:rsid w:val="00827649"/>
    <w:rsid w:val="00827663"/>
    <w:rsid w:val="00827750"/>
    <w:rsid w:val="008277D1"/>
    <w:rsid w:val="00827850"/>
    <w:rsid w:val="00827877"/>
    <w:rsid w:val="00827919"/>
    <w:rsid w:val="00827F69"/>
    <w:rsid w:val="00827FBC"/>
    <w:rsid w:val="00827FE9"/>
    <w:rsid w:val="0083000E"/>
    <w:rsid w:val="00830161"/>
    <w:rsid w:val="00830192"/>
    <w:rsid w:val="0083024B"/>
    <w:rsid w:val="00830389"/>
    <w:rsid w:val="0083038B"/>
    <w:rsid w:val="008303F5"/>
    <w:rsid w:val="008303FD"/>
    <w:rsid w:val="008304F8"/>
    <w:rsid w:val="00830504"/>
    <w:rsid w:val="0083059F"/>
    <w:rsid w:val="008305B3"/>
    <w:rsid w:val="00830674"/>
    <w:rsid w:val="00830716"/>
    <w:rsid w:val="00830734"/>
    <w:rsid w:val="0083073A"/>
    <w:rsid w:val="00830890"/>
    <w:rsid w:val="008308A9"/>
    <w:rsid w:val="00830919"/>
    <w:rsid w:val="00830936"/>
    <w:rsid w:val="00830A5E"/>
    <w:rsid w:val="00830AF7"/>
    <w:rsid w:val="00830BB0"/>
    <w:rsid w:val="00830C0B"/>
    <w:rsid w:val="00830C37"/>
    <w:rsid w:val="00830C5F"/>
    <w:rsid w:val="00830C81"/>
    <w:rsid w:val="00830C90"/>
    <w:rsid w:val="00830CFB"/>
    <w:rsid w:val="00830CFE"/>
    <w:rsid w:val="00830CFF"/>
    <w:rsid w:val="00830DC5"/>
    <w:rsid w:val="00830F3A"/>
    <w:rsid w:val="00830F9C"/>
    <w:rsid w:val="00830FAB"/>
    <w:rsid w:val="00831014"/>
    <w:rsid w:val="008310AB"/>
    <w:rsid w:val="00831104"/>
    <w:rsid w:val="00831125"/>
    <w:rsid w:val="0083122F"/>
    <w:rsid w:val="008312A9"/>
    <w:rsid w:val="00831356"/>
    <w:rsid w:val="008313F9"/>
    <w:rsid w:val="0083153A"/>
    <w:rsid w:val="008315B0"/>
    <w:rsid w:val="00831619"/>
    <w:rsid w:val="00831687"/>
    <w:rsid w:val="008316A1"/>
    <w:rsid w:val="00831731"/>
    <w:rsid w:val="0083177C"/>
    <w:rsid w:val="008317C3"/>
    <w:rsid w:val="008317CB"/>
    <w:rsid w:val="00831889"/>
    <w:rsid w:val="008318B1"/>
    <w:rsid w:val="0083199A"/>
    <w:rsid w:val="00831AC3"/>
    <w:rsid w:val="00831BF3"/>
    <w:rsid w:val="00831D1F"/>
    <w:rsid w:val="00831D24"/>
    <w:rsid w:val="00831D7F"/>
    <w:rsid w:val="008320A6"/>
    <w:rsid w:val="0083216E"/>
    <w:rsid w:val="0083237F"/>
    <w:rsid w:val="0083275D"/>
    <w:rsid w:val="008327FD"/>
    <w:rsid w:val="0083280D"/>
    <w:rsid w:val="00832883"/>
    <w:rsid w:val="0083288B"/>
    <w:rsid w:val="00832938"/>
    <w:rsid w:val="00832962"/>
    <w:rsid w:val="008329CE"/>
    <w:rsid w:val="008329DC"/>
    <w:rsid w:val="00832ABB"/>
    <w:rsid w:val="00832AE4"/>
    <w:rsid w:val="00832BEE"/>
    <w:rsid w:val="00832D19"/>
    <w:rsid w:val="00832D3F"/>
    <w:rsid w:val="00832E25"/>
    <w:rsid w:val="00832E63"/>
    <w:rsid w:val="00832EBB"/>
    <w:rsid w:val="00832F70"/>
    <w:rsid w:val="00832FB6"/>
    <w:rsid w:val="00833001"/>
    <w:rsid w:val="00833002"/>
    <w:rsid w:val="008330B4"/>
    <w:rsid w:val="00833267"/>
    <w:rsid w:val="008332F4"/>
    <w:rsid w:val="00833332"/>
    <w:rsid w:val="008333BC"/>
    <w:rsid w:val="00833624"/>
    <w:rsid w:val="00833757"/>
    <w:rsid w:val="00833777"/>
    <w:rsid w:val="008337D8"/>
    <w:rsid w:val="00833815"/>
    <w:rsid w:val="00833817"/>
    <w:rsid w:val="008338DF"/>
    <w:rsid w:val="00833A5A"/>
    <w:rsid w:val="00833B1C"/>
    <w:rsid w:val="00833B8C"/>
    <w:rsid w:val="00833B96"/>
    <w:rsid w:val="00833C39"/>
    <w:rsid w:val="00833D58"/>
    <w:rsid w:val="00833E20"/>
    <w:rsid w:val="00833E7B"/>
    <w:rsid w:val="00833ECF"/>
    <w:rsid w:val="00833F5F"/>
    <w:rsid w:val="00833F75"/>
    <w:rsid w:val="00833FCC"/>
    <w:rsid w:val="00833FD4"/>
    <w:rsid w:val="00834206"/>
    <w:rsid w:val="00834266"/>
    <w:rsid w:val="00834291"/>
    <w:rsid w:val="0083449C"/>
    <w:rsid w:val="008344A8"/>
    <w:rsid w:val="0083457C"/>
    <w:rsid w:val="0083462F"/>
    <w:rsid w:val="008346EE"/>
    <w:rsid w:val="008347A9"/>
    <w:rsid w:val="008347B3"/>
    <w:rsid w:val="008347D8"/>
    <w:rsid w:val="008349B7"/>
    <w:rsid w:val="00834A6F"/>
    <w:rsid w:val="00834A88"/>
    <w:rsid w:val="00834ADD"/>
    <w:rsid w:val="00834B7A"/>
    <w:rsid w:val="00835079"/>
    <w:rsid w:val="0083510F"/>
    <w:rsid w:val="008351CB"/>
    <w:rsid w:val="00835226"/>
    <w:rsid w:val="00835257"/>
    <w:rsid w:val="00835290"/>
    <w:rsid w:val="008352B4"/>
    <w:rsid w:val="008352C2"/>
    <w:rsid w:val="0083545C"/>
    <w:rsid w:val="0083550B"/>
    <w:rsid w:val="008356FD"/>
    <w:rsid w:val="00835713"/>
    <w:rsid w:val="00835756"/>
    <w:rsid w:val="0083576B"/>
    <w:rsid w:val="0083578E"/>
    <w:rsid w:val="00835790"/>
    <w:rsid w:val="00835905"/>
    <w:rsid w:val="0083599E"/>
    <w:rsid w:val="008359B2"/>
    <w:rsid w:val="008359E8"/>
    <w:rsid w:val="008359F3"/>
    <w:rsid w:val="00835AA4"/>
    <w:rsid w:val="00835AFA"/>
    <w:rsid w:val="00835DAF"/>
    <w:rsid w:val="00835E82"/>
    <w:rsid w:val="00835EB6"/>
    <w:rsid w:val="00836050"/>
    <w:rsid w:val="00836139"/>
    <w:rsid w:val="008362C5"/>
    <w:rsid w:val="00836305"/>
    <w:rsid w:val="00836374"/>
    <w:rsid w:val="008364DA"/>
    <w:rsid w:val="0083650B"/>
    <w:rsid w:val="00836666"/>
    <w:rsid w:val="008366DC"/>
    <w:rsid w:val="008366F2"/>
    <w:rsid w:val="00836744"/>
    <w:rsid w:val="00836766"/>
    <w:rsid w:val="0083676C"/>
    <w:rsid w:val="008367E7"/>
    <w:rsid w:val="00836955"/>
    <w:rsid w:val="00836A2D"/>
    <w:rsid w:val="00836A40"/>
    <w:rsid w:val="00836B32"/>
    <w:rsid w:val="00836C6B"/>
    <w:rsid w:val="00836C9A"/>
    <w:rsid w:val="00836CA1"/>
    <w:rsid w:val="00836E53"/>
    <w:rsid w:val="00836E8E"/>
    <w:rsid w:val="00836EE9"/>
    <w:rsid w:val="00836F7F"/>
    <w:rsid w:val="00836FF6"/>
    <w:rsid w:val="00836FFC"/>
    <w:rsid w:val="008370C6"/>
    <w:rsid w:val="00837385"/>
    <w:rsid w:val="00837391"/>
    <w:rsid w:val="0083741F"/>
    <w:rsid w:val="0083750A"/>
    <w:rsid w:val="00837603"/>
    <w:rsid w:val="00837815"/>
    <w:rsid w:val="008378DA"/>
    <w:rsid w:val="0083790B"/>
    <w:rsid w:val="008379BB"/>
    <w:rsid w:val="00837B95"/>
    <w:rsid w:val="00837DF9"/>
    <w:rsid w:val="00837DFC"/>
    <w:rsid w:val="00837EA7"/>
    <w:rsid w:val="00837F51"/>
    <w:rsid w:val="00837FAF"/>
    <w:rsid w:val="0084008E"/>
    <w:rsid w:val="0084022B"/>
    <w:rsid w:val="008402D5"/>
    <w:rsid w:val="00840503"/>
    <w:rsid w:val="00840530"/>
    <w:rsid w:val="0084064D"/>
    <w:rsid w:val="008406B4"/>
    <w:rsid w:val="008406E0"/>
    <w:rsid w:val="0084070F"/>
    <w:rsid w:val="0084091F"/>
    <w:rsid w:val="00840954"/>
    <w:rsid w:val="00840967"/>
    <w:rsid w:val="00840A1D"/>
    <w:rsid w:val="00840A37"/>
    <w:rsid w:val="00840A60"/>
    <w:rsid w:val="00840A82"/>
    <w:rsid w:val="00840B63"/>
    <w:rsid w:val="00840C61"/>
    <w:rsid w:val="00840C76"/>
    <w:rsid w:val="00840D13"/>
    <w:rsid w:val="00840D78"/>
    <w:rsid w:val="00840DBC"/>
    <w:rsid w:val="00840DC4"/>
    <w:rsid w:val="00840DFA"/>
    <w:rsid w:val="00840EBB"/>
    <w:rsid w:val="0084116D"/>
    <w:rsid w:val="00841177"/>
    <w:rsid w:val="0084122D"/>
    <w:rsid w:val="0084144C"/>
    <w:rsid w:val="00841521"/>
    <w:rsid w:val="00841687"/>
    <w:rsid w:val="00841720"/>
    <w:rsid w:val="008417CF"/>
    <w:rsid w:val="00841873"/>
    <w:rsid w:val="00841915"/>
    <w:rsid w:val="00841ADA"/>
    <w:rsid w:val="00841B81"/>
    <w:rsid w:val="00841BFC"/>
    <w:rsid w:val="00841C28"/>
    <w:rsid w:val="00841CDB"/>
    <w:rsid w:val="00841D29"/>
    <w:rsid w:val="00841D55"/>
    <w:rsid w:val="00841EE7"/>
    <w:rsid w:val="00841F4E"/>
    <w:rsid w:val="0084207F"/>
    <w:rsid w:val="00842110"/>
    <w:rsid w:val="0084215F"/>
    <w:rsid w:val="008422DF"/>
    <w:rsid w:val="008422F8"/>
    <w:rsid w:val="00842367"/>
    <w:rsid w:val="0084236E"/>
    <w:rsid w:val="0084239E"/>
    <w:rsid w:val="00842492"/>
    <w:rsid w:val="00842573"/>
    <w:rsid w:val="00842593"/>
    <w:rsid w:val="00842620"/>
    <w:rsid w:val="00842661"/>
    <w:rsid w:val="00842739"/>
    <w:rsid w:val="008427B2"/>
    <w:rsid w:val="008427D5"/>
    <w:rsid w:val="00842865"/>
    <w:rsid w:val="008428E9"/>
    <w:rsid w:val="00842964"/>
    <w:rsid w:val="00842A23"/>
    <w:rsid w:val="00842AB2"/>
    <w:rsid w:val="00842C2E"/>
    <w:rsid w:val="00842D38"/>
    <w:rsid w:val="00842D60"/>
    <w:rsid w:val="00842E8E"/>
    <w:rsid w:val="00842F36"/>
    <w:rsid w:val="008430A7"/>
    <w:rsid w:val="0084310D"/>
    <w:rsid w:val="008431E8"/>
    <w:rsid w:val="008432B4"/>
    <w:rsid w:val="00843343"/>
    <w:rsid w:val="00843351"/>
    <w:rsid w:val="0084356D"/>
    <w:rsid w:val="008435E6"/>
    <w:rsid w:val="00843808"/>
    <w:rsid w:val="00843991"/>
    <w:rsid w:val="008439A9"/>
    <w:rsid w:val="00843B82"/>
    <w:rsid w:val="00843BAF"/>
    <w:rsid w:val="00843D86"/>
    <w:rsid w:val="00843DBB"/>
    <w:rsid w:val="00843DCB"/>
    <w:rsid w:val="00843E5D"/>
    <w:rsid w:val="00843EB1"/>
    <w:rsid w:val="00843F01"/>
    <w:rsid w:val="008440BF"/>
    <w:rsid w:val="008441AA"/>
    <w:rsid w:val="008441AC"/>
    <w:rsid w:val="0084423F"/>
    <w:rsid w:val="0084432C"/>
    <w:rsid w:val="0084436D"/>
    <w:rsid w:val="008443FD"/>
    <w:rsid w:val="00844419"/>
    <w:rsid w:val="0084445C"/>
    <w:rsid w:val="008444F7"/>
    <w:rsid w:val="00844519"/>
    <w:rsid w:val="00844568"/>
    <w:rsid w:val="00844574"/>
    <w:rsid w:val="00844585"/>
    <w:rsid w:val="008445B2"/>
    <w:rsid w:val="0084461F"/>
    <w:rsid w:val="00844695"/>
    <w:rsid w:val="00844885"/>
    <w:rsid w:val="00844A49"/>
    <w:rsid w:val="00844B33"/>
    <w:rsid w:val="00844B3A"/>
    <w:rsid w:val="00844B8C"/>
    <w:rsid w:val="00844E6F"/>
    <w:rsid w:val="00844E75"/>
    <w:rsid w:val="00844E91"/>
    <w:rsid w:val="00844EE4"/>
    <w:rsid w:val="00844F36"/>
    <w:rsid w:val="0084503F"/>
    <w:rsid w:val="008451A7"/>
    <w:rsid w:val="00845284"/>
    <w:rsid w:val="008452A5"/>
    <w:rsid w:val="008452AF"/>
    <w:rsid w:val="0084536C"/>
    <w:rsid w:val="008453F4"/>
    <w:rsid w:val="00845414"/>
    <w:rsid w:val="00845572"/>
    <w:rsid w:val="00845616"/>
    <w:rsid w:val="00845691"/>
    <w:rsid w:val="00845696"/>
    <w:rsid w:val="008456C2"/>
    <w:rsid w:val="0084593B"/>
    <w:rsid w:val="00845964"/>
    <w:rsid w:val="00845A12"/>
    <w:rsid w:val="00845A8F"/>
    <w:rsid w:val="00845CAF"/>
    <w:rsid w:val="00845F2F"/>
    <w:rsid w:val="00845F4F"/>
    <w:rsid w:val="00845F7E"/>
    <w:rsid w:val="00845F8F"/>
    <w:rsid w:val="00845F9E"/>
    <w:rsid w:val="00846003"/>
    <w:rsid w:val="008460ED"/>
    <w:rsid w:val="00846146"/>
    <w:rsid w:val="008461DD"/>
    <w:rsid w:val="0084623A"/>
    <w:rsid w:val="00846323"/>
    <w:rsid w:val="00846353"/>
    <w:rsid w:val="008463C8"/>
    <w:rsid w:val="0084640C"/>
    <w:rsid w:val="00846420"/>
    <w:rsid w:val="0084658A"/>
    <w:rsid w:val="00846725"/>
    <w:rsid w:val="0084676A"/>
    <w:rsid w:val="00846803"/>
    <w:rsid w:val="008468BC"/>
    <w:rsid w:val="008468E3"/>
    <w:rsid w:val="0084695E"/>
    <w:rsid w:val="00846A24"/>
    <w:rsid w:val="00846B12"/>
    <w:rsid w:val="00846B9B"/>
    <w:rsid w:val="00846CB8"/>
    <w:rsid w:val="00846D54"/>
    <w:rsid w:val="00846D72"/>
    <w:rsid w:val="00846F61"/>
    <w:rsid w:val="00846F6F"/>
    <w:rsid w:val="0084700E"/>
    <w:rsid w:val="00847073"/>
    <w:rsid w:val="008471E1"/>
    <w:rsid w:val="0084734B"/>
    <w:rsid w:val="00847364"/>
    <w:rsid w:val="00847483"/>
    <w:rsid w:val="00847597"/>
    <w:rsid w:val="008475B0"/>
    <w:rsid w:val="008475BE"/>
    <w:rsid w:val="00847634"/>
    <w:rsid w:val="008476C6"/>
    <w:rsid w:val="00847751"/>
    <w:rsid w:val="0084794E"/>
    <w:rsid w:val="00847974"/>
    <w:rsid w:val="00847990"/>
    <w:rsid w:val="00847AE3"/>
    <w:rsid w:val="00847C45"/>
    <w:rsid w:val="00847E5E"/>
    <w:rsid w:val="00847F8A"/>
    <w:rsid w:val="00850097"/>
    <w:rsid w:val="00850141"/>
    <w:rsid w:val="0085014D"/>
    <w:rsid w:val="008501C3"/>
    <w:rsid w:val="00850262"/>
    <w:rsid w:val="00850284"/>
    <w:rsid w:val="00850293"/>
    <w:rsid w:val="00850393"/>
    <w:rsid w:val="00850397"/>
    <w:rsid w:val="008503AE"/>
    <w:rsid w:val="008503E3"/>
    <w:rsid w:val="008504B8"/>
    <w:rsid w:val="008505BA"/>
    <w:rsid w:val="00850667"/>
    <w:rsid w:val="00850733"/>
    <w:rsid w:val="0085075D"/>
    <w:rsid w:val="008507B3"/>
    <w:rsid w:val="00850818"/>
    <w:rsid w:val="0085081C"/>
    <w:rsid w:val="00850841"/>
    <w:rsid w:val="008508B4"/>
    <w:rsid w:val="008508BF"/>
    <w:rsid w:val="00850963"/>
    <w:rsid w:val="0085096E"/>
    <w:rsid w:val="00850A55"/>
    <w:rsid w:val="00850BA0"/>
    <w:rsid w:val="00850BA1"/>
    <w:rsid w:val="00850C91"/>
    <w:rsid w:val="00850CA8"/>
    <w:rsid w:val="00850DD9"/>
    <w:rsid w:val="00850E48"/>
    <w:rsid w:val="00850E5B"/>
    <w:rsid w:val="00850EC9"/>
    <w:rsid w:val="00850F8A"/>
    <w:rsid w:val="0085101C"/>
    <w:rsid w:val="00851346"/>
    <w:rsid w:val="0085150C"/>
    <w:rsid w:val="0085158F"/>
    <w:rsid w:val="008515BB"/>
    <w:rsid w:val="00851602"/>
    <w:rsid w:val="0085161B"/>
    <w:rsid w:val="00851621"/>
    <w:rsid w:val="00851695"/>
    <w:rsid w:val="00851697"/>
    <w:rsid w:val="008516B0"/>
    <w:rsid w:val="008516B3"/>
    <w:rsid w:val="008516C1"/>
    <w:rsid w:val="008516DD"/>
    <w:rsid w:val="00851702"/>
    <w:rsid w:val="008517E8"/>
    <w:rsid w:val="008517F2"/>
    <w:rsid w:val="008517F5"/>
    <w:rsid w:val="008517F9"/>
    <w:rsid w:val="00851895"/>
    <w:rsid w:val="008518D2"/>
    <w:rsid w:val="00851C7A"/>
    <w:rsid w:val="00851CEF"/>
    <w:rsid w:val="00851D0B"/>
    <w:rsid w:val="00851D2D"/>
    <w:rsid w:val="00851D51"/>
    <w:rsid w:val="00851E44"/>
    <w:rsid w:val="00851F52"/>
    <w:rsid w:val="00851F5B"/>
    <w:rsid w:val="00851F94"/>
    <w:rsid w:val="00851F96"/>
    <w:rsid w:val="00851FFA"/>
    <w:rsid w:val="00852345"/>
    <w:rsid w:val="00852364"/>
    <w:rsid w:val="0085238C"/>
    <w:rsid w:val="00852524"/>
    <w:rsid w:val="0085256F"/>
    <w:rsid w:val="00852683"/>
    <w:rsid w:val="008526A3"/>
    <w:rsid w:val="0085298E"/>
    <w:rsid w:val="008529F4"/>
    <w:rsid w:val="00852B86"/>
    <w:rsid w:val="00852DAB"/>
    <w:rsid w:val="00852DB2"/>
    <w:rsid w:val="00852DFA"/>
    <w:rsid w:val="00852E55"/>
    <w:rsid w:val="00852FEC"/>
    <w:rsid w:val="00853031"/>
    <w:rsid w:val="00853098"/>
    <w:rsid w:val="008530F0"/>
    <w:rsid w:val="008530F7"/>
    <w:rsid w:val="0085314D"/>
    <w:rsid w:val="008531CB"/>
    <w:rsid w:val="0085328A"/>
    <w:rsid w:val="0085330E"/>
    <w:rsid w:val="008533AB"/>
    <w:rsid w:val="00853462"/>
    <w:rsid w:val="00853473"/>
    <w:rsid w:val="00853489"/>
    <w:rsid w:val="008534E0"/>
    <w:rsid w:val="0085356A"/>
    <w:rsid w:val="0085379C"/>
    <w:rsid w:val="008537BD"/>
    <w:rsid w:val="008537C6"/>
    <w:rsid w:val="00853962"/>
    <w:rsid w:val="00853984"/>
    <w:rsid w:val="00853A2C"/>
    <w:rsid w:val="00853A44"/>
    <w:rsid w:val="00853AC9"/>
    <w:rsid w:val="00853AF1"/>
    <w:rsid w:val="00853B39"/>
    <w:rsid w:val="00853BE3"/>
    <w:rsid w:val="00853C54"/>
    <w:rsid w:val="00853C7C"/>
    <w:rsid w:val="00853CAC"/>
    <w:rsid w:val="00853D1B"/>
    <w:rsid w:val="00853E04"/>
    <w:rsid w:val="00853E46"/>
    <w:rsid w:val="00853EDD"/>
    <w:rsid w:val="00853EEE"/>
    <w:rsid w:val="00853F07"/>
    <w:rsid w:val="00853F59"/>
    <w:rsid w:val="00853F6B"/>
    <w:rsid w:val="00853F95"/>
    <w:rsid w:val="00853FDE"/>
    <w:rsid w:val="00853FEF"/>
    <w:rsid w:val="008540AE"/>
    <w:rsid w:val="008540E1"/>
    <w:rsid w:val="008541B1"/>
    <w:rsid w:val="008542D8"/>
    <w:rsid w:val="008543AF"/>
    <w:rsid w:val="0085444F"/>
    <w:rsid w:val="0085451F"/>
    <w:rsid w:val="00854687"/>
    <w:rsid w:val="00854748"/>
    <w:rsid w:val="008547E3"/>
    <w:rsid w:val="00854823"/>
    <w:rsid w:val="0085484F"/>
    <w:rsid w:val="00854914"/>
    <w:rsid w:val="00854947"/>
    <w:rsid w:val="00854CA1"/>
    <w:rsid w:val="00854E3C"/>
    <w:rsid w:val="00854E61"/>
    <w:rsid w:val="00854ED4"/>
    <w:rsid w:val="00854F01"/>
    <w:rsid w:val="00854F53"/>
    <w:rsid w:val="00854FAA"/>
    <w:rsid w:val="00854FC2"/>
    <w:rsid w:val="008550F3"/>
    <w:rsid w:val="00855113"/>
    <w:rsid w:val="00855165"/>
    <w:rsid w:val="008553BB"/>
    <w:rsid w:val="00855462"/>
    <w:rsid w:val="0085547A"/>
    <w:rsid w:val="008554D1"/>
    <w:rsid w:val="008555B7"/>
    <w:rsid w:val="00855805"/>
    <w:rsid w:val="00855949"/>
    <w:rsid w:val="0085594B"/>
    <w:rsid w:val="00855A05"/>
    <w:rsid w:val="00855C47"/>
    <w:rsid w:val="00855C86"/>
    <w:rsid w:val="00855D00"/>
    <w:rsid w:val="00855D44"/>
    <w:rsid w:val="00855D55"/>
    <w:rsid w:val="00855DC5"/>
    <w:rsid w:val="00855E6B"/>
    <w:rsid w:val="00855FC8"/>
    <w:rsid w:val="00855FF0"/>
    <w:rsid w:val="0085600E"/>
    <w:rsid w:val="00856040"/>
    <w:rsid w:val="0085606E"/>
    <w:rsid w:val="008561DB"/>
    <w:rsid w:val="008561E1"/>
    <w:rsid w:val="008562E2"/>
    <w:rsid w:val="0085639C"/>
    <w:rsid w:val="008563D4"/>
    <w:rsid w:val="00856455"/>
    <w:rsid w:val="008564D2"/>
    <w:rsid w:val="0085652B"/>
    <w:rsid w:val="008565B4"/>
    <w:rsid w:val="008566E2"/>
    <w:rsid w:val="0085674A"/>
    <w:rsid w:val="008567E2"/>
    <w:rsid w:val="00856861"/>
    <w:rsid w:val="00856939"/>
    <w:rsid w:val="008569FF"/>
    <w:rsid w:val="00856B76"/>
    <w:rsid w:val="00856BA5"/>
    <w:rsid w:val="00856CB3"/>
    <w:rsid w:val="00856D40"/>
    <w:rsid w:val="00856E57"/>
    <w:rsid w:val="00856E6A"/>
    <w:rsid w:val="00856EA5"/>
    <w:rsid w:val="00856F61"/>
    <w:rsid w:val="00856F9A"/>
    <w:rsid w:val="00857003"/>
    <w:rsid w:val="00857087"/>
    <w:rsid w:val="008570BC"/>
    <w:rsid w:val="008570D9"/>
    <w:rsid w:val="0085710D"/>
    <w:rsid w:val="00857128"/>
    <w:rsid w:val="00857139"/>
    <w:rsid w:val="008571E4"/>
    <w:rsid w:val="0085725B"/>
    <w:rsid w:val="0085729C"/>
    <w:rsid w:val="00857310"/>
    <w:rsid w:val="008573EE"/>
    <w:rsid w:val="008574B9"/>
    <w:rsid w:val="008574F1"/>
    <w:rsid w:val="0085753D"/>
    <w:rsid w:val="0085755F"/>
    <w:rsid w:val="00857644"/>
    <w:rsid w:val="008576B2"/>
    <w:rsid w:val="00857729"/>
    <w:rsid w:val="008577B6"/>
    <w:rsid w:val="0085789B"/>
    <w:rsid w:val="0085789D"/>
    <w:rsid w:val="00857975"/>
    <w:rsid w:val="00857A42"/>
    <w:rsid w:val="00857AA7"/>
    <w:rsid w:val="00857CAD"/>
    <w:rsid w:val="00857E4E"/>
    <w:rsid w:val="00857F03"/>
    <w:rsid w:val="00857F4B"/>
    <w:rsid w:val="00860066"/>
    <w:rsid w:val="008600F6"/>
    <w:rsid w:val="00860144"/>
    <w:rsid w:val="008601A5"/>
    <w:rsid w:val="008601AC"/>
    <w:rsid w:val="0086026E"/>
    <w:rsid w:val="0086027B"/>
    <w:rsid w:val="00860325"/>
    <w:rsid w:val="0086035B"/>
    <w:rsid w:val="0086037B"/>
    <w:rsid w:val="0086038C"/>
    <w:rsid w:val="008603D2"/>
    <w:rsid w:val="00860474"/>
    <w:rsid w:val="00860509"/>
    <w:rsid w:val="008605C2"/>
    <w:rsid w:val="008605F7"/>
    <w:rsid w:val="00860618"/>
    <w:rsid w:val="0086068E"/>
    <w:rsid w:val="008607DB"/>
    <w:rsid w:val="0086082E"/>
    <w:rsid w:val="00860895"/>
    <w:rsid w:val="008608AF"/>
    <w:rsid w:val="008608C4"/>
    <w:rsid w:val="008608EF"/>
    <w:rsid w:val="0086091F"/>
    <w:rsid w:val="00860A59"/>
    <w:rsid w:val="00860C2A"/>
    <w:rsid w:val="00860C57"/>
    <w:rsid w:val="00860D66"/>
    <w:rsid w:val="00860D68"/>
    <w:rsid w:val="00860EEC"/>
    <w:rsid w:val="00860F3A"/>
    <w:rsid w:val="00860FB3"/>
    <w:rsid w:val="00861170"/>
    <w:rsid w:val="008611D6"/>
    <w:rsid w:val="0086124D"/>
    <w:rsid w:val="0086127C"/>
    <w:rsid w:val="00861293"/>
    <w:rsid w:val="0086138D"/>
    <w:rsid w:val="008613DC"/>
    <w:rsid w:val="00861431"/>
    <w:rsid w:val="0086143A"/>
    <w:rsid w:val="00861460"/>
    <w:rsid w:val="008614D2"/>
    <w:rsid w:val="00861545"/>
    <w:rsid w:val="008615CB"/>
    <w:rsid w:val="0086162A"/>
    <w:rsid w:val="00861669"/>
    <w:rsid w:val="0086172E"/>
    <w:rsid w:val="0086173D"/>
    <w:rsid w:val="00861833"/>
    <w:rsid w:val="0086183B"/>
    <w:rsid w:val="00861882"/>
    <w:rsid w:val="00861977"/>
    <w:rsid w:val="008619E8"/>
    <w:rsid w:val="00861A1D"/>
    <w:rsid w:val="00861ABF"/>
    <w:rsid w:val="00861ADE"/>
    <w:rsid w:val="00861B0E"/>
    <w:rsid w:val="00861B8C"/>
    <w:rsid w:val="00861BD3"/>
    <w:rsid w:val="00861D3D"/>
    <w:rsid w:val="00861D42"/>
    <w:rsid w:val="00861D8D"/>
    <w:rsid w:val="00861E50"/>
    <w:rsid w:val="00861FDF"/>
    <w:rsid w:val="00861FF2"/>
    <w:rsid w:val="00862005"/>
    <w:rsid w:val="00862009"/>
    <w:rsid w:val="0086214A"/>
    <w:rsid w:val="0086227A"/>
    <w:rsid w:val="008622BA"/>
    <w:rsid w:val="00862300"/>
    <w:rsid w:val="00862435"/>
    <w:rsid w:val="00862502"/>
    <w:rsid w:val="0086253A"/>
    <w:rsid w:val="00862572"/>
    <w:rsid w:val="00862588"/>
    <w:rsid w:val="00862624"/>
    <w:rsid w:val="00862682"/>
    <w:rsid w:val="00862687"/>
    <w:rsid w:val="0086269D"/>
    <w:rsid w:val="008627AD"/>
    <w:rsid w:val="008627CD"/>
    <w:rsid w:val="00862805"/>
    <w:rsid w:val="00862863"/>
    <w:rsid w:val="008628CE"/>
    <w:rsid w:val="008628D0"/>
    <w:rsid w:val="008629D3"/>
    <w:rsid w:val="008629FE"/>
    <w:rsid w:val="00862B36"/>
    <w:rsid w:val="00862B3B"/>
    <w:rsid w:val="00862B50"/>
    <w:rsid w:val="00862CCA"/>
    <w:rsid w:val="00862CF1"/>
    <w:rsid w:val="00862F15"/>
    <w:rsid w:val="00862FC8"/>
    <w:rsid w:val="008630BD"/>
    <w:rsid w:val="00863217"/>
    <w:rsid w:val="008632B8"/>
    <w:rsid w:val="008632CE"/>
    <w:rsid w:val="00863362"/>
    <w:rsid w:val="00863568"/>
    <w:rsid w:val="00863601"/>
    <w:rsid w:val="008636E8"/>
    <w:rsid w:val="008636E9"/>
    <w:rsid w:val="00863760"/>
    <w:rsid w:val="00863963"/>
    <w:rsid w:val="008639DC"/>
    <w:rsid w:val="00863AD2"/>
    <w:rsid w:val="00863AE9"/>
    <w:rsid w:val="00863B09"/>
    <w:rsid w:val="00863B68"/>
    <w:rsid w:val="00863C64"/>
    <w:rsid w:val="00863D1D"/>
    <w:rsid w:val="00863D38"/>
    <w:rsid w:val="00863DFD"/>
    <w:rsid w:val="00863EC8"/>
    <w:rsid w:val="00863FCA"/>
    <w:rsid w:val="00864143"/>
    <w:rsid w:val="008641D8"/>
    <w:rsid w:val="008641F5"/>
    <w:rsid w:val="0086424D"/>
    <w:rsid w:val="00864255"/>
    <w:rsid w:val="0086433A"/>
    <w:rsid w:val="008643AC"/>
    <w:rsid w:val="008644D9"/>
    <w:rsid w:val="00864548"/>
    <w:rsid w:val="0086468C"/>
    <w:rsid w:val="008646D9"/>
    <w:rsid w:val="00864756"/>
    <w:rsid w:val="00864788"/>
    <w:rsid w:val="00864830"/>
    <w:rsid w:val="008648AA"/>
    <w:rsid w:val="008648FF"/>
    <w:rsid w:val="0086492A"/>
    <w:rsid w:val="00864A0A"/>
    <w:rsid w:val="00864A60"/>
    <w:rsid w:val="00864B3C"/>
    <w:rsid w:val="00864B6A"/>
    <w:rsid w:val="00864C68"/>
    <w:rsid w:val="00864CC9"/>
    <w:rsid w:val="00864CE2"/>
    <w:rsid w:val="00864D9B"/>
    <w:rsid w:val="00864E2C"/>
    <w:rsid w:val="00864E40"/>
    <w:rsid w:val="00864F63"/>
    <w:rsid w:val="00864F7C"/>
    <w:rsid w:val="00865015"/>
    <w:rsid w:val="008650FC"/>
    <w:rsid w:val="008651F9"/>
    <w:rsid w:val="00865252"/>
    <w:rsid w:val="00865272"/>
    <w:rsid w:val="008652EC"/>
    <w:rsid w:val="00865324"/>
    <w:rsid w:val="00865345"/>
    <w:rsid w:val="0086538A"/>
    <w:rsid w:val="008653C5"/>
    <w:rsid w:val="008654B3"/>
    <w:rsid w:val="008654E7"/>
    <w:rsid w:val="0086554B"/>
    <w:rsid w:val="008655A8"/>
    <w:rsid w:val="008655B7"/>
    <w:rsid w:val="008655BB"/>
    <w:rsid w:val="0086562F"/>
    <w:rsid w:val="008658C1"/>
    <w:rsid w:val="008658C2"/>
    <w:rsid w:val="008659A5"/>
    <w:rsid w:val="008659F2"/>
    <w:rsid w:val="00865B02"/>
    <w:rsid w:val="00865B72"/>
    <w:rsid w:val="00865F57"/>
    <w:rsid w:val="00865FB4"/>
    <w:rsid w:val="0086605D"/>
    <w:rsid w:val="008660E2"/>
    <w:rsid w:val="0086615A"/>
    <w:rsid w:val="00866186"/>
    <w:rsid w:val="00866197"/>
    <w:rsid w:val="008661AC"/>
    <w:rsid w:val="00866298"/>
    <w:rsid w:val="008662F6"/>
    <w:rsid w:val="00866406"/>
    <w:rsid w:val="00866447"/>
    <w:rsid w:val="00866462"/>
    <w:rsid w:val="0086647F"/>
    <w:rsid w:val="00866583"/>
    <w:rsid w:val="00866596"/>
    <w:rsid w:val="0086661D"/>
    <w:rsid w:val="0086668E"/>
    <w:rsid w:val="00866714"/>
    <w:rsid w:val="00866795"/>
    <w:rsid w:val="008667A1"/>
    <w:rsid w:val="0086687E"/>
    <w:rsid w:val="008669B6"/>
    <w:rsid w:val="00866AFB"/>
    <w:rsid w:val="00866B06"/>
    <w:rsid w:val="00866B6D"/>
    <w:rsid w:val="00866B7E"/>
    <w:rsid w:val="00866C1D"/>
    <w:rsid w:val="00866CDC"/>
    <w:rsid w:val="00866D80"/>
    <w:rsid w:val="00866FD1"/>
    <w:rsid w:val="0086720D"/>
    <w:rsid w:val="00867214"/>
    <w:rsid w:val="0086731F"/>
    <w:rsid w:val="0086757B"/>
    <w:rsid w:val="00867684"/>
    <w:rsid w:val="00867712"/>
    <w:rsid w:val="00867855"/>
    <w:rsid w:val="0086796F"/>
    <w:rsid w:val="008679B5"/>
    <w:rsid w:val="008679B8"/>
    <w:rsid w:val="00867A0C"/>
    <w:rsid w:val="00867BA5"/>
    <w:rsid w:val="00867CC3"/>
    <w:rsid w:val="00867D30"/>
    <w:rsid w:val="00867E9D"/>
    <w:rsid w:val="00867EC6"/>
    <w:rsid w:val="00867F15"/>
    <w:rsid w:val="00867F74"/>
    <w:rsid w:val="00870088"/>
    <w:rsid w:val="008700B5"/>
    <w:rsid w:val="00870119"/>
    <w:rsid w:val="00870270"/>
    <w:rsid w:val="00870272"/>
    <w:rsid w:val="0087034D"/>
    <w:rsid w:val="00870408"/>
    <w:rsid w:val="008704D6"/>
    <w:rsid w:val="00870598"/>
    <w:rsid w:val="008705DD"/>
    <w:rsid w:val="0087073F"/>
    <w:rsid w:val="008707DC"/>
    <w:rsid w:val="00870846"/>
    <w:rsid w:val="00870949"/>
    <w:rsid w:val="008709C7"/>
    <w:rsid w:val="00870A56"/>
    <w:rsid w:val="00870AE8"/>
    <w:rsid w:val="00870C2D"/>
    <w:rsid w:val="00870C73"/>
    <w:rsid w:val="00870C7C"/>
    <w:rsid w:val="00870CA5"/>
    <w:rsid w:val="00870D6C"/>
    <w:rsid w:val="00870E85"/>
    <w:rsid w:val="00870F8B"/>
    <w:rsid w:val="00870FE6"/>
    <w:rsid w:val="00871011"/>
    <w:rsid w:val="00871062"/>
    <w:rsid w:val="00871089"/>
    <w:rsid w:val="0087121E"/>
    <w:rsid w:val="008712AD"/>
    <w:rsid w:val="0087130A"/>
    <w:rsid w:val="0087134B"/>
    <w:rsid w:val="008713BD"/>
    <w:rsid w:val="008713FE"/>
    <w:rsid w:val="0087143E"/>
    <w:rsid w:val="00871547"/>
    <w:rsid w:val="00871831"/>
    <w:rsid w:val="00871952"/>
    <w:rsid w:val="00871AAA"/>
    <w:rsid w:val="00871B1E"/>
    <w:rsid w:val="00871BC6"/>
    <w:rsid w:val="00871BED"/>
    <w:rsid w:val="00871BFB"/>
    <w:rsid w:val="00871C0D"/>
    <w:rsid w:val="00871C48"/>
    <w:rsid w:val="00871C4B"/>
    <w:rsid w:val="00871CA9"/>
    <w:rsid w:val="00871D31"/>
    <w:rsid w:val="00871DF6"/>
    <w:rsid w:val="00871E83"/>
    <w:rsid w:val="00872072"/>
    <w:rsid w:val="00872110"/>
    <w:rsid w:val="00872155"/>
    <w:rsid w:val="00872285"/>
    <w:rsid w:val="00872600"/>
    <w:rsid w:val="0087262C"/>
    <w:rsid w:val="00872654"/>
    <w:rsid w:val="00872686"/>
    <w:rsid w:val="008726C3"/>
    <w:rsid w:val="0087271D"/>
    <w:rsid w:val="00872813"/>
    <w:rsid w:val="00872913"/>
    <w:rsid w:val="00872915"/>
    <w:rsid w:val="00872950"/>
    <w:rsid w:val="00872A59"/>
    <w:rsid w:val="00872A8B"/>
    <w:rsid w:val="00872AFA"/>
    <w:rsid w:val="00872B4D"/>
    <w:rsid w:val="00872BB8"/>
    <w:rsid w:val="00872C20"/>
    <w:rsid w:val="00872C5C"/>
    <w:rsid w:val="00872C78"/>
    <w:rsid w:val="00872D28"/>
    <w:rsid w:val="00872E59"/>
    <w:rsid w:val="00872F40"/>
    <w:rsid w:val="00872F72"/>
    <w:rsid w:val="008730AF"/>
    <w:rsid w:val="00873141"/>
    <w:rsid w:val="0087315C"/>
    <w:rsid w:val="008732FE"/>
    <w:rsid w:val="0087333F"/>
    <w:rsid w:val="00873387"/>
    <w:rsid w:val="00873433"/>
    <w:rsid w:val="008734BB"/>
    <w:rsid w:val="008734C0"/>
    <w:rsid w:val="008734E9"/>
    <w:rsid w:val="00873545"/>
    <w:rsid w:val="00873646"/>
    <w:rsid w:val="00873709"/>
    <w:rsid w:val="00873725"/>
    <w:rsid w:val="008737B0"/>
    <w:rsid w:val="008739D4"/>
    <w:rsid w:val="00873A45"/>
    <w:rsid w:val="00873A6B"/>
    <w:rsid w:val="00873A8E"/>
    <w:rsid w:val="00873BDD"/>
    <w:rsid w:val="00873C50"/>
    <w:rsid w:val="00873CC0"/>
    <w:rsid w:val="00873CEC"/>
    <w:rsid w:val="00873CF6"/>
    <w:rsid w:val="00873EFD"/>
    <w:rsid w:val="00873F4F"/>
    <w:rsid w:val="00873F70"/>
    <w:rsid w:val="00873FB9"/>
    <w:rsid w:val="008740C4"/>
    <w:rsid w:val="00874162"/>
    <w:rsid w:val="008741BE"/>
    <w:rsid w:val="008741C5"/>
    <w:rsid w:val="008741C7"/>
    <w:rsid w:val="00874221"/>
    <w:rsid w:val="00874250"/>
    <w:rsid w:val="008742EE"/>
    <w:rsid w:val="008743BA"/>
    <w:rsid w:val="008743E0"/>
    <w:rsid w:val="0087446C"/>
    <w:rsid w:val="008744B2"/>
    <w:rsid w:val="008745F1"/>
    <w:rsid w:val="0087470A"/>
    <w:rsid w:val="0087485A"/>
    <w:rsid w:val="00874A7B"/>
    <w:rsid w:val="00874ADF"/>
    <w:rsid w:val="00874B27"/>
    <w:rsid w:val="00874B31"/>
    <w:rsid w:val="00874BCF"/>
    <w:rsid w:val="00874D3E"/>
    <w:rsid w:val="00874DDE"/>
    <w:rsid w:val="00874DE4"/>
    <w:rsid w:val="00874EAF"/>
    <w:rsid w:val="00874F28"/>
    <w:rsid w:val="00874F45"/>
    <w:rsid w:val="00874F7D"/>
    <w:rsid w:val="00874FA7"/>
    <w:rsid w:val="0087508E"/>
    <w:rsid w:val="00875170"/>
    <w:rsid w:val="00875214"/>
    <w:rsid w:val="00875285"/>
    <w:rsid w:val="008752EB"/>
    <w:rsid w:val="00875402"/>
    <w:rsid w:val="00875516"/>
    <w:rsid w:val="008756D6"/>
    <w:rsid w:val="008756F2"/>
    <w:rsid w:val="008757BD"/>
    <w:rsid w:val="008758C7"/>
    <w:rsid w:val="0087592B"/>
    <w:rsid w:val="008759EF"/>
    <w:rsid w:val="00875A01"/>
    <w:rsid w:val="00875A51"/>
    <w:rsid w:val="00875A72"/>
    <w:rsid w:val="00875B93"/>
    <w:rsid w:val="00875BE4"/>
    <w:rsid w:val="00875C67"/>
    <w:rsid w:val="00875DC2"/>
    <w:rsid w:val="00875EF9"/>
    <w:rsid w:val="00875F60"/>
    <w:rsid w:val="0087607C"/>
    <w:rsid w:val="008760A5"/>
    <w:rsid w:val="008760BC"/>
    <w:rsid w:val="008760FF"/>
    <w:rsid w:val="00876144"/>
    <w:rsid w:val="008763EF"/>
    <w:rsid w:val="00876523"/>
    <w:rsid w:val="00876553"/>
    <w:rsid w:val="0087658D"/>
    <w:rsid w:val="008765AB"/>
    <w:rsid w:val="008765CE"/>
    <w:rsid w:val="008765D8"/>
    <w:rsid w:val="00876612"/>
    <w:rsid w:val="00876667"/>
    <w:rsid w:val="008766C4"/>
    <w:rsid w:val="0087674D"/>
    <w:rsid w:val="0087675E"/>
    <w:rsid w:val="008767AB"/>
    <w:rsid w:val="008767DB"/>
    <w:rsid w:val="008767EA"/>
    <w:rsid w:val="008767FE"/>
    <w:rsid w:val="00876813"/>
    <w:rsid w:val="00876945"/>
    <w:rsid w:val="00876A1B"/>
    <w:rsid w:val="00876A1D"/>
    <w:rsid w:val="00876A3D"/>
    <w:rsid w:val="00876ADA"/>
    <w:rsid w:val="00876B1C"/>
    <w:rsid w:val="00876B4E"/>
    <w:rsid w:val="00876BAF"/>
    <w:rsid w:val="00876C8C"/>
    <w:rsid w:val="00876D44"/>
    <w:rsid w:val="00876D66"/>
    <w:rsid w:val="00876D82"/>
    <w:rsid w:val="00877030"/>
    <w:rsid w:val="00877079"/>
    <w:rsid w:val="008770F5"/>
    <w:rsid w:val="00877100"/>
    <w:rsid w:val="00877103"/>
    <w:rsid w:val="008771B2"/>
    <w:rsid w:val="008771DC"/>
    <w:rsid w:val="00877261"/>
    <w:rsid w:val="0087736E"/>
    <w:rsid w:val="00877373"/>
    <w:rsid w:val="008773FC"/>
    <w:rsid w:val="00877411"/>
    <w:rsid w:val="0087744B"/>
    <w:rsid w:val="008774C8"/>
    <w:rsid w:val="00877536"/>
    <w:rsid w:val="00877576"/>
    <w:rsid w:val="00877677"/>
    <w:rsid w:val="008776B6"/>
    <w:rsid w:val="008776D8"/>
    <w:rsid w:val="00877743"/>
    <w:rsid w:val="0087792D"/>
    <w:rsid w:val="0087796B"/>
    <w:rsid w:val="0087797F"/>
    <w:rsid w:val="00877999"/>
    <w:rsid w:val="00877A74"/>
    <w:rsid w:val="00877AEB"/>
    <w:rsid w:val="00877B91"/>
    <w:rsid w:val="00877B9D"/>
    <w:rsid w:val="00877D1D"/>
    <w:rsid w:val="00877D53"/>
    <w:rsid w:val="00877DAF"/>
    <w:rsid w:val="008800EF"/>
    <w:rsid w:val="0088016D"/>
    <w:rsid w:val="008801AB"/>
    <w:rsid w:val="008801C7"/>
    <w:rsid w:val="008802D0"/>
    <w:rsid w:val="008802E4"/>
    <w:rsid w:val="0088033F"/>
    <w:rsid w:val="008803ED"/>
    <w:rsid w:val="008804FC"/>
    <w:rsid w:val="0088068B"/>
    <w:rsid w:val="008806ED"/>
    <w:rsid w:val="00880718"/>
    <w:rsid w:val="00880792"/>
    <w:rsid w:val="00880846"/>
    <w:rsid w:val="00880993"/>
    <w:rsid w:val="008809FE"/>
    <w:rsid w:val="00880A6F"/>
    <w:rsid w:val="00880B7A"/>
    <w:rsid w:val="00880BF0"/>
    <w:rsid w:val="00880C1E"/>
    <w:rsid w:val="00880C48"/>
    <w:rsid w:val="00880CB6"/>
    <w:rsid w:val="00880D58"/>
    <w:rsid w:val="00880E00"/>
    <w:rsid w:val="00880E79"/>
    <w:rsid w:val="00880F27"/>
    <w:rsid w:val="00880F88"/>
    <w:rsid w:val="008810D9"/>
    <w:rsid w:val="008812B3"/>
    <w:rsid w:val="00881421"/>
    <w:rsid w:val="0088145E"/>
    <w:rsid w:val="0088151C"/>
    <w:rsid w:val="0088156F"/>
    <w:rsid w:val="00881635"/>
    <w:rsid w:val="00881647"/>
    <w:rsid w:val="008816D0"/>
    <w:rsid w:val="008818D2"/>
    <w:rsid w:val="00881998"/>
    <w:rsid w:val="00881A2F"/>
    <w:rsid w:val="00881BF4"/>
    <w:rsid w:val="00881C05"/>
    <w:rsid w:val="00881C7F"/>
    <w:rsid w:val="00881C99"/>
    <w:rsid w:val="00881D81"/>
    <w:rsid w:val="00881E61"/>
    <w:rsid w:val="00881F09"/>
    <w:rsid w:val="008820B0"/>
    <w:rsid w:val="00882269"/>
    <w:rsid w:val="00882296"/>
    <w:rsid w:val="008822C9"/>
    <w:rsid w:val="008823DA"/>
    <w:rsid w:val="008823EC"/>
    <w:rsid w:val="0088249E"/>
    <w:rsid w:val="00882514"/>
    <w:rsid w:val="0088272B"/>
    <w:rsid w:val="00882745"/>
    <w:rsid w:val="008827F2"/>
    <w:rsid w:val="0088280F"/>
    <w:rsid w:val="008828AD"/>
    <w:rsid w:val="00882A3A"/>
    <w:rsid w:val="00882B37"/>
    <w:rsid w:val="00882B53"/>
    <w:rsid w:val="00882B94"/>
    <w:rsid w:val="00882CC6"/>
    <w:rsid w:val="00882CEE"/>
    <w:rsid w:val="00882D14"/>
    <w:rsid w:val="00882D4E"/>
    <w:rsid w:val="00882D74"/>
    <w:rsid w:val="00882FEE"/>
    <w:rsid w:val="0088308D"/>
    <w:rsid w:val="008831D7"/>
    <w:rsid w:val="008831DC"/>
    <w:rsid w:val="00883208"/>
    <w:rsid w:val="0088324B"/>
    <w:rsid w:val="00883359"/>
    <w:rsid w:val="008833BA"/>
    <w:rsid w:val="008834E9"/>
    <w:rsid w:val="0088351A"/>
    <w:rsid w:val="0088377A"/>
    <w:rsid w:val="008837F2"/>
    <w:rsid w:val="008837F5"/>
    <w:rsid w:val="00883915"/>
    <w:rsid w:val="00883949"/>
    <w:rsid w:val="008839B3"/>
    <w:rsid w:val="008839C1"/>
    <w:rsid w:val="008839EB"/>
    <w:rsid w:val="00883A58"/>
    <w:rsid w:val="00883B16"/>
    <w:rsid w:val="00883B4F"/>
    <w:rsid w:val="00883B7A"/>
    <w:rsid w:val="00883C0F"/>
    <w:rsid w:val="00883D01"/>
    <w:rsid w:val="00883D07"/>
    <w:rsid w:val="00883DDC"/>
    <w:rsid w:val="00883E2C"/>
    <w:rsid w:val="00883EC5"/>
    <w:rsid w:val="0088400D"/>
    <w:rsid w:val="00884076"/>
    <w:rsid w:val="00884103"/>
    <w:rsid w:val="008841B4"/>
    <w:rsid w:val="008841FE"/>
    <w:rsid w:val="008842C0"/>
    <w:rsid w:val="008845AE"/>
    <w:rsid w:val="008845F3"/>
    <w:rsid w:val="008846B2"/>
    <w:rsid w:val="00884784"/>
    <w:rsid w:val="0088497C"/>
    <w:rsid w:val="008849A2"/>
    <w:rsid w:val="008849CA"/>
    <w:rsid w:val="008849E9"/>
    <w:rsid w:val="00884A34"/>
    <w:rsid w:val="00884A97"/>
    <w:rsid w:val="00884A9D"/>
    <w:rsid w:val="00884B14"/>
    <w:rsid w:val="00884B9F"/>
    <w:rsid w:val="00884C30"/>
    <w:rsid w:val="00884D1B"/>
    <w:rsid w:val="00884D41"/>
    <w:rsid w:val="00884D57"/>
    <w:rsid w:val="00884D7E"/>
    <w:rsid w:val="00884DAC"/>
    <w:rsid w:val="00884DCE"/>
    <w:rsid w:val="00884DF6"/>
    <w:rsid w:val="00884F05"/>
    <w:rsid w:val="00885175"/>
    <w:rsid w:val="008852D8"/>
    <w:rsid w:val="0088536B"/>
    <w:rsid w:val="008853D5"/>
    <w:rsid w:val="00885404"/>
    <w:rsid w:val="0088543E"/>
    <w:rsid w:val="008854CA"/>
    <w:rsid w:val="00885516"/>
    <w:rsid w:val="00885518"/>
    <w:rsid w:val="00885550"/>
    <w:rsid w:val="008855AE"/>
    <w:rsid w:val="0088562B"/>
    <w:rsid w:val="008856B8"/>
    <w:rsid w:val="00885793"/>
    <w:rsid w:val="008857BC"/>
    <w:rsid w:val="008857E3"/>
    <w:rsid w:val="008857E8"/>
    <w:rsid w:val="008857E9"/>
    <w:rsid w:val="0088589E"/>
    <w:rsid w:val="00885AFF"/>
    <w:rsid w:val="00885B15"/>
    <w:rsid w:val="00885BAA"/>
    <w:rsid w:val="00885CB8"/>
    <w:rsid w:val="00885CC3"/>
    <w:rsid w:val="00885E17"/>
    <w:rsid w:val="00885E65"/>
    <w:rsid w:val="00885EC0"/>
    <w:rsid w:val="00885EEA"/>
    <w:rsid w:val="00885FC4"/>
    <w:rsid w:val="008860AD"/>
    <w:rsid w:val="008861DA"/>
    <w:rsid w:val="008861EF"/>
    <w:rsid w:val="0088634A"/>
    <w:rsid w:val="00886353"/>
    <w:rsid w:val="008863DE"/>
    <w:rsid w:val="008863F0"/>
    <w:rsid w:val="0088641B"/>
    <w:rsid w:val="008864A5"/>
    <w:rsid w:val="008864C2"/>
    <w:rsid w:val="0088651E"/>
    <w:rsid w:val="00886549"/>
    <w:rsid w:val="008865A6"/>
    <w:rsid w:val="008865C3"/>
    <w:rsid w:val="00886734"/>
    <w:rsid w:val="0088687D"/>
    <w:rsid w:val="008868C1"/>
    <w:rsid w:val="008868E5"/>
    <w:rsid w:val="00886A5E"/>
    <w:rsid w:val="00886A96"/>
    <w:rsid w:val="00886B29"/>
    <w:rsid w:val="00886C7D"/>
    <w:rsid w:val="00886C92"/>
    <w:rsid w:val="00886CD2"/>
    <w:rsid w:val="00886CFD"/>
    <w:rsid w:val="00886D18"/>
    <w:rsid w:val="00886D1F"/>
    <w:rsid w:val="00886E28"/>
    <w:rsid w:val="00886EB9"/>
    <w:rsid w:val="00886F65"/>
    <w:rsid w:val="00886FEB"/>
    <w:rsid w:val="00886FFF"/>
    <w:rsid w:val="00887029"/>
    <w:rsid w:val="00887069"/>
    <w:rsid w:val="00887085"/>
    <w:rsid w:val="008871A5"/>
    <w:rsid w:val="008871CF"/>
    <w:rsid w:val="00887283"/>
    <w:rsid w:val="008872D0"/>
    <w:rsid w:val="0088732F"/>
    <w:rsid w:val="00887455"/>
    <w:rsid w:val="0088745E"/>
    <w:rsid w:val="00887559"/>
    <w:rsid w:val="00887563"/>
    <w:rsid w:val="008875BF"/>
    <w:rsid w:val="008876A8"/>
    <w:rsid w:val="008877E3"/>
    <w:rsid w:val="00887A4A"/>
    <w:rsid w:val="00887BC0"/>
    <w:rsid w:val="00887CDB"/>
    <w:rsid w:val="00887E05"/>
    <w:rsid w:val="008900BD"/>
    <w:rsid w:val="008900F2"/>
    <w:rsid w:val="0089017E"/>
    <w:rsid w:val="008901A8"/>
    <w:rsid w:val="008902D1"/>
    <w:rsid w:val="00890337"/>
    <w:rsid w:val="0089037F"/>
    <w:rsid w:val="00890382"/>
    <w:rsid w:val="00890446"/>
    <w:rsid w:val="00890452"/>
    <w:rsid w:val="008904CE"/>
    <w:rsid w:val="00890548"/>
    <w:rsid w:val="008905EE"/>
    <w:rsid w:val="0089064F"/>
    <w:rsid w:val="008908C7"/>
    <w:rsid w:val="008908D6"/>
    <w:rsid w:val="0089092A"/>
    <w:rsid w:val="0089099D"/>
    <w:rsid w:val="00890A20"/>
    <w:rsid w:val="00890ACC"/>
    <w:rsid w:val="00890B9A"/>
    <w:rsid w:val="00890CE4"/>
    <w:rsid w:val="00890D3C"/>
    <w:rsid w:val="00890D40"/>
    <w:rsid w:val="00890D49"/>
    <w:rsid w:val="00890EC5"/>
    <w:rsid w:val="00890F7D"/>
    <w:rsid w:val="00891000"/>
    <w:rsid w:val="00891048"/>
    <w:rsid w:val="00891160"/>
    <w:rsid w:val="00891203"/>
    <w:rsid w:val="0089124E"/>
    <w:rsid w:val="0089134E"/>
    <w:rsid w:val="00891360"/>
    <w:rsid w:val="00891381"/>
    <w:rsid w:val="0089141B"/>
    <w:rsid w:val="0089147D"/>
    <w:rsid w:val="008914E7"/>
    <w:rsid w:val="00891667"/>
    <w:rsid w:val="00891686"/>
    <w:rsid w:val="008916CE"/>
    <w:rsid w:val="00891717"/>
    <w:rsid w:val="0089178A"/>
    <w:rsid w:val="008917A2"/>
    <w:rsid w:val="008917D0"/>
    <w:rsid w:val="008918AD"/>
    <w:rsid w:val="00891B15"/>
    <w:rsid w:val="00891C5A"/>
    <w:rsid w:val="00891C62"/>
    <w:rsid w:val="00891E2F"/>
    <w:rsid w:val="00891E68"/>
    <w:rsid w:val="00891E9F"/>
    <w:rsid w:val="00891EEF"/>
    <w:rsid w:val="008921EF"/>
    <w:rsid w:val="008922CA"/>
    <w:rsid w:val="008922ED"/>
    <w:rsid w:val="008923B0"/>
    <w:rsid w:val="008924EC"/>
    <w:rsid w:val="0089250C"/>
    <w:rsid w:val="00892511"/>
    <w:rsid w:val="00892528"/>
    <w:rsid w:val="0089255C"/>
    <w:rsid w:val="008926BC"/>
    <w:rsid w:val="00892746"/>
    <w:rsid w:val="00892758"/>
    <w:rsid w:val="008927CB"/>
    <w:rsid w:val="00892821"/>
    <w:rsid w:val="0089291E"/>
    <w:rsid w:val="00892A7F"/>
    <w:rsid w:val="00892B17"/>
    <w:rsid w:val="00892BAE"/>
    <w:rsid w:val="00892BBD"/>
    <w:rsid w:val="00892C76"/>
    <w:rsid w:val="00892CD5"/>
    <w:rsid w:val="00892D88"/>
    <w:rsid w:val="00892DD0"/>
    <w:rsid w:val="00892E95"/>
    <w:rsid w:val="00892F16"/>
    <w:rsid w:val="00892F97"/>
    <w:rsid w:val="00892FB3"/>
    <w:rsid w:val="00893399"/>
    <w:rsid w:val="0089362E"/>
    <w:rsid w:val="008936D2"/>
    <w:rsid w:val="008936FA"/>
    <w:rsid w:val="008937EE"/>
    <w:rsid w:val="008937FA"/>
    <w:rsid w:val="00893AD2"/>
    <w:rsid w:val="00893B21"/>
    <w:rsid w:val="00893B7E"/>
    <w:rsid w:val="00893B9D"/>
    <w:rsid w:val="00893C5E"/>
    <w:rsid w:val="00894100"/>
    <w:rsid w:val="00894109"/>
    <w:rsid w:val="0089413B"/>
    <w:rsid w:val="0089438F"/>
    <w:rsid w:val="00894501"/>
    <w:rsid w:val="00894511"/>
    <w:rsid w:val="00894616"/>
    <w:rsid w:val="0089466A"/>
    <w:rsid w:val="0089469F"/>
    <w:rsid w:val="008946A6"/>
    <w:rsid w:val="008946D0"/>
    <w:rsid w:val="008946FD"/>
    <w:rsid w:val="00894743"/>
    <w:rsid w:val="00894C43"/>
    <w:rsid w:val="00894CDA"/>
    <w:rsid w:val="00894CFC"/>
    <w:rsid w:val="00894DF0"/>
    <w:rsid w:val="00894E30"/>
    <w:rsid w:val="00894F79"/>
    <w:rsid w:val="008950B7"/>
    <w:rsid w:val="0089518A"/>
    <w:rsid w:val="00895250"/>
    <w:rsid w:val="008952FA"/>
    <w:rsid w:val="0089540F"/>
    <w:rsid w:val="00895582"/>
    <w:rsid w:val="00895636"/>
    <w:rsid w:val="00895649"/>
    <w:rsid w:val="00895676"/>
    <w:rsid w:val="008956CF"/>
    <w:rsid w:val="008956D4"/>
    <w:rsid w:val="00895738"/>
    <w:rsid w:val="0089578C"/>
    <w:rsid w:val="0089585C"/>
    <w:rsid w:val="0089596C"/>
    <w:rsid w:val="008959C8"/>
    <w:rsid w:val="00895B8D"/>
    <w:rsid w:val="00895BB1"/>
    <w:rsid w:val="00895C4A"/>
    <w:rsid w:val="00895C76"/>
    <w:rsid w:val="00895CCA"/>
    <w:rsid w:val="00895CF7"/>
    <w:rsid w:val="00895D19"/>
    <w:rsid w:val="00895D7D"/>
    <w:rsid w:val="00895F59"/>
    <w:rsid w:val="00895FBF"/>
    <w:rsid w:val="00896099"/>
    <w:rsid w:val="0089611F"/>
    <w:rsid w:val="0089621A"/>
    <w:rsid w:val="008962B0"/>
    <w:rsid w:val="0089636B"/>
    <w:rsid w:val="00896439"/>
    <w:rsid w:val="00896445"/>
    <w:rsid w:val="008964E5"/>
    <w:rsid w:val="0089658D"/>
    <w:rsid w:val="0089669C"/>
    <w:rsid w:val="00896743"/>
    <w:rsid w:val="00896777"/>
    <w:rsid w:val="008968D0"/>
    <w:rsid w:val="008969E3"/>
    <w:rsid w:val="00896CC5"/>
    <w:rsid w:val="00896D3D"/>
    <w:rsid w:val="00896DA9"/>
    <w:rsid w:val="00896E55"/>
    <w:rsid w:val="00896EDC"/>
    <w:rsid w:val="00896EF5"/>
    <w:rsid w:val="00897030"/>
    <w:rsid w:val="0089709C"/>
    <w:rsid w:val="0089714A"/>
    <w:rsid w:val="0089721C"/>
    <w:rsid w:val="008972A6"/>
    <w:rsid w:val="00897365"/>
    <w:rsid w:val="008974D1"/>
    <w:rsid w:val="0089758F"/>
    <w:rsid w:val="00897603"/>
    <w:rsid w:val="0089769A"/>
    <w:rsid w:val="008977E3"/>
    <w:rsid w:val="00897863"/>
    <w:rsid w:val="00897930"/>
    <w:rsid w:val="00897986"/>
    <w:rsid w:val="00897999"/>
    <w:rsid w:val="00897A86"/>
    <w:rsid w:val="00897ABB"/>
    <w:rsid w:val="00897AE7"/>
    <w:rsid w:val="00897AF4"/>
    <w:rsid w:val="00897B25"/>
    <w:rsid w:val="00897C85"/>
    <w:rsid w:val="00897EAC"/>
    <w:rsid w:val="00897EB9"/>
    <w:rsid w:val="00897FEA"/>
    <w:rsid w:val="008A014F"/>
    <w:rsid w:val="008A015E"/>
    <w:rsid w:val="008A022C"/>
    <w:rsid w:val="008A026C"/>
    <w:rsid w:val="008A0317"/>
    <w:rsid w:val="008A0392"/>
    <w:rsid w:val="008A0460"/>
    <w:rsid w:val="008A04AF"/>
    <w:rsid w:val="008A04E4"/>
    <w:rsid w:val="008A0542"/>
    <w:rsid w:val="008A0556"/>
    <w:rsid w:val="008A0659"/>
    <w:rsid w:val="008A0695"/>
    <w:rsid w:val="008A0696"/>
    <w:rsid w:val="008A079C"/>
    <w:rsid w:val="008A09BA"/>
    <w:rsid w:val="008A0A15"/>
    <w:rsid w:val="008A0ADC"/>
    <w:rsid w:val="008A0B95"/>
    <w:rsid w:val="008A0BDB"/>
    <w:rsid w:val="008A0C54"/>
    <w:rsid w:val="008A0C7A"/>
    <w:rsid w:val="008A0D95"/>
    <w:rsid w:val="008A0E9B"/>
    <w:rsid w:val="008A0E9C"/>
    <w:rsid w:val="008A0ED8"/>
    <w:rsid w:val="008A1166"/>
    <w:rsid w:val="008A12D9"/>
    <w:rsid w:val="008A1309"/>
    <w:rsid w:val="008A130D"/>
    <w:rsid w:val="008A147B"/>
    <w:rsid w:val="008A1677"/>
    <w:rsid w:val="008A16AF"/>
    <w:rsid w:val="008A16EE"/>
    <w:rsid w:val="008A178C"/>
    <w:rsid w:val="008A1828"/>
    <w:rsid w:val="008A182F"/>
    <w:rsid w:val="008A18FE"/>
    <w:rsid w:val="008A1993"/>
    <w:rsid w:val="008A1A1A"/>
    <w:rsid w:val="008A1B09"/>
    <w:rsid w:val="008A1B37"/>
    <w:rsid w:val="008A1B9B"/>
    <w:rsid w:val="008A1BD1"/>
    <w:rsid w:val="008A1BED"/>
    <w:rsid w:val="008A1C7A"/>
    <w:rsid w:val="008A1CF0"/>
    <w:rsid w:val="008A1D93"/>
    <w:rsid w:val="008A1DC6"/>
    <w:rsid w:val="008A1DCA"/>
    <w:rsid w:val="008A1DCE"/>
    <w:rsid w:val="008A1DFE"/>
    <w:rsid w:val="008A1E3F"/>
    <w:rsid w:val="008A2087"/>
    <w:rsid w:val="008A20B7"/>
    <w:rsid w:val="008A218C"/>
    <w:rsid w:val="008A23AF"/>
    <w:rsid w:val="008A23DF"/>
    <w:rsid w:val="008A2450"/>
    <w:rsid w:val="008A24DC"/>
    <w:rsid w:val="008A24F5"/>
    <w:rsid w:val="008A2509"/>
    <w:rsid w:val="008A252A"/>
    <w:rsid w:val="008A2551"/>
    <w:rsid w:val="008A255B"/>
    <w:rsid w:val="008A26E8"/>
    <w:rsid w:val="008A279D"/>
    <w:rsid w:val="008A27B0"/>
    <w:rsid w:val="008A2809"/>
    <w:rsid w:val="008A28A6"/>
    <w:rsid w:val="008A2974"/>
    <w:rsid w:val="008A298C"/>
    <w:rsid w:val="008A2A40"/>
    <w:rsid w:val="008A2AEF"/>
    <w:rsid w:val="008A2BAF"/>
    <w:rsid w:val="008A2C8F"/>
    <w:rsid w:val="008A2CDC"/>
    <w:rsid w:val="008A2DDF"/>
    <w:rsid w:val="008A2E45"/>
    <w:rsid w:val="008A2F75"/>
    <w:rsid w:val="008A2FBA"/>
    <w:rsid w:val="008A309F"/>
    <w:rsid w:val="008A3203"/>
    <w:rsid w:val="008A3293"/>
    <w:rsid w:val="008A337A"/>
    <w:rsid w:val="008A337B"/>
    <w:rsid w:val="008A33A1"/>
    <w:rsid w:val="008A33B2"/>
    <w:rsid w:val="008A359B"/>
    <w:rsid w:val="008A3653"/>
    <w:rsid w:val="008A370D"/>
    <w:rsid w:val="008A3773"/>
    <w:rsid w:val="008A385C"/>
    <w:rsid w:val="008A386D"/>
    <w:rsid w:val="008A3914"/>
    <w:rsid w:val="008A3988"/>
    <w:rsid w:val="008A398B"/>
    <w:rsid w:val="008A3A0C"/>
    <w:rsid w:val="008A3A39"/>
    <w:rsid w:val="008A3B38"/>
    <w:rsid w:val="008A3B8E"/>
    <w:rsid w:val="008A3B9C"/>
    <w:rsid w:val="008A3BD2"/>
    <w:rsid w:val="008A3C50"/>
    <w:rsid w:val="008A3D0A"/>
    <w:rsid w:val="008A3D98"/>
    <w:rsid w:val="008A3DAA"/>
    <w:rsid w:val="008A3DEF"/>
    <w:rsid w:val="008A3E0F"/>
    <w:rsid w:val="008A3F81"/>
    <w:rsid w:val="008A3FAF"/>
    <w:rsid w:val="008A40A1"/>
    <w:rsid w:val="008A40D5"/>
    <w:rsid w:val="008A4173"/>
    <w:rsid w:val="008A436E"/>
    <w:rsid w:val="008A43A4"/>
    <w:rsid w:val="008A4455"/>
    <w:rsid w:val="008A44FB"/>
    <w:rsid w:val="008A4531"/>
    <w:rsid w:val="008A460D"/>
    <w:rsid w:val="008A4634"/>
    <w:rsid w:val="008A46F5"/>
    <w:rsid w:val="008A480A"/>
    <w:rsid w:val="008A48F5"/>
    <w:rsid w:val="008A48FF"/>
    <w:rsid w:val="008A4A33"/>
    <w:rsid w:val="008A4A53"/>
    <w:rsid w:val="008A4A93"/>
    <w:rsid w:val="008A4A9E"/>
    <w:rsid w:val="008A4C80"/>
    <w:rsid w:val="008A4D60"/>
    <w:rsid w:val="008A4DAB"/>
    <w:rsid w:val="008A4F1C"/>
    <w:rsid w:val="008A502A"/>
    <w:rsid w:val="008A5227"/>
    <w:rsid w:val="008A5285"/>
    <w:rsid w:val="008A533E"/>
    <w:rsid w:val="008A5409"/>
    <w:rsid w:val="008A540B"/>
    <w:rsid w:val="008A5435"/>
    <w:rsid w:val="008A5477"/>
    <w:rsid w:val="008A549D"/>
    <w:rsid w:val="008A55B2"/>
    <w:rsid w:val="008A56A0"/>
    <w:rsid w:val="008A56FF"/>
    <w:rsid w:val="008A579B"/>
    <w:rsid w:val="008A58C7"/>
    <w:rsid w:val="008A5923"/>
    <w:rsid w:val="008A59F2"/>
    <w:rsid w:val="008A59FF"/>
    <w:rsid w:val="008A5AE0"/>
    <w:rsid w:val="008A5BCB"/>
    <w:rsid w:val="008A5BFE"/>
    <w:rsid w:val="008A5C7A"/>
    <w:rsid w:val="008A5CDB"/>
    <w:rsid w:val="008A5D91"/>
    <w:rsid w:val="008A5E4C"/>
    <w:rsid w:val="008A5E6C"/>
    <w:rsid w:val="008A5FB5"/>
    <w:rsid w:val="008A5FC5"/>
    <w:rsid w:val="008A6127"/>
    <w:rsid w:val="008A619A"/>
    <w:rsid w:val="008A6211"/>
    <w:rsid w:val="008A624D"/>
    <w:rsid w:val="008A62EA"/>
    <w:rsid w:val="008A6305"/>
    <w:rsid w:val="008A6437"/>
    <w:rsid w:val="008A650E"/>
    <w:rsid w:val="008A652A"/>
    <w:rsid w:val="008A6554"/>
    <w:rsid w:val="008A66C0"/>
    <w:rsid w:val="008A66CA"/>
    <w:rsid w:val="008A67AE"/>
    <w:rsid w:val="008A6A31"/>
    <w:rsid w:val="008A6B26"/>
    <w:rsid w:val="008A6B49"/>
    <w:rsid w:val="008A6BA6"/>
    <w:rsid w:val="008A6C75"/>
    <w:rsid w:val="008A6CA5"/>
    <w:rsid w:val="008A6EE8"/>
    <w:rsid w:val="008A6F53"/>
    <w:rsid w:val="008A6F5E"/>
    <w:rsid w:val="008A6F86"/>
    <w:rsid w:val="008A6FFF"/>
    <w:rsid w:val="008A70A0"/>
    <w:rsid w:val="008A71EA"/>
    <w:rsid w:val="008A71EF"/>
    <w:rsid w:val="008A7340"/>
    <w:rsid w:val="008A7777"/>
    <w:rsid w:val="008A781D"/>
    <w:rsid w:val="008A7865"/>
    <w:rsid w:val="008A79CC"/>
    <w:rsid w:val="008A79D2"/>
    <w:rsid w:val="008A7A02"/>
    <w:rsid w:val="008A7C17"/>
    <w:rsid w:val="008A7C8B"/>
    <w:rsid w:val="008A7DB1"/>
    <w:rsid w:val="008A7E41"/>
    <w:rsid w:val="008A7E49"/>
    <w:rsid w:val="008A7FE7"/>
    <w:rsid w:val="008B0050"/>
    <w:rsid w:val="008B00F7"/>
    <w:rsid w:val="008B0122"/>
    <w:rsid w:val="008B0123"/>
    <w:rsid w:val="008B016B"/>
    <w:rsid w:val="008B037E"/>
    <w:rsid w:val="008B03E7"/>
    <w:rsid w:val="008B0431"/>
    <w:rsid w:val="008B0445"/>
    <w:rsid w:val="008B0488"/>
    <w:rsid w:val="008B0494"/>
    <w:rsid w:val="008B04AA"/>
    <w:rsid w:val="008B0660"/>
    <w:rsid w:val="008B0698"/>
    <w:rsid w:val="008B06B1"/>
    <w:rsid w:val="008B06D6"/>
    <w:rsid w:val="008B0788"/>
    <w:rsid w:val="008B085C"/>
    <w:rsid w:val="008B08B8"/>
    <w:rsid w:val="008B09DF"/>
    <w:rsid w:val="008B09E2"/>
    <w:rsid w:val="008B0AF0"/>
    <w:rsid w:val="008B0B2C"/>
    <w:rsid w:val="008B0BD6"/>
    <w:rsid w:val="008B0C04"/>
    <w:rsid w:val="008B0C24"/>
    <w:rsid w:val="008B0C55"/>
    <w:rsid w:val="008B0DD6"/>
    <w:rsid w:val="008B0F0A"/>
    <w:rsid w:val="008B0F82"/>
    <w:rsid w:val="008B0FFB"/>
    <w:rsid w:val="008B1019"/>
    <w:rsid w:val="008B119C"/>
    <w:rsid w:val="008B11BB"/>
    <w:rsid w:val="008B1295"/>
    <w:rsid w:val="008B134C"/>
    <w:rsid w:val="008B14BC"/>
    <w:rsid w:val="008B1524"/>
    <w:rsid w:val="008B1651"/>
    <w:rsid w:val="008B1655"/>
    <w:rsid w:val="008B1683"/>
    <w:rsid w:val="008B16EE"/>
    <w:rsid w:val="008B18AA"/>
    <w:rsid w:val="008B19C6"/>
    <w:rsid w:val="008B1A85"/>
    <w:rsid w:val="008B1C4A"/>
    <w:rsid w:val="008B1C52"/>
    <w:rsid w:val="008B1C6C"/>
    <w:rsid w:val="008B1DC3"/>
    <w:rsid w:val="008B1E32"/>
    <w:rsid w:val="008B1E3C"/>
    <w:rsid w:val="008B2056"/>
    <w:rsid w:val="008B20CE"/>
    <w:rsid w:val="008B2116"/>
    <w:rsid w:val="008B21DB"/>
    <w:rsid w:val="008B21EB"/>
    <w:rsid w:val="008B2280"/>
    <w:rsid w:val="008B23C9"/>
    <w:rsid w:val="008B2511"/>
    <w:rsid w:val="008B2607"/>
    <w:rsid w:val="008B264A"/>
    <w:rsid w:val="008B2702"/>
    <w:rsid w:val="008B2728"/>
    <w:rsid w:val="008B2745"/>
    <w:rsid w:val="008B294A"/>
    <w:rsid w:val="008B29A5"/>
    <w:rsid w:val="008B2B00"/>
    <w:rsid w:val="008B2BC2"/>
    <w:rsid w:val="008B2BE2"/>
    <w:rsid w:val="008B2C96"/>
    <w:rsid w:val="008B2D3E"/>
    <w:rsid w:val="008B2D44"/>
    <w:rsid w:val="008B2D5A"/>
    <w:rsid w:val="008B2E49"/>
    <w:rsid w:val="008B2FFE"/>
    <w:rsid w:val="008B306C"/>
    <w:rsid w:val="008B31B7"/>
    <w:rsid w:val="008B31E1"/>
    <w:rsid w:val="008B3221"/>
    <w:rsid w:val="008B34E3"/>
    <w:rsid w:val="008B34EA"/>
    <w:rsid w:val="008B352B"/>
    <w:rsid w:val="008B3548"/>
    <w:rsid w:val="008B3595"/>
    <w:rsid w:val="008B35B2"/>
    <w:rsid w:val="008B3635"/>
    <w:rsid w:val="008B3662"/>
    <w:rsid w:val="008B3690"/>
    <w:rsid w:val="008B36F0"/>
    <w:rsid w:val="008B37B3"/>
    <w:rsid w:val="008B3830"/>
    <w:rsid w:val="008B387C"/>
    <w:rsid w:val="008B3923"/>
    <w:rsid w:val="008B3AAF"/>
    <w:rsid w:val="008B3AB2"/>
    <w:rsid w:val="008B3B09"/>
    <w:rsid w:val="008B3C04"/>
    <w:rsid w:val="008B3DCD"/>
    <w:rsid w:val="008B3DED"/>
    <w:rsid w:val="008B3E0D"/>
    <w:rsid w:val="008B3EC7"/>
    <w:rsid w:val="008B3FD2"/>
    <w:rsid w:val="008B401B"/>
    <w:rsid w:val="008B40BC"/>
    <w:rsid w:val="008B4102"/>
    <w:rsid w:val="008B421F"/>
    <w:rsid w:val="008B4249"/>
    <w:rsid w:val="008B425D"/>
    <w:rsid w:val="008B4299"/>
    <w:rsid w:val="008B42BC"/>
    <w:rsid w:val="008B4319"/>
    <w:rsid w:val="008B438C"/>
    <w:rsid w:val="008B469A"/>
    <w:rsid w:val="008B46BF"/>
    <w:rsid w:val="008B490A"/>
    <w:rsid w:val="008B49D6"/>
    <w:rsid w:val="008B49EE"/>
    <w:rsid w:val="008B4B32"/>
    <w:rsid w:val="008B4C01"/>
    <w:rsid w:val="008B4E35"/>
    <w:rsid w:val="008B4E4E"/>
    <w:rsid w:val="008B4F20"/>
    <w:rsid w:val="008B4F68"/>
    <w:rsid w:val="008B50C7"/>
    <w:rsid w:val="008B52D8"/>
    <w:rsid w:val="008B52FD"/>
    <w:rsid w:val="008B53E4"/>
    <w:rsid w:val="008B5436"/>
    <w:rsid w:val="008B5523"/>
    <w:rsid w:val="008B5559"/>
    <w:rsid w:val="008B55A2"/>
    <w:rsid w:val="008B5620"/>
    <w:rsid w:val="008B5633"/>
    <w:rsid w:val="008B56EB"/>
    <w:rsid w:val="008B583D"/>
    <w:rsid w:val="008B5858"/>
    <w:rsid w:val="008B58A6"/>
    <w:rsid w:val="008B58CA"/>
    <w:rsid w:val="008B59CC"/>
    <w:rsid w:val="008B5B2D"/>
    <w:rsid w:val="008B5DBC"/>
    <w:rsid w:val="008B5E4D"/>
    <w:rsid w:val="008B6026"/>
    <w:rsid w:val="008B6053"/>
    <w:rsid w:val="008B6153"/>
    <w:rsid w:val="008B61EC"/>
    <w:rsid w:val="008B625A"/>
    <w:rsid w:val="008B625F"/>
    <w:rsid w:val="008B6332"/>
    <w:rsid w:val="008B634A"/>
    <w:rsid w:val="008B6643"/>
    <w:rsid w:val="008B66D9"/>
    <w:rsid w:val="008B6750"/>
    <w:rsid w:val="008B6814"/>
    <w:rsid w:val="008B68DC"/>
    <w:rsid w:val="008B693E"/>
    <w:rsid w:val="008B6AB1"/>
    <w:rsid w:val="008B6B35"/>
    <w:rsid w:val="008B6C31"/>
    <w:rsid w:val="008B6CC1"/>
    <w:rsid w:val="008B6D39"/>
    <w:rsid w:val="008B6D52"/>
    <w:rsid w:val="008B6D98"/>
    <w:rsid w:val="008B6E49"/>
    <w:rsid w:val="008B6ED3"/>
    <w:rsid w:val="008B6F23"/>
    <w:rsid w:val="008B6F37"/>
    <w:rsid w:val="008B6FA1"/>
    <w:rsid w:val="008B6FF7"/>
    <w:rsid w:val="008B7005"/>
    <w:rsid w:val="008B703F"/>
    <w:rsid w:val="008B7065"/>
    <w:rsid w:val="008B709F"/>
    <w:rsid w:val="008B71C9"/>
    <w:rsid w:val="008B721A"/>
    <w:rsid w:val="008B723C"/>
    <w:rsid w:val="008B724C"/>
    <w:rsid w:val="008B72E8"/>
    <w:rsid w:val="008B74AC"/>
    <w:rsid w:val="008B7505"/>
    <w:rsid w:val="008B7507"/>
    <w:rsid w:val="008B7547"/>
    <w:rsid w:val="008B755D"/>
    <w:rsid w:val="008B75AE"/>
    <w:rsid w:val="008B75F8"/>
    <w:rsid w:val="008B76C0"/>
    <w:rsid w:val="008B76CF"/>
    <w:rsid w:val="008B76D0"/>
    <w:rsid w:val="008B7760"/>
    <w:rsid w:val="008B77CC"/>
    <w:rsid w:val="008B77DF"/>
    <w:rsid w:val="008B7882"/>
    <w:rsid w:val="008B78BB"/>
    <w:rsid w:val="008B78F3"/>
    <w:rsid w:val="008B7A32"/>
    <w:rsid w:val="008B7DA4"/>
    <w:rsid w:val="008B7DD2"/>
    <w:rsid w:val="008B7DFA"/>
    <w:rsid w:val="008B7F1B"/>
    <w:rsid w:val="008B7F90"/>
    <w:rsid w:val="008B7FA5"/>
    <w:rsid w:val="008C014E"/>
    <w:rsid w:val="008C018C"/>
    <w:rsid w:val="008C0330"/>
    <w:rsid w:val="008C03E3"/>
    <w:rsid w:val="008C0453"/>
    <w:rsid w:val="008C0503"/>
    <w:rsid w:val="008C0589"/>
    <w:rsid w:val="008C05E2"/>
    <w:rsid w:val="008C071D"/>
    <w:rsid w:val="008C075E"/>
    <w:rsid w:val="008C0772"/>
    <w:rsid w:val="008C077F"/>
    <w:rsid w:val="008C08FC"/>
    <w:rsid w:val="008C0911"/>
    <w:rsid w:val="008C0981"/>
    <w:rsid w:val="008C0AA8"/>
    <w:rsid w:val="008C0BA0"/>
    <w:rsid w:val="008C0BBA"/>
    <w:rsid w:val="008C0C80"/>
    <w:rsid w:val="008C0CC9"/>
    <w:rsid w:val="008C0D7B"/>
    <w:rsid w:val="008C0DCC"/>
    <w:rsid w:val="008C0DF7"/>
    <w:rsid w:val="008C0E1A"/>
    <w:rsid w:val="008C0E2A"/>
    <w:rsid w:val="008C0E2B"/>
    <w:rsid w:val="008C0E57"/>
    <w:rsid w:val="008C0F5A"/>
    <w:rsid w:val="008C0FB4"/>
    <w:rsid w:val="008C1002"/>
    <w:rsid w:val="008C1075"/>
    <w:rsid w:val="008C108C"/>
    <w:rsid w:val="008C1091"/>
    <w:rsid w:val="008C1108"/>
    <w:rsid w:val="008C1124"/>
    <w:rsid w:val="008C1158"/>
    <w:rsid w:val="008C12A0"/>
    <w:rsid w:val="008C12F7"/>
    <w:rsid w:val="008C137A"/>
    <w:rsid w:val="008C13D1"/>
    <w:rsid w:val="008C1507"/>
    <w:rsid w:val="008C1610"/>
    <w:rsid w:val="008C16CB"/>
    <w:rsid w:val="008C172A"/>
    <w:rsid w:val="008C1764"/>
    <w:rsid w:val="008C1860"/>
    <w:rsid w:val="008C1884"/>
    <w:rsid w:val="008C18E1"/>
    <w:rsid w:val="008C1957"/>
    <w:rsid w:val="008C198F"/>
    <w:rsid w:val="008C1A21"/>
    <w:rsid w:val="008C1B00"/>
    <w:rsid w:val="008C1B68"/>
    <w:rsid w:val="008C1C87"/>
    <w:rsid w:val="008C1D2C"/>
    <w:rsid w:val="008C1E05"/>
    <w:rsid w:val="008C1E0C"/>
    <w:rsid w:val="008C1E6C"/>
    <w:rsid w:val="008C2023"/>
    <w:rsid w:val="008C2028"/>
    <w:rsid w:val="008C2180"/>
    <w:rsid w:val="008C21CF"/>
    <w:rsid w:val="008C2258"/>
    <w:rsid w:val="008C24F8"/>
    <w:rsid w:val="008C2513"/>
    <w:rsid w:val="008C2560"/>
    <w:rsid w:val="008C25A0"/>
    <w:rsid w:val="008C2607"/>
    <w:rsid w:val="008C2632"/>
    <w:rsid w:val="008C264A"/>
    <w:rsid w:val="008C26F1"/>
    <w:rsid w:val="008C27E8"/>
    <w:rsid w:val="008C28DD"/>
    <w:rsid w:val="008C297E"/>
    <w:rsid w:val="008C2987"/>
    <w:rsid w:val="008C2B72"/>
    <w:rsid w:val="008C2BCF"/>
    <w:rsid w:val="008C2C73"/>
    <w:rsid w:val="008C2CD9"/>
    <w:rsid w:val="008C2D0E"/>
    <w:rsid w:val="008C2E65"/>
    <w:rsid w:val="008C2F3E"/>
    <w:rsid w:val="008C2F8F"/>
    <w:rsid w:val="008C2FFE"/>
    <w:rsid w:val="008C3169"/>
    <w:rsid w:val="008C31E3"/>
    <w:rsid w:val="008C3252"/>
    <w:rsid w:val="008C3280"/>
    <w:rsid w:val="008C3353"/>
    <w:rsid w:val="008C3387"/>
    <w:rsid w:val="008C3400"/>
    <w:rsid w:val="008C3478"/>
    <w:rsid w:val="008C34EF"/>
    <w:rsid w:val="008C367C"/>
    <w:rsid w:val="008C36E2"/>
    <w:rsid w:val="008C3702"/>
    <w:rsid w:val="008C37D0"/>
    <w:rsid w:val="008C3870"/>
    <w:rsid w:val="008C3907"/>
    <w:rsid w:val="008C3928"/>
    <w:rsid w:val="008C3967"/>
    <w:rsid w:val="008C39B0"/>
    <w:rsid w:val="008C39DB"/>
    <w:rsid w:val="008C39DD"/>
    <w:rsid w:val="008C3D4E"/>
    <w:rsid w:val="008C3FAA"/>
    <w:rsid w:val="008C419B"/>
    <w:rsid w:val="008C41A7"/>
    <w:rsid w:val="008C4290"/>
    <w:rsid w:val="008C42CC"/>
    <w:rsid w:val="008C42F1"/>
    <w:rsid w:val="008C46CB"/>
    <w:rsid w:val="008C47A9"/>
    <w:rsid w:val="008C47C9"/>
    <w:rsid w:val="008C4A3C"/>
    <w:rsid w:val="008C4A5B"/>
    <w:rsid w:val="008C4C1E"/>
    <w:rsid w:val="008C4C40"/>
    <w:rsid w:val="008C4CED"/>
    <w:rsid w:val="008C4DBB"/>
    <w:rsid w:val="008C4E37"/>
    <w:rsid w:val="008C4EBB"/>
    <w:rsid w:val="008C4F6E"/>
    <w:rsid w:val="008C4F71"/>
    <w:rsid w:val="008C50EF"/>
    <w:rsid w:val="008C5173"/>
    <w:rsid w:val="008C51D0"/>
    <w:rsid w:val="008C5203"/>
    <w:rsid w:val="008C5252"/>
    <w:rsid w:val="008C5289"/>
    <w:rsid w:val="008C52BA"/>
    <w:rsid w:val="008C532F"/>
    <w:rsid w:val="008C5340"/>
    <w:rsid w:val="008C53BA"/>
    <w:rsid w:val="008C54DA"/>
    <w:rsid w:val="008C5502"/>
    <w:rsid w:val="008C55B3"/>
    <w:rsid w:val="008C5724"/>
    <w:rsid w:val="008C5804"/>
    <w:rsid w:val="008C597E"/>
    <w:rsid w:val="008C59A5"/>
    <w:rsid w:val="008C5AC6"/>
    <w:rsid w:val="008C5B95"/>
    <w:rsid w:val="008C5BE1"/>
    <w:rsid w:val="008C5D7D"/>
    <w:rsid w:val="008C5E1C"/>
    <w:rsid w:val="008C5E53"/>
    <w:rsid w:val="008C5E57"/>
    <w:rsid w:val="008C5F0C"/>
    <w:rsid w:val="008C5F19"/>
    <w:rsid w:val="008C5F34"/>
    <w:rsid w:val="008C5F63"/>
    <w:rsid w:val="008C5F6D"/>
    <w:rsid w:val="008C5F71"/>
    <w:rsid w:val="008C5FD3"/>
    <w:rsid w:val="008C60EA"/>
    <w:rsid w:val="008C61D3"/>
    <w:rsid w:val="008C622A"/>
    <w:rsid w:val="008C6260"/>
    <w:rsid w:val="008C628A"/>
    <w:rsid w:val="008C64D3"/>
    <w:rsid w:val="008C65EA"/>
    <w:rsid w:val="008C6636"/>
    <w:rsid w:val="008C6657"/>
    <w:rsid w:val="008C68AF"/>
    <w:rsid w:val="008C68F3"/>
    <w:rsid w:val="008C69EE"/>
    <w:rsid w:val="008C6A4F"/>
    <w:rsid w:val="008C6AC0"/>
    <w:rsid w:val="008C6ACA"/>
    <w:rsid w:val="008C6BCD"/>
    <w:rsid w:val="008C6C87"/>
    <w:rsid w:val="008C6C88"/>
    <w:rsid w:val="008C6CB1"/>
    <w:rsid w:val="008C6CE2"/>
    <w:rsid w:val="008C6D56"/>
    <w:rsid w:val="008C6EED"/>
    <w:rsid w:val="008C7030"/>
    <w:rsid w:val="008C703F"/>
    <w:rsid w:val="008C704F"/>
    <w:rsid w:val="008C7077"/>
    <w:rsid w:val="008C70B9"/>
    <w:rsid w:val="008C70E7"/>
    <w:rsid w:val="008C72CE"/>
    <w:rsid w:val="008C7353"/>
    <w:rsid w:val="008C73C8"/>
    <w:rsid w:val="008C74E3"/>
    <w:rsid w:val="008C7591"/>
    <w:rsid w:val="008C7652"/>
    <w:rsid w:val="008C7671"/>
    <w:rsid w:val="008C778C"/>
    <w:rsid w:val="008C78EA"/>
    <w:rsid w:val="008C79A0"/>
    <w:rsid w:val="008C7AF9"/>
    <w:rsid w:val="008C7B32"/>
    <w:rsid w:val="008C7B37"/>
    <w:rsid w:val="008C7C05"/>
    <w:rsid w:val="008C7CAB"/>
    <w:rsid w:val="008C7DD2"/>
    <w:rsid w:val="008C7F3C"/>
    <w:rsid w:val="008C7FBC"/>
    <w:rsid w:val="008C7FEF"/>
    <w:rsid w:val="008D0109"/>
    <w:rsid w:val="008D015C"/>
    <w:rsid w:val="008D030C"/>
    <w:rsid w:val="008D0334"/>
    <w:rsid w:val="008D038B"/>
    <w:rsid w:val="008D03EE"/>
    <w:rsid w:val="008D047F"/>
    <w:rsid w:val="008D05EA"/>
    <w:rsid w:val="008D0629"/>
    <w:rsid w:val="008D067C"/>
    <w:rsid w:val="008D068E"/>
    <w:rsid w:val="008D0821"/>
    <w:rsid w:val="008D0903"/>
    <w:rsid w:val="008D09B3"/>
    <w:rsid w:val="008D09BB"/>
    <w:rsid w:val="008D0C20"/>
    <w:rsid w:val="008D0C38"/>
    <w:rsid w:val="008D0D95"/>
    <w:rsid w:val="008D0E13"/>
    <w:rsid w:val="008D0E57"/>
    <w:rsid w:val="008D0F81"/>
    <w:rsid w:val="008D0FD4"/>
    <w:rsid w:val="008D1062"/>
    <w:rsid w:val="008D1159"/>
    <w:rsid w:val="008D1252"/>
    <w:rsid w:val="008D1260"/>
    <w:rsid w:val="008D1290"/>
    <w:rsid w:val="008D130F"/>
    <w:rsid w:val="008D13E4"/>
    <w:rsid w:val="008D1427"/>
    <w:rsid w:val="008D14A7"/>
    <w:rsid w:val="008D14B2"/>
    <w:rsid w:val="008D14B9"/>
    <w:rsid w:val="008D14BD"/>
    <w:rsid w:val="008D1510"/>
    <w:rsid w:val="008D163B"/>
    <w:rsid w:val="008D167A"/>
    <w:rsid w:val="008D16B5"/>
    <w:rsid w:val="008D16CB"/>
    <w:rsid w:val="008D1717"/>
    <w:rsid w:val="008D174D"/>
    <w:rsid w:val="008D18CA"/>
    <w:rsid w:val="008D1926"/>
    <w:rsid w:val="008D1A95"/>
    <w:rsid w:val="008D1D7E"/>
    <w:rsid w:val="008D1D92"/>
    <w:rsid w:val="008D1E03"/>
    <w:rsid w:val="008D1F02"/>
    <w:rsid w:val="008D20AF"/>
    <w:rsid w:val="008D2103"/>
    <w:rsid w:val="008D2105"/>
    <w:rsid w:val="008D2208"/>
    <w:rsid w:val="008D2233"/>
    <w:rsid w:val="008D225F"/>
    <w:rsid w:val="008D227D"/>
    <w:rsid w:val="008D22CD"/>
    <w:rsid w:val="008D2347"/>
    <w:rsid w:val="008D2374"/>
    <w:rsid w:val="008D24A9"/>
    <w:rsid w:val="008D26A5"/>
    <w:rsid w:val="008D26F4"/>
    <w:rsid w:val="008D27B7"/>
    <w:rsid w:val="008D28F1"/>
    <w:rsid w:val="008D2902"/>
    <w:rsid w:val="008D29B1"/>
    <w:rsid w:val="008D2B4F"/>
    <w:rsid w:val="008D2CD9"/>
    <w:rsid w:val="008D2D3C"/>
    <w:rsid w:val="008D2DBD"/>
    <w:rsid w:val="008D2DCB"/>
    <w:rsid w:val="008D2DE8"/>
    <w:rsid w:val="008D2DEB"/>
    <w:rsid w:val="008D2DF5"/>
    <w:rsid w:val="008D2E46"/>
    <w:rsid w:val="008D2E62"/>
    <w:rsid w:val="008D2ECB"/>
    <w:rsid w:val="008D2F8D"/>
    <w:rsid w:val="008D309C"/>
    <w:rsid w:val="008D31BA"/>
    <w:rsid w:val="008D3233"/>
    <w:rsid w:val="008D32B8"/>
    <w:rsid w:val="008D3348"/>
    <w:rsid w:val="008D33CC"/>
    <w:rsid w:val="008D346E"/>
    <w:rsid w:val="008D34B3"/>
    <w:rsid w:val="008D3683"/>
    <w:rsid w:val="008D3712"/>
    <w:rsid w:val="008D371B"/>
    <w:rsid w:val="008D3910"/>
    <w:rsid w:val="008D3957"/>
    <w:rsid w:val="008D39BB"/>
    <w:rsid w:val="008D39CA"/>
    <w:rsid w:val="008D3AC3"/>
    <w:rsid w:val="008D3ACE"/>
    <w:rsid w:val="008D3D2F"/>
    <w:rsid w:val="008D3DBB"/>
    <w:rsid w:val="008D3E28"/>
    <w:rsid w:val="008D3FD4"/>
    <w:rsid w:val="008D4019"/>
    <w:rsid w:val="008D4050"/>
    <w:rsid w:val="008D405F"/>
    <w:rsid w:val="008D406B"/>
    <w:rsid w:val="008D40DA"/>
    <w:rsid w:val="008D40FF"/>
    <w:rsid w:val="008D4122"/>
    <w:rsid w:val="008D41E1"/>
    <w:rsid w:val="008D41E7"/>
    <w:rsid w:val="008D425F"/>
    <w:rsid w:val="008D426D"/>
    <w:rsid w:val="008D4294"/>
    <w:rsid w:val="008D434A"/>
    <w:rsid w:val="008D435A"/>
    <w:rsid w:val="008D4390"/>
    <w:rsid w:val="008D442E"/>
    <w:rsid w:val="008D4442"/>
    <w:rsid w:val="008D462F"/>
    <w:rsid w:val="008D4701"/>
    <w:rsid w:val="008D48C3"/>
    <w:rsid w:val="008D48E8"/>
    <w:rsid w:val="008D48F6"/>
    <w:rsid w:val="008D49E4"/>
    <w:rsid w:val="008D4AD7"/>
    <w:rsid w:val="008D4B1A"/>
    <w:rsid w:val="008D4D00"/>
    <w:rsid w:val="008D4D4E"/>
    <w:rsid w:val="008D4E52"/>
    <w:rsid w:val="008D4E87"/>
    <w:rsid w:val="008D5088"/>
    <w:rsid w:val="008D50C5"/>
    <w:rsid w:val="008D51D5"/>
    <w:rsid w:val="008D5342"/>
    <w:rsid w:val="008D5391"/>
    <w:rsid w:val="008D53AA"/>
    <w:rsid w:val="008D5401"/>
    <w:rsid w:val="008D5448"/>
    <w:rsid w:val="008D5450"/>
    <w:rsid w:val="008D5509"/>
    <w:rsid w:val="008D56DC"/>
    <w:rsid w:val="008D56FA"/>
    <w:rsid w:val="008D5736"/>
    <w:rsid w:val="008D575B"/>
    <w:rsid w:val="008D587B"/>
    <w:rsid w:val="008D589F"/>
    <w:rsid w:val="008D58C4"/>
    <w:rsid w:val="008D58D9"/>
    <w:rsid w:val="008D5AAE"/>
    <w:rsid w:val="008D5BED"/>
    <w:rsid w:val="008D5C1D"/>
    <w:rsid w:val="008D5C4C"/>
    <w:rsid w:val="008D5C8A"/>
    <w:rsid w:val="008D5D35"/>
    <w:rsid w:val="008D5D6F"/>
    <w:rsid w:val="008D5DE6"/>
    <w:rsid w:val="008D5E36"/>
    <w:rsid w:val="008D5E4A"/>
    <w:rsid w:val="008D60E3"/>
    <w:rsid w:val="008D60F6"/>
    <w:rsid w:val="008D6242"/>
    <w:rsid w:val="008D6445"/>
    <w:rsid w:val="008D644C"/>
    <w:rsid w:val="008D6456"/>
    <w:rsid w:val="008D649C"/>
    <w:rsid w:val="008D6552"/>
    <w:rsid w:val="008D6595"/>
    <w:rsid w:val="008D6597"/>
    <w:rsid w:val="008D65F5"/>
    <w:rsid w:val="008D67A0"/>
    <w:rsid w:val="008D68BD"/>
    <w:rsid w:val="008D68FE"/>
    <w:rsid w:val="008D6930"/>
    <w:rsid w:val="008D6942"/>
    <w:rsid w:val="008D698A"/>
    <w:rsid w:val="008D6AEE"/>
    <w:rsid w:val="008D6BD4"/>
    <w:rsid w:val="008D6BF6"/>
    <w:rsid w:val="008D6C9C"/>
    <w:rsid w:val="008D6D7F"/>
    <w:rsid w:val="008D6EA5"/>
    <w:rsid w:val="008D6F78"/>
    <w:rsid w:val="008D7000"/>
    <w:rsid w:val="008D7044"/>
    <w:rsid w:val="008D70B3"/>
    <w:rsid w:val="008D7195"/>
    <w:rsid w:val="008D720C"/>
    <w:rsid w:val="008D7281"/>
    <w:rsid w:val="008D7339"/>
    <w:rsid w:val="008D738A"/>
    <w:rsid w:val="008D74B1"/>
    <w:rsid w:val="008D74F0"/>
    <w:rsid w:val="008D756D"/>
    <w:rsid w:val="008D76EA"/>
    <w:rsid w:val="008D7773"/>
    <w:rsid w:val="008D77AF"/>
    <w:rsid w:val="008D7899"/>
    <w:rsid w:val="008D7924"/>
    <w:rsid w:val="008D7950"/>
    <w:rsid w:val="008D7961"/>
    <w:rsid w:val="008D7964"/>
    <w:rsid w:val="008D7B84"/>
    <w:rsid w:val="008D7C65"/>
    <w:rsid w:val="008D7C8B"/>
    <w:rsid w:val="008D7CC3"/>
    <w:rsid w:val="008D7D55"/>
    <w:rsid w:val="008D7DE5"/>
    <w:rsid w:val="008D7E32"/>
    <w:rsid w:val="008D7E91"/>
    <w:rsid w:val="008D7ED1"/>
    <w:rsid w:val="008D7F55"/>
    <w:rsid w:val="008E005C"/>
    <w:rsid w:val="008E0082"/>
    <w:rsid w:val="008E012B"/>
    <w:rsid w:val="008E01CD"/>
    <w:rsid w:val="008E01E7"/>
    <w:rsid w:val="008E0347"/>
    <w:rsid w:val="008E03EE"/>
    <w:rsid w:val="008E04BB"/>
    <w:rsid w:val="008E054B"/>
    <w:rsid w:val="008E0570"/>
    <w:rsid w:val="008E05B4"/>
    <w:rsid w:val="008E083F"/>
    <w:rsid w:val="008E0946"/>
    <w:rsid w:val="008E0988"/>
    <w:rsid w:val="008E0AA4"/>
    <w:rsid w:val="008E0B6E"/>
    <w:rsid w:val="008E0BA8"/>
    <w:rsid w:val="008E0BD5"/>
    <w:rsid w:val="008E0CB8"/>
    <w:rsid w:val="008E0CEE"/>
    <w:rsid w:val="008E0D21"/>
    <w:rsid w:val="008E0D8A"/>
    <w:rsid w:val="008E0D8F"/>
    <w:rsid w:val="008E0DCD"/>
    <w:rsid w:val="008E0EBD"/>
    <w:rsid w:val="008E1099"/>
    <w:rsid w:val="008E10CA"/>
    <w:rsid w:val="008E110F"/>
    <w:rsid w:val="008E1156"/>
    <w:rsid w:val="008E1203"/>
    <w:rsid w:val="008E1344"/>
    <w:rsid w:val="008E13D8"/>
    <w:rsid w:val="008E14EB"/>
    <w:rsid w:val="008E15B5"/>
    <w:rsid w:val="008E15B9"/>
    <w:rsid w:val="008E1610"/>
    <w:rsid w:val="008E1647"/>
    <w:rsid w:val="008E1722"/>
    <w:rsid w:val="008E17DC"/>
    <w:rsid w:val="008E18AF"/>
    <w:rsid w:val="008E1905"/>
    <w:rsid w:val="008E19E6"/>
    <w:rsid w:val="008E1A39"/>
    <w:rsid w:val="008E1A81"/>
    <w:rsid w:val="008E1AA1"/>
    <w:rsid w:val="008E1B66"/>
    <w:rsid w:val="008E1C34"/>
    <w:rsid w:val="008E1CA6"/>
    <w:rsid w:val="008E1D1D"/>
    <w:rsid w:val="008E1DA0"/>
    <w:rsid w:val="008E1EC2"/>
    <w:rsid w:val="008E1F0F"/>
    <w:rsid w:val="008E2069"/>
    <w:rsid w:val="008E2097"/>
    <w:rsid w:val="008E2145"/>
    <w:rsid w:val="008E223B"/>
    <w:rsid w:val="008E224A"/>
    <w:rsid w:val="008E22C3"/>
    <w:rsid w:val="008E23D9"/>
    <w:rsid w:val="008E249F"/>
    <w:rsid w:val="008E254E"/>
    <w:rsid w:val="008E2667"/>
    <w:rsid w:val="008E26B6"/>
    <w:rsid w:val="008E2729"/>
    <w:rsid w:val="008E2793"/>
    <w:rsid w:val="008E291B"/>
    <w:rsid w:val="008E2A54"/>
    <w:rsid w:val="008E2A5B"/>
    <w:rsid w:val="008E2AB0"/>
    <w:rsid w:val="008E2AD5"/>
    <w:rsid w:val="008E2AE3"/>
    <w:rsid w:val="008E2AF5"/>
    <w:rsid w:val="008E2B93"/>
    <w:rsid w:val="008E2BA0"/>
    <w:rsid w:val="008E2C5D"/>
    <w:rsid w:val="008E2D62"/>
    <w:rsid w:val="008E2E1A"/>
    <w:rsid w:val="008E2E93"/>
    <w:rsid w:val="008E2FAA"/>
    <w:rsid w:val="008E30A0"/>
    <w:rsid w:val="008E315A"/>
    <w:rsid w:val="008E31BC"/>
    <w:rsid w:val="008E325F"/>
    <w:rsid w:val="008E32B5"/>
    <w:rsid w:val="008E33FC"/>
    <w:rsid w:val="008E340F"/>
    <w:rsid w:val="008E341F"/>
    <w:rsid w:val="008E34D9"/>
    <w:rsid w:val="008E3529"/>
    <w:rsid w:val="008E3580"/>
    <w:rsid w:val="008E3593"/>
    <w:rsid w:val="008E35FF"/>
    <w:rsid w:val="008E3761"/>
    <w:rsid w:val="008E37C6"/>
    <w:rsid w:val="008E37F7"/>
    <w:rsid w:val="008E3860"/>
    <w:rsid w:val="008E3878"/>
    <w:rsid w:val="008E3892"/>
    <w:rsid w:val="008E393F"/>
    <w:rsid w:val="008E399E"/>
    <w:rsid w:val="008E3AC1"/>
    <w:rsid w:val="008E3B64"/>
    <w:rsid w:val="008E3C7F"/>
    <w:rsid w:val="008E3C9F"/>
    <w:rsid w:val="008E3D06"/>
    <w:rsid w:val="008E3D19"/>
    <w:rsid w:val="008E3D4B"/>
    <w:rsid w:val="008E3FD4"/>
    <w:rsid w:val="008E40AB"/>
    <w:rsid w:val="008E411C"/>
    <w:rsid w:val="008E41D0"/>
    <w:rsid w:val="008E42CB"/>
    <w:rsid w:val="008E4395"/>
    <w:rsid w:val="008E43EC"/>
    <w:rsid w:val="008E440B"/>
    <w:rsid w:val="008E4439"/>
    <w:rsid w:val="008E465D"/>
    <w:rsid w:val="008E468C"/>
    <w:rsid w:val="008E46E9"/>
    <w:rsid w:val="008E471E"/>
    <w:rsid w:val="008E4742"/>
    <w:rsid w:val="008E4854"/>
    <w:rsid w:val="008E4859"/>
    <w:rsid w:val="008E48D3"/>
    <w:rsid w:val="008E4954"/>
    <w:rsid w:val="008E4B3B"/>
    <w:rsid w:val="008E4C19"/>
    <w:rsid w:val="008E4CB3"/>
    <w:rsid w:val="008E4CF9"/>
    <w:rsid w:val="008E4D33"/>
    <w:rsid w:val="008E4D56"/>
    <w:rsid w:val="008E4DA6"/>
    <w:rsid w:val="008E4DB1"/>
    <w:rsid w:val="008E4DCF"/>
    <w:rsid w:val="008E4DD3"/>
    <w:rsid w:val="008E4E66"/>
    <w:rsid w:val="008E4EAE"/>
    <w:rsid w:val="008E4FE4"/>
    <w:rsid w:val="008E50D4"/>
    <w:rsid w:val="008E517C"/>
    <w:rsid w:val="008E51C0"/>
    <w:rsid w:val="008E5220"/>
    <w:rsid w:val="008E525A"/>
    <w:rsid w:val="008E53A6"/>
    <w:rsid w:val="008E53EC"/>
    <w:rsid w:val="008E5562"/>
    <w:rsid w:val="008E5614"/>
    <w:rsid w:val="008E5647"/>
    <w:rsid w:val="008E5683"/>
    <w:rsid w:val="008E56AD"/>
    <w:rsid w:val="008E57BF"/>
    <w:rsid w:val="008E581F"/>
    <w:rsid w:val="008E584D"/>
    <w:rsid w:val="008E5942"/>
    <w:rsid w:val="008E5973"/>
    <w:rsid w:val="008E59B5"/>
    <w:rsid w:val="008E59CB"/>
    <w:rsid w:val="008E5A11"/>
    <w:rsid w:val="008E5A53"/>
    <w:rsid w:val="008E5B18"/>
    <w:rsid w:val="008E5CEA"/>
    <w:rsid w:val="008E5F64"/>
    <w:rsid w:val="008E608E"/>
    <w:rsid w:val="008E609D"/>
    <w:rsid w:val="008E6175"/>
    <w:rsid w:val="008E6182"/>
    <w:rsid w:val="008E62D1"/>
    <w:rsid w:val="008E6345"/>
    <w:rsid w:val="008E6385"/>
    <w:rsid w:val="008E63BA"/>
    <w:rsid w:val="008E641C"/>
    <w:rsid w:val="008E65AC"/>
    <w:rsid w:val="008E65CB"/>
    <w:rsid w:val="008E66B7"/>
    <w:rsid w:val="008E66FB"/>
    <w:rsid w:val="008E678D"/>
    <w:rsid w:val="008E67B3"/>
    <w:rsid w:val="008E67F3"/>
    <w:rsid w:val="008E685B"/>
    <w:rsid w:val="008E6BCC"/>
    <w:rsid w:val="008E6C78"/>
    <w:rsid w:val="008E6CDE"/>
    <w:rsid w:val="008E6CEA"/>
    <w:rsid w:val="008E6D20"/>
    <w:rsid w:val="008E6D57"/>
    <w:rsid w:val="008E6E0E"/>
    <w:rsid w:val="008E6E35"/>
    <w:rsid w:val="008E6ED1"/>
    <w:rsid w:val="008E6EF3"/>
    <w:rsid w:val="008E7059"/>
    <w:rsid w:val="008E7078"/>
    <w:rsid w:val="008E72E8"/>
    <w:rsid w:val="008E730F"/>
    <w:rsid w:val="008E7363"/>
    <w:rsid w:val="008E73DE"/>
    <w:rsid w:val="008E76E8"/>
    <w:rsid w:val="008E7816"/>
    <w:rsid w:val="008E782B"/>
    <w:rsid w:val="008E7849"/>
    <w:rsid w:val="008E7942"/>
    <w:rsid w:val="008E798C"/>
    <w:rsid w:val="008E7A58"/>
    <w:rsid w:val="008E7AB9"/>
    <w:rsid w:val="008E7C4F"/>
    <w:rsid w:val="008E7CF0"/>
    <w:rsid w:val="008E7D57"/>
    <w:rsid w:val="008E7D75"/>
    <w:rsid w:val="008E7DA6"/>
    <w:rsid w:val="008E7DCA"/>
    <w:rsid w:val="008E7ED8"/>
    <w:rsid w:val="008F0051"/>
    <w:rsid w:val="008F0066"/>
    <w:rsid w:val="008F00EF"/>
    <w:rsid w:val="008F00F4"/>
    <w:rsid w:val="008F015C"/>
    <w:rsid w:val="008F01F0"/>
    <w:rsid w:val="008F0215"/>
    <w:rsid w:val="008F0223"/>
    <w:rsid w:val="008F022E"/>
    <w:rsid w:val="008F0254"/>
    <w:rsid w:val="008F032F"/>
    <w:rsid w:val="008F0410"/>
    <w:rsid w:val="008F043D"/>
    <w:rsid w:val="008F0477"/>
    <w:rsid w:val="008F0479"/>
    <w:rsid w:val="008F049A"/>
    <w:rsid w:val="008F04E7"/>
    <w:rsid w:val="008F0641"/>
    <w:rsid w:val="008F0959"/>
    <w:rsid w:val="008F0998"/>
    <w:rsid w:val="008F0AB0"/>
    <w:rsid w:val="008F0C60"/>
    <w:rsid w:val="008F0D3D"/>
    <w:rsid w:val="008F0D83"/>
    <w:rsid w:val="008F0E29"/>
    <w:rsid w:val="008F0E72"/>
    <w:rsid w:val="008F0F7A"/>
    <w:rsid w:val="008F0F8C"/>
    <w:rsid w:val="008F106D"/>
    <w:rsid w:val="008F11C9"/>
    <w:rsid w:val="008F1295"/>
    <w:rsid w:val="008F12DF"/>
    <w:rsid w:val="008F130B"/>
    <w:rsid w:val="008F1372"/>
    <w:rsid w:val="008F151E"/>
    <w:rsid w:val="008F16AB"/>
    <w:rsid w:val="008F16DA"/>
    <w:rsid w:val="008F174A"/>
    <w:rsid w:val="008F1864"/>
    <w:rsid w:val="008F188F"/>
    <w:rsid w:val="008F1949"/>
    <w:rsid w:val="008F1999"/>
    <w:rsid w:val="008F1B73"/>
    <w:rsid w:val="008F1B8B"/>
    <w:rsid w:val="008F1BA9"/>
    <w:rsid w:val="008F1BDE"/>
    <w:rsid w:val="008F1D8A"/>
    <w:rsid w:val="008F1D93"/>
    <w:rsid w:val="008F1DAA"/>
    <w:rsid w:val="008F1F9C"/>
    <w:rsid w:val="008F20A1"/>
    <w:rsid w:val="008F20A3"/>
    <w:rsid w:val="008F20EC"/>
    <w:rsid w:val="008F21E5"/>
    <w:rsid w:val="008F22D2"/>
    <w:rsid w:val="008F22DD"/>
    <w:rsid w:val="008F22E0"/>
    <w:rsid w:val="008F2334"/>
    <w:rsid w:val="008F233E"/>
    <w:rsid w:val="008F23BB"/>
    <w:rsid w:val="008F242B"/>
    <w:rsid w:val="008F252D"/>
    <w:rsid w:val="008F25D7"/>
    <w:rsid w:val="008F26BE"/>
    <w:rsid w:val="008F2703"/>
    <w:rsid w:val="008F273E"/>
    <w:rsid w:val="008F27E9"/>
    <w:rsid w:val="008F2834"/>
    <w:rsid w:val="008F2859"/>
    <w:rsid w:val="008F286A"/>
    <w:rsid w:val="008F2982"/>
    <w:rsid w:val="008F2ABF"/>
    <w:rsid w:val="008F2B88"/>
    <w:rsid w:val="008F2BBC"/>
    <w:rsid w:val="008F2BC8"/>
    <w:rsid w:val="008F2C56"/>
    <w:rsid w:val="008F2D34"/>
    <w:rsid w:val="008F2FC0"/>
    <w:rsid w:val="008F301F"/>
    <w:rsid w:val="008F30E2"/>
    <w:rsid w:val="008F3323"/>
    <w:rsid w:val="008F3346"/>
    <w:rsid w:val="008F3398"/>
    <w:rsid w:val="008F340F"/>
    <w:rsid w:val="008F35F8"/>
    <w:rsid w:val="008F36D8"/>
    <w:rsid w:val="008F3769"/>
    <w:rsid w:val="008F37FF"/>
    <w:rsid w:val="008F3834"/>
    <w:rsid w:val="008F38DF"/>
    <w:rsid w:val="008F38E1"/>
    <w:rsid w:val="008F3958"/>
    <w:rsid w:val="008F3959"/>
    <w:rsid w:val="008F3985"/>
    <w:rsid w:val="008F3A8D"/>
    <w:rsid w:val="008F3B2C"/>
    <w:rsid w:val="008F3BA5"/>
    <w:rsid w:val="008F3C9A"/>
    <w:rsid w:val="008F3D6A"/>
    <w:rsid w:val="008F4069"/>
    <w:rsid w:val="008F409A"/>
    <w:rsid w:val="008F4140"/>
    <w:rsid w:val="008F42E5"/>
    <w:rsid w:val="008F4302"/>
    <w:rsid w:val="008F4320"/>
    <w:rsid w:val="008F435A"/>
    <w:rsid w:val="008F4385"/>
    <w:rsid w:val="008F43F8"/>
    <w:rsid w:val="008F4489"/>
    <w:rsid w:val="008F4526"/>
    <w:rsid w:val="008F45DC"/>
    <w:rsid w:val="008F4675"/>
    <w:rsid w:val="008F4706"/>
    <w:rsid w:val="008F470E"/>
    <w:rsid w:val="008F4717"/>
    <w:rsid w:val="008F4781"/>
    <w:rsid w:val="008F47C1"/>
    <w:rsid w:val="008F47D8"/>
    <w:rsid w:val="008F48C2"/>
    <w:rsid w:val="008F4A85"/>
    <w:rsid w:val="008F4B64"/>
    <w:rsid w:val="008F4BDC"/>
    <w:rsid w:val="008F4CFC"/>
    <w:rsid w:val="008F4D23"/>
    <w:rsid w:val="008F4E42"/>
    <w:rsid w:val="008F4E58"/>
    <w:rsid w:val="008F4E68"/>
    <w:rsid w:val="008F4E9A"/>
    <w:rsid w:val="008F4EAD"/>
    <w:rsid w:val="008F4F27"/>
    <w:rsid w:val="008F5015"/>
    <w:rsid w:val="008F5167"/>
    <w:rsid w:val="008F51FF"/>
    <w:rsid w:val="008F5295"/>
    <w:rsid w:val="008F5359"/>
    <w:rsid w:val="008F53A2"/>
    <w:rsid w:val="008F54F6"/>
    <w:rsid w:val="008F5591"/>
    <w:rsid w:val="008F55BB"/>
    <w:rsid w:val="008F5620"/>
    <w:rsid w:val="008F56EA"/>
    <w:rsid w:val="008F5721"/>
    <w:rsid w:val="008F578B"/>
    <w:rsid w:val="008F5792"/>
    <w:rsid w:val="008F58D4"/>
    <w:rsid w:val="008F595E"/>
    <w:rsid w:val="008F5ACD"/>
    <w:rsid w:val="008F5B20"/>
    <w:rsid w:val="008F5B27"/>
    <w:rsid w:val="008F5B30"/>
    <w:rsid w:val="008F5B64"/>
    <w:rsid w:val="008F5C0B"/>
    <w:rsid w:val="008F5C13"/>
    <w:rsid w:val="008F5C75"/>
    <w:rsid w:val="008F5D05"/>
    <w:rsid w:val="008F5E39"/>
    <w:rsid w:val="008F5F3C"/>
    <w:rsid w:val="008F5F50"/>
    <w:rsid w:val="008F5F98"/>
    <w:rsid w:val="008F602F"/>
    <w:rsid w:val="008F61A4"/>
    <w:rsid w:val="008F6234"/>
    <w:rsid w:val="008F6260"/>
    <w:rsid w:val="008F6296"/>
    <w:rsid w:val="008F6336"/>
    <w:rsid w:val="008F6360"/>
    <w:rsid w:val="008F658A"/>
    <w:rsid w:val="008F66FA"/>
    <w:rsid w:val="008F6736"/>
    <w:rsid w:val="008F6756"/>
    <w:rsid w:val="008F6777"/>
    <w:rsid w:val="008F67FB"/>
    <w:rsid w:val="008F682F"/>
    <w:rsid w:val="008F6876"/>
    <w:rsid w:val="008F6913"/>
    <w:rsid w:val="008F69EE"/>
    <w:rsid w:val="008F6ACB"/>
    <w:rsid w:val="008F6BBB"/>
    <w:rsid w:val="008F6D82"/>
    <w:rsid w:val="008F6F40"/>
    <w:rsid w:val="008F712D"/>
    <w:rsid w:val="008F7143"/>
    <w:rsid w:val="008F7242"/>
    <w:rsid w:val="008F7326"/>
    <w:rsid w:val="008F7408"/>
    <w:rsid w:val="008F74E3"/>
    <w:rsid w:val="008F757F"/>
    <w:rsid w:val="008F761C"/>
    <w:rsid w:val="008F765B"/>
    <w:rsid w:val="008F76A5"/>
    <w:rsid w:val="008F773C"/>
    <w:rsid w:val="008F787C"/>
    <w:rsid w:val="008F78A6"/>
    <w:rsid w:val="008F791E"/>
    <w:rsid w:val="008F793B"/>
    <w:rsid w:val="008F79FE"/>
    <w:rsid w:val="008F7B11"/>
    <w:rsid w:val="008F7B90"/>
    <w:rsid w:val="008F7BCA"/>
    <w:rsid w:val="008F7D70"/>
    <w:rsid w:val="008F7DA7"/>
    <w:rsid w:val="008F7E5E"/>
    <w:rsid w:val="008F7F00"/>
    <w:rsid w:val="008F7FEE"/>
    <w:rsid w:val="0090001E"/>
    <w:rsid w:val="009000F3"/>
    <w:rsid w:val="00900190"/>
    <w:rsid w:val="00900195"/>
    <w:rsid w:val="00900365"/>
    <w:rsid w:val="009003CA"/>
    <w:rsid w:val="009003CC"/>
    <w:rsid w:val="00900429"/>
    <w:rsid w:val="009004BD"/>
    <w:rsid w:val="00900576"/>
    <w:rsid w:val="00900669"/>
    <w:rsid w:val="0090071E"/>
    <w:rsid w:val="00900826"/>
    <w:rsid w:val="00900894"/>
    <w:rsid w:val="009008BC"/>
    <w:rsid w:val="00900958"/>
    <w:rsid w:val="00900971"/>
    <w:rsid w:val="009009B9"/>
    <w:rsid w:val="009009FD"/>
    <w:rsid w:val="009009FF"/>
    <w:rsid w:val="00900A5E"/>
    <w:rsid w:val="00900AED"/>
    <w:rsid w:val="00900BA8"/>
    <w:rsid w:val="00900BCA"/>
    <w:rsid w:val="00900C03"/>
    <w:rsid w:val="00900C21"/>
    <w:rsid w:val="00900C26"/>
    <w:rsid w:val="00900C3D"/>
    <w:rsid w:val="00900CD2"/>
    <w:rsid w:val="00900DCC"/>
    <w:rsid w:val="00900E3F"/>
    <w:rsid w:val="00900E8D"/>
    <w:rsid w:val="0090104C"/>
    <w:rsid w:val="00901103"/>
    <w:rsid w:val="00901112"/>
    <w:rsid w:val="00901227"/>
    <w:rsid w:val="0090134D"/>
    <w:rsid w:val="0090144D"/>
    <w:rsid w:val="009014A5"/>
    <w:rsid w:val="009014A7"/>
    <w:rsid w:val="00901717"/>
    <w:rsid w:val="00901831"/>
    <w:rsid w:val="009018A6"/>
    <w:rsid w:val="00901927"/>
    <w:rsid w:val="0090198C"/>
    <w:rsid w:val="009019C6"/>
    <w:rsid w:val="009019D2"/>
    <w:rsid w:val="009019D5"/>
    <w:rsid w:val="00901AAA"/>
    <w:rsid w:val="00901B40"/>
    <w:rsid w:val="00901CE2"/>
    <w:rsid w:val="00901D62"/>
    <w:rsid w:val="00901E1A"/>
    <w:rsid w:val="00901E55"/>
    <w:rsid w:val="00901EAA"/>
    <w:rsid w:val="00901F1E"/>
    <w:rsid w:val="00901F7A"/>
    <w:rsid w:val="009021E3"/>
    <w:rsid w:val="009021F9"/>
    <w:rsid w:val="00902366"/>
    <w:rsid w:val="00902370"/>
    <w:rsid w:val="00902396"/>
    <w:rsid w:val="00902468"/>
    <w:rsid w:val="00902590"/>
    <w:rsid w:val="0090264A"/>
    <w:rsid w:val="009026F4"/>
    <w:rsid w:val="0090276A"/>
    <w:rsid w:val="0090278B"/>
    <w:rsid w:val="0090280F"/>
    <w:rsid w:val="00902842"/>
    <w:rsid w:val="00902860"/>
    <w:rsid w:val="00902878"/>
    <w:rsid w:val="009028C0"/>
    <w:rsid w:val="00902952"/>
    <w:rsid w:val="00902961"/>
    <w:rsid w:val="00902B32"/>
    <w:rsid w:val="00902C9C"/>
    <w:rsid w:val="00902EAE"/>
    <w:rsid w:val="00903036"/>
    <w:rsid w:val="00903194"/>
    <w:rsid w:val="009031CC"/>
    <w:rsid w:val="00903268"/>
    <w:rsid w:val="0090330A"/>
    <w:rsid w:val="00903384"/>
    <w:rsid w:val="00903582"/>
    <w:rsid w:val="0090358F"/>
    <w:rsid w:val="00903590"/>
    <w:rsid w:val="009036DB"/>
    <w:rsid w:val="009036EE"/>
    <w:rsid w:val="0090379D"/>
    <w:rsid w:val="009037C2"/>
    <w:rsid w:val="009037ED"/>
    <w:rsid w:val="0090385B"/>
    <w:rsid w:val="0090387B"/>
    <w:rsid w:val="0090395D"/>
    <w:rsid w:val="00903A57"/>
    <w:rsid w:val="00903C11"/>
    <w:rsid w:val="00903C3B"/>
    <w:rsid w:val="00903CE2"/>
    <w:rsid w:val="00903E17"/>
    <w:rsid w:val="00903E19"/>
    <w:rsid w:val="00903F3B"/>
    <w:rsid w:val="00903F40"/>
    <w:rsid w:val="00903F4A"/>
    <w:rsid w:val="00904116"/>
    <w:rsid w:val="009041A9"/>
    <w:rsid w:val="0090428E"/>
    <w:rsid w:val="009042B8"/>
    <w:rsid w:val="009042EB"/>
    <w:rsid w:val="00904312"/>
    <w:rsid w:val="0090439F"/>
    <w:rsid w:val="00904540"/>
    <w:rsid w:val="00904689"/>
    <w:rsid w:val="0090499C"/>
    <w:rsid w:val="009049A3"/>
    <w:rsid w:val="00904AF6"/>
    <w:rsid w:val="00904B35"/>
    <w:rsid w:val="00904BFE"/>
    <w:rsid w:val="00904C8A"/>
    <w:rsid w:val="00904C9D"/>
    <w:rsid w:val="00904CCB"/>
    <w:rsid w:val="00904CF6"/>
    <w:rsid w:val="00904D04"/>
    <w:rsid w:val="00904D36"/>
    <w:rsid w:val="00904E6D"/>
    <w:rsid w:val="00904FCE"/>
    <w:rsid w:val="00905018"/>
    <w:rsid w:val="00905026"/>
    <w:rsid w:val="009050E3"/>
    <w:rsid w:val="00905264"/>
    <w:rsid w:val="009052BA"/>
    <w:rsid w:val="00905334"/>
    <w:rsid w:val="009053B2"/>
    <w:rsid w:val="009053B3"/>
    <w:rsid w:val="0090550C"/>
    <w:rsid w:val="00905529"/>
    <w:rsid w:val="00905667"/>
    <w:rsid w:val="00905726"/>
    <w:rsid w:val="00905738"/>
    <w:rsid w:val="00905768"/>
    <w:rsid w:val="00905828"/>
    <w:rsid w:val="009059B5"/>
    <w:rsid w:val="00905A8D"/>
    <w:rsid w:val="00905A99"/>
    <w:rsid w:val="00905ABD"/>
    <w:rsid w:val="00905ADA"/>
    <w:rsid w:val="00905B99"/>
    <w:rsid w:val="00905C3C"/>
    <w:rsid w:val="00905CFE"/>
    <w:rsid w:val="00905E0E"/>
    <w:rsid w:val="00905E46"/>
    <w:rsid w:val="00905E57"/>
    <w:rsid w:val="00905F48"/>
    <w:rsid w:val="00905F7C"/>
    <w:rsid w:val="00905FA8"/>
    <w:rsid w:val="009060C7"/>
    <w:rsid w:val="00906199"/>
    <w:rsid w:val="0090664D"/>
    <w:rsid w:val="0090686C"/>
    <w:rsid w:val="00906885"/>
    <w:rsid w:val="00906905"/>
    <w:rsid w:val="00906A1B"/>
    <w:rsid w:val="00906B5B"/>
    <w:rsid w:val="00906BCD"/>
    <w:rsid w:val="00906EE7"/>
    <w:rsid w:val="00906F4A"/>
    <w:rsid w:val="009070FE"/>
    <w:rsid w:val="009071EC"/>
    <w:rsid w:val="009072B0"/>
    <w:rsid w:val="009072C2"/>
    <w:rsid w:val="00907326"/>
    <w:rsid w:val="0090732A"/>
    <w:rsid w:val="009074E8"/>
    <w:rsid w:val="00907631"/>
    <w:rsid w:val="009076F6"/>
    <w:rsid w:val="00907774"/>
    <w:rsid w:val="00907819"/>
    <w:rsid w:val="00907879"/>
    <w:rsid w:val="00907929"/>
    <w:rsid w:val="009079A9"/>
    <w:rsid w:val="00907A88"/>
    <w:rsid w:val="00907BEA"/>
    <w:rsid w:val="00907CE5"/>
    <w:rsid w:val="00907D92"/>
    <w:rsid w:val="00907DC6"/>
    <w:rsid w:val="00907DFF"/>
    <w:rsid w:val="00907E1B"/>
    <w:rsid w:val="00907EC6"/>
    <w:rsid w:val="00907EDE"/>
    <w:rsid w:val="0091009F"/>
    <w:rsid w:val="009100B5"/>
    <w:rsid w:val="0091017E"/>
    <w:rsid w:val="009101B0"/>
    <w:rsid w:val="009101DF"/>
    <w:rsid w:val="009101E8"/>
    <w:rsid w:val="009102C4"/>
    <w:rsid w:val="0091033B"/>
    <w:rsid w:val="009103F5"/>
    <w:rsid w:val="009105A8"/>
    <w:rsid w:val="0091063B"/>
    <w:rsid w:val="009106FA"/>
    <w:rsid w:val="00910821"/>
    <w:rsid w:val="00910851"/>
    <w:rsid w:val="009108A2"/>
    <w:rsid w:val="009108AF"/>
    <w:rsid w:val="009108E5"/>
    <w:rsid w:val="00910951"/>
    <w:rsid w:val="0091096E"/>
    <w:rsid w:val="009109FF"/>
    <w:rsid w:val="00910A4D"/>
    <w:rsid w:val="00910AAF"/>
    <w:rsid w:val="00910B72"/>
    <w:rsid w:val="00910BB2"/>
    <w:rsid w:val="00910C96"/>
    <w:rsid w:val="00910D66"/>
    <w:rsid w:val="00910E83"/>
    <w:rsid w:val="00910EAF"/>
    <w:rsid w:val="00910EC0"/>
    <w:rsid w:val="00910F80"/>
    <w:rsid w:val="00910FB1"/>
    <w:rsid w:val="00910FC2"/>
    <w:rsid w:val="0091130C"/>
    <w:rsid w:val="00911372"/>
    <w:rsid w:val="00911462"/>
    <w:rsid w:val="00911465"/>
    <w:rsid w:val="009114AB"/>
    <w:rsid w:val="00911536"/>
    <w:rsid w:val="0091173A"/>
    <w:rsid w:val="0091179C"/>
    <w:rsid w:val="009117F5"/>
    <w:rsid w:val="009119CA"/>
    <w:rsid w:val="009119EC"/>
    <w:rsid w:val="00911A91"/>
    <w:rsid w:val="00911A9C"/>
    <w:rsid w:val="00911ACB"/>
    <w:rsid w:val="00911B1B"/>
    <w:rsid w:val="00911C02"/>
    <w:rsid w:val="00911CD2"/>
    <w:rsid w:val="00911D47"/>
    <w:rsid w:val="00911E01"/>
    <w:rsid w:val="00911E10"/>
    <w:rsid w:val="00911FA8"/>
    <w:rsid w:val="0091202B"/>
    <w:rsid w:val="0091209A"/>
    <w:rsid w:val="00912103"/>
    <w:rsid w:val="0091213E"/>
    <w:rsid w:val="009121A6"/>
    <w:rsid w:val="00912248"/>
    <w:rsid w:val="00912360"/>
    <w:rsid w:val="0091238A"/>
    <w:rsid w:val="009124CC"/>
    <w:rsid w:val="009124D6"/>
    <w:rsid w:val="009124EF"/>
    <w:rsid w:val="00912521"/>
    <w:rsid w:val="0091260D"/>
    <w:rsid w:val="0091261D"/>
    <w:rsid w:val="00912756"/>
    <w:rsid w:val="009127E0"/>
    <w:rsid w:val="0091296F"/>
    <w:rsid w:val="00912A39"/>
    <w:rsid w:val="00912B8B"/>
    <w:rsid w:val="00912C32"/>
    <w:rsid w:val="00912E2C"/>
    <w:rsid w:val="00912E77"/>
    <w:rsid w:val="00912EBE"/>
    <w:rsid w:val="00912EC3"/>
    <w:rsid w:val="00912F86"/>
    <w:rsid w:val="00912FD3"/>
    <w:rsid w:val="00913158"/>
    <w:rsid w:val="00913279"/>
    <w:rsid w:val="009133AB"/>
    <w:rsid w:val="009135F3"/>
    <w:rsid w:val="0091363B"/>
    <w:rsid w:val="00913744"/>
    <w:rsid w:val="00913791"/>
    <w:rsid w:val="009137F2"/>
    <w:rsid w:val="00913932"/>
    <w:rsid w:val="0091398F"/>
    <w:rsid w:val="009139AD"/>
    <w:rsid w:val="00913B0F"/>
    <w:rsid w:val="00913B7F"/>
    <w:rsid w:val="00913BAC"/>
    <w:rsid w:val="00913BFC"/>
    <w:rsid w:val="00913C45"/>
    <w:rsid w:val="00913D12"/>
    <w:rsid w:val="00913EE7"/>
    <w:rsid w:val="00913F5B"/>
    <w:rsid w:val="00914052"/>
    <w:rsid w:val="009141AD"/>
    <w:rsid w:val="00914211"/>
    <w:rsid w:val="00914263"/>
    <w:rsid w:val="009142A7"/>
    <w:rsid w:val="009142C1"/>
    <w:rsid w:val="009144DC"/>
    <w:rsid w:val="00914568"/>
    <w:rsid w:val="00914570"/>
    <w:rsid w:val="009145EE"/>
    <w:rsid w:val="0091462F"/>
    <w:rsid w:val="00914638"/>
    <w:rsid w:val="00914649"/>
    <w:rsid w:val="00914709"/>
    <w:rsid w:val="0091470F"/>
    <w:rsid w:val="009147A7"/>
    <w:rsid w:val="0091491D"/>
    <w:rsid w:val="00914923"/>
    <w:rsid w:val="00914B68"/>
    <w:rsid w:val="00914B9E"/>
    <w:rsid w:val="00914C6B"/>
    <w:rsid w:val="00914D16"/>
    <w:rsid w:val="00914D57"/>
    <w:rsid w:val="00914F45"/>
    <w:rsid w:val="00915054"/>
    <w:rsid w:val="00915115"/>
    <w:rsid w:val="00915231"/>
    <w:rsid w:val="00915240"/>
    <w:rsid w:val="00915250"/>
    <w:rsid w:val="00915426"/>
    <w:rsid w:val="0091542E"/>
    <w:rsid w:val="00915510"/>
    <w:rsid w:val="0091562A"/>
    <w:rsid w:val="009156DC"/>
    <w:rsid w:val="0091572D"/>
    <w:rsid w:val="009157AC"/>
    <w:rsid w:val="009157AD"/>
    <w:rsid w:val="009157D6"/>
    <w:rsid w:val="0091591E"/>
    <w:rsid w:val="00915933"/>
    <w:rsid w:val="0091595B"/>
    <w:rsid w:val="009159D1"/>
    <w:rsid w:val="00915C0B"/>
    <w:rsid w:val="00915C25"/>
    <w:rsid w:val="00915C76"/>
    <w:rsid w:val="00915D29"/>
    <w:rsid w:val="00915D47"/>
    <w:rsid w:val="00915DAC"/>
    <w:rsid w:val="00915DDC"/>
    <w:rsid w:val="00915F6B"/>
    <w:rsid w:val="00915FF3"/>
    <w:rsid w:val="00916011"/>
    <w:rsid w:val="00916025"/>
    <w:rsid w:val="00916054"/>
    <w:rsid w:val="009160FE"/>
    <w:rsid w:val="009161B8"/>
    <w:rsid w:val="00916301"/>
    <w:rsid w:val="00916472"/>
    <w:rsid w:val="00916490"/>
    <w:rsid w:val="0091655E"/>
    <w:rsid w:val="009165AA"/>
    <w:rsid w:val="00916625"/>
    <w:rsid w:val="00916737"/>
    <w:rsid w:val="00916749"/>
    <w:rsid w:val="0091679A"/>
    <w:rsid w:val="009167CB"/>
    <w:rsid w:val="00916829"/>
    <w:rsid w:val="009168D9"/>
    <w:rsid w:val="00916948"/>
    <w:rsid w:val="009169E5"/>
    <w:rsid w:val="009169F5"/>
    <w:rsid w:val="00916B38"/>
    <w:rsid w:val="00916B46"/>
    <w:rsid w:val="00916B7C"/>
    <w:rsid w:val="00916B88"/>
    <w:rsid w:val="00916B98"/>
    <w:rsid w:val="00916BB5"/>
    <w:rsid w:val="00916C1D"/>
    <w:rsid w:val="00916D2D"/>
    <w:rsid w:val="00916D82"/>
    <w:rsid w:val="00916E48"/>
    <w:rsid w:val="00916E56"/>
    <w:rsid w:val="00916EB1"/>
    <w:rsid w:val="00916FDC"/>
    <w:rsid w:val="00917097"/>
    <w:rsid w:val="009170A5"/>
    <w:rsid w:val="00917125"/>
    <w:rsid w:val="00917142"/>
    <w:rsid w:val="009171CB"/>
    <w:rsid w:val="0091728C"/>
    <w:rsid w:val="00917316"/>
    <w:rsid w:val="009173FA"/>
    <w:rsid w:val="00917409"/>
    <w:rsid w:val="0091741C"/>
    <w:rsid w:val="009174AC"/>
    <w:rsid w:val="009174D3"/>
    <w:rsid w:val="00917698"/>
    <w:rsid w:val="00917721"/>
    <w:rsid w:val="009177B2"/>
    <w:rsid w:val="009178CC"/>
    <w:rsid w:val="0091798A"/>
    <w:rsid w:val="00917A25"/>
    <w:rsid w:val="00917A5B"/>
    <w:rsid w:val="00917A67"/>
    <w:rsid w:val="00917AAD"/>
    <w:rsid w:val="00917AFE"/>
    <w:rsid w:val="00917B95"/>
    <w:rsid w:val="00917BB5"/>
    <w:rsid w:val="00917D0D"/>
    <w:rsid w:val="00917D60"/>
    <w:rsid w:val="00917E67"/>
    <w:rsid w:val="00920118"/>
    <w:rsid w:val="0092011F"/>
    <w:rsid w:val="009201CA"/>
    <w:rsid w:val="00920368"/>
    <w:rsid w:val="009203D6"/>
    <w:rsid w:val="009203FC"/>
    <w:rsid w:val="009204C9"/>
    <w:rsid w:val="00920603"/>
    <w:rsid w:val="00920642"/>
    <w:rsid w:val="009206AE"/>
    <w:rsid w:val="009206BD"/>
    <w:rsid w:val="00920A1D"/>
    <w:rsid w:val="00920AD2"/>
    <w:rsid w:val="00920AF3"/>
    <w:rsid w:val="00920B23"/>
    <w:rsid w:val="00920B34"/>
    <w:rsid w:val="00920D1B"/>
    <w:rsid w:val="00920D38"/>
    <w:rsid w:val="00920DC5"/>
    <w:rsid w:val="00920E7C"/>
    <w:rsid w:val="00920E9C"/>
    <w:rsid w:val="00920EB1"/>
    <w:rsid w:val="00920F8E"/>
    <w:rsid w:val="00920FD8"/>
    <w:rsid w:val="00921040"/>
    <w:rsid w:val="009210EB"/>
    <w:rsid w:val="009212B2"/>
    <w:rsid w:val="00921423"/>
    <w:rsid w:val="00921468"/>
    <w:rsid w:val="00921567"/>
    <w:rsid w:val="009216E7"/>
    <w:rsid w:val="0092182E"/>
    <w:rsid w:val="00921847"/>
    <w:rsid w:val="0092193C"/>
    <w:rsid w:val="00921982"/>
    <w:rsid w:val="00921A4C"/>
    <w:rsid w:val="00921AAD"/>
    <w:rsid w:val="00921AB6"/>
    <w:rsid w:val="00921C8E"/>
    <w:rsid w:val="00921D1B"/>
    <w:rsid w:val="00921D93"/>
    <w:rsid w:val="00922245"/>
    <w:rsid w:val="009222B8"/>
    <w:rsid w:val="009222E0"/>
    <w:rsid w:val="00922308"/>
    <w:rsid w:val="0092230E"/>
    <w:rsid w:val="00922376"/>
    <w:rsid w:val="0092244F"/>
    <w:rsid w:val="00922521"/>
    <w:rsid w:val="0092260C"/>
    <w:rsid w:val="009226B4"/>
    <w:rsid w:val="0092276D"/>
    <w:rsid w:val="0092279F"/>
    <w:rsid w:val="0092280B"/>
    <w:rsid w:val="00922982"/>
    <w:rsid w:val="00922B4A"/>
    <w:rsid w:val="00922B6A"/>
    <w:rsid w:val="00922EDB"/>
    <w:rsid w:val="00922EF5"/>
    <w:rsid w:val="0092304F"/>
    <w:rsid w:val="009230B8"/>
    <w:rsid w:val="00923232"/>
    <w:rsid w:val="00923278"/>
    <w:rsid w:val="0092328F"/>
    <w:rsid w:val="0092335A"/>
    <w:rsid w:val="009233F8"/>
    <w:rsid w:val="009234E8"/>
    <w:rsid w:val="009235D9"/>
    <w:rsid w:val="0092372C"/>
    <w:rsid w:val="009237A2"/>
    <w:rsid w:val="009238AC"/>
    <w:rsid w:val="0092398B"/>
    <w:rsid w:val="009239D5"/>
    <w:rsid w:val="00923A29"/>
    <w:rsid w:val="00923A9B"/>
    <w:rsid w:val="00923B45"/>
    <w:rsid w:val="00923B7A"/>
    <w:rsid w:val="00923BAF"/>
    <w:rsid w:val="00923D52"/>
    <w:rsid w:val="00923DC8"/>
    <w:rsid w:val="00923E32"/>
    <w:rsid w:val="00923E41"/>
    <w:rsid w:val="00923E74"/>
    <w:rsid w:val="00923E9E"/>
    <w:rsid w:val="009242E9"/>
    <w:rsid w:val="009243B3"/>
    <w:rsid w:val="00924413"/>
    <w:rsid w:val="0092443C"/>
    <w:rsid w:val="00924498"/>
    <w:rsid w:val="00924576"/>
    <w:rsid w:val="0092461B"/>
    <w:rsid w:val="00924643"/>
    <w:rsid w:val="0092467F"/>
    <w:rsid w:val="009246EC"/>
    <w:rsid w:val="009247C9"/>
    <w:rsid w:val="00924866"/>
    <w:rsid w:val="009248E1"/>
    <w:rsid w:val="0092491C"/>
    <w:rsid w:val="00924953"/>
    <w:rsid w:val="00924A4E"/>
    <w:rsid w:val="00924C03"/>
    <w:rsid w:val="00924C2F"/>
    <w:rsid w:val="00924C9F"/>
    <w:rsid w:val="00924CE9"/>
    <w:rsid w:val="00924D11"/>
    <w:rsid w:val="00924ED3"/>
    <w:rsid w:val="00924F42"/>
    <w:rsid w:val="00924F98"/>
    <w:rsid w:val="00924FA1"/>
    <w:rsid w:val="0092500E"/>
    <w:rsid w:val="00925023"/>
    <w:rsid w:val="00925168"/>
    <w:rsid w:val="00925181"/>
    <w:rsid w:val="00925251"/>
    <w:rsid w:val="00925309"/>
    <w:rsid w:val="0092535B"/>
    <w:rsid w:val="009253DB"/>
    <w:rsid w:val="00925558"/>
    <w:rsid w:val="009255E0"/>
    <w:rsid w:val="0092566B"/>
    <w:rsid w:val="00925679"/>
    <w:rsid w:val="009256B6"/>
    <w:rsid w:val="009256D4"/>
    <w:rsid w:val="0092571D"/>
    <w:rsid w:val="00925736"/>
    <w:rsid w:val="0092573A"/>
    <w:rsid w:val="009257D3"/>
    <w:rsid w:val="00925826"/>
    <w:rsid w:val="00925874"/>
    <w:rsid w:val="00925914"/>
    <w:rsid w:val="0092594B"/>
    <w:rsid w:val="009259E6"/>
    <w:rsid w:val="00925CC8"/>
    <w:rsid w:val="00925CD0"/>
    <w:rsid w:val="00925CEB"/>
    <w:rsid w:val="00925DAE"/>
    <w:rsid w:val="00925E57"/>
    <w:rsid w:val="00925E66"/>
    <w:rsid w:val="00925EDF"/>
    <w:rsid w:val="00925F3B"/>
    <w:rsid w:val="00925F76"/>
    <w:rsid w:val="00925FEC"/>
    <w:rsid w:val="00926026"/>
    <w:rsid w:val="0092606C"/>
    <w:rsid w:val="0092609A"/>
    <w:rsid w:val="009260E0"/>
    <w:rsid w:val="009261AA"/>
    <w:rsid w:val="00926239"/>
    <w:rsid w:val="00926284"/>
    <w:rsid w:val="009262E9"/>
    <w:rsid w:val="0092637F"/>
    <w:rsid w:val="009263D1"/>
    <w:rsid w:val="009265BE"/>
    <w:rsid w:val="009265D6"/>
    <w:rsid w:val="00926690"/>
    <w:rsid w:val="00926727"/>
    <w:rsid w:val="009267B3"/>
    <w:rsid w:val="009267DA"/>
    <w:rsid w:val="009267FB"/>
    <w:rsid w:val="009267FF"/>
    <w:rsid w:val="00926848"/>
    <w:rsid w:val="0092684B"/>
    <w:rsid w:val="0092687E"/>
    <w:rsid w:val="00926888"/>
    <w:rsid w:val="009268CB"/>
    <w:rsid w:val="00926A6D"/>
    <w:rsid w:val="00926ACB"/>
    <w:rsid w:val="00926BE4"/>
    <w:rsid w:val="00926CC5"/>
    <w:rsid w:val="00926CF3"/>
    <w:rsid w:val="00926D2F"/>
    <w:rsid w:val="00926E07"/>
    <w:rsid w:val="00926E64"/>
    <w:rsid w:val="00926FAD"/>
    <w:rsid w:val="0092701B"/>
    <w:rsid w:val="0092710E"/>
    <w:rsid w:val="00927197"/>
    <w:rsid w:val="0092724E"/>
    <w:rsid w:val="0092726A"/>
    <w:rsid w:val="009272B7"/>
    <w:rsid w:val="009273E0"/>
    <w:rsid w:val="00927636"/>
    <w:rsid w:val="0092763B"/>
    <w:rsid w:val="00927697"/>
    <w:rsid w:val="0092786E"/>
    <w:rsid w:val="009278A2"/>
    <w:rsid w:val="00927B41"/>
    <w:rsid w:val="00927B96"/>
    <w:rsid w:val="00927BA7"/>
    <w:rsid w:val="00927D36"/>
    <w:rsid w:val="00927D51"/>
    <w:rsid w:val="00927D58"/>
    <w:rsid w:val="00927DB9"/>
    <w:rsid w:val="00927DE9"/>
    <w:rsid w:val="00927E02"/>
    <w:rsid w:val="00927E3A"/>
    <w:rsid w:val="00927ECB"/>
    <w:rsid w:val="00927F05"/>
    <w:rsid w:val="00927FFC"/>
    <w:rsid w:val="00930172"/>
    <w:rsid w:val="00930314"/>
    <w:rsid w:val="00930782"/>
    <w:rsid w:val="009307C2"/>
    <w:rsid w:val="00930912"/>
    <w:rsid w:val="0093091D"/>
    <w:rsid w:val="00930921"/>
    <w:rsid w:val="00930A02"/>
    <w:rsid w:val="00930ACD"/>
    <w:rsid w:val="00930B21"/>
    <w:rsid w:val="00930B95"/>
    <w:rsid w:val="00930BE4"/>
    <w:rsid w:val="00930C8C"/>
    <w:rsid w:val="00930E3A"/>
    <w:rsid w:val="00930F36"/>
    <w:rsid w:val="00930F63"/>
    <w:rsid w:val="00931083"/>
    <w:rsid w:val="0093138D"/>
    <w:rsid w:val="009313F8"/>
    <w:rsid w:val="0093143E"/>
    <w:rsid w:val="00931482"/>
    <w:rsid w:val="0093150E"/>
    <w:rsid w:val="009315ED"/>
    <w:rsid w:val="00931720"/>
    <w:rsid w:val="009317C0"/>
    <w:rsid w:val="009317F4"/>
    <w:rsid w:val="0093187E"/>
    <w:rsid w:val="009318CE"/>
    <w:rsid w:val="009318E4"/>
    <w:rsid w:val="00931912"/>
    <w:rsid w:val="00931949"/>
    <w:rsid w:val="00931A6B"/>
    <w:rsid w:val="00931A7A"/>
    <w:rsid w:val="00931AD2"/>
    <w:rsid w:val="00931B1A"/>
    <w:rsid w:val="00931B63"/>
    <w:rsid w:val="00931BC0"/>
    <w:rsid w:val="00931CA0"/>
    <w:rsid w:val="00931E7F"/>
    <w:rsid w:val="00931E8A"/>
    <w:rsid w:val="00931E8F"/>
    <w:rsid w:val="00931F6A"/>
    <w:rsid w:val="00931F95"/>
    <w:rsid w:val="00931FCE"/>
    <w:rsid w:val="00931FDB"/>
    <w:rsid w:val="00932044"/>
    <w:rsid w:val="0093226D"/>
    <w:rsid w:val="009325F1"/>
    <w:rsid w:val="009325F6"/>
    <w:rsid w:val="00932700"/>
    <w:rsid w:val="00932704"/>
    <w:rsid w:val="0093275C"/>
    <w:rsid w:val="00932813"/>
    <w:rsid w:val="00932A51"/>
    <w:rsid w:val="00932ADB"/>
    <w:rsid w:val="00932B14"/>
    <w:rsid w:val="00932B65"/>
    <w:rsid w:val="00932BE0"/>
    <w:rsid w:val="00932C05"/>
    <w:rsid w:val="00932D11"/>
    <w:rsid w:val="00932E7F"/>
    <w:rsid w:val="00932EA5"/>
    <w:rsid w:val="00932F53"/>
    <w:rsid w:val="00932FC1"/>
    <w:rsid w:val="0093304F"/>
    <w:rsid w:val="009331AB"/>
    <w:rsid w:val="009331B5"/>
    <w:rsid w:val="0093325C"/>
    <w:rsid w:val="009333B8"/>
    <w:rsid w:val="009334C9"/>
    <w:rsid w:val="009334EF"/>
    <w:rsid w:val="00933788"/>
    <w:rsid w:val="009337A4"/>
    <w:rsid w:val="0093393C"/>
    <w:rsid w:val="009339A3"/>
    <w:rsid w:val="009339A5"/>
    <w:rsid w:val="009339F7"/>
    <w:rsid w:val="00933A7D"/>
    <w:rsid w:val="00933AD2"/>
    <w:rsid w:val="00933BB2"/>
    <w:rsid w:val="00933BC3"/>
    <w:rsid w:val="00933BC7"/>
    <w:rsid w:val="00933DE8"/>
    <w:rsid w:val="00933EDA"/>
    <w:rsid w:val="00933F25"/>
    <w:rsid w:val="009340F1"/>
    <w:rsid w:val="0093421E"/>
    <w:rsid w:val="0093423C"/>
    <w:rsid w:val="0093425B"/>
    <w:rsid w:val="009342AB"/>
    <w:rsid w:val="00934457"/>
    <w:rsid w:val="00934472"/>
    <w:rsid w:val="0093454D"/>
    <w:rsid w:val="00934600"/>
    <w:rsid w:val="00934627"/>
    <w:rsid w:val="009346BA"/>
    <w:rsid w:val="009346C7"/>
    <w:rsid w:val="009347C6"/>
    <w:rsid w:val="0093493C"/>
    <w:rsid w:val="009349C4"/>
    <w:rsid w:val="00934B22"/>
    <w:rsid w:val="00934C11"/>
    <w:rsid w:val="00934C29"/>
    <w:rsid w:val="00934C80"/>
    <w:rsid w:val="00934D24"/>
    <w:rsid w:val="00934D5D"/>
    <w:rsid w:val="00934E89"/>
    <w:rsid w:val="00934EF5"/>
    <w:rsid w:val="00934F55"/>
    <w:rsid w:val="009350DC"/>
    <w:rsid w:val="00935150"/>
    <w:rsid w:val="0093526E"/>
    <w:rsid w:val="0093539A"/>
    <w:rsid w:val="009354B1"/>
    <w:rsid w:val="00935524"/>
    <w:rsid w:val="00935594"/>
    <w:rsid w:val="009355B0"/>
    <w:rsid w:val="009355FB"/>
    <w:rsid w:val="00935781"/>
    <w:rsid w:val="0093578E"/>
    <w:rsid w:val="009357AA"/>
    <w:rsid w:val="009359B1"/>
    <w:rsid w:val="009359BD"/>
    <w:rsid w:val="00935A65"/>
    <w:rsid w:val="00935AA1"/>
    <w:rsid w:val="00935B9D"/>
    <w:rsid w:val="00935BCE"/>
    <w:rsid w:val="00935DD8"/>
    <w:rsid w:val="00935ED6"/>
    <w:rsid w:val="00936020"/>
    <w:rsid w:val="00936114"/>
    <w:rsid w:val="00936206"/>
    <w:rsid w:val="00936420"/>
    <w:rsid w:val="009364D0"/>
    <w:rsid w:val="00936578"/>
    <w:rsid w:val="009366EF"/>
    <w:rsid w:val="009367DE"/>
    <w:rsid w:val="00936972"/>
    <w:rsid w:val="00936C26"/>
    <w:rsid w:val="00936C57"/>
    <w:rsid w:val="00936DC6"/>
    <w:rsid w:val="00936E76"/>
    <w:rsid w:val="00936E87"/>
    <w:rsid w:val="0093700D"/>
    <w:rsid w:val="00937045"/>
    <w:rsid w:val="0093704D"/>
    <w:rsid w:val="00937055"/>
    <w:rsid w:val="00937058"/>
    <w:rsid w:val="009370EF"/>
    <w:rsid w:val="0093720B"/>
    <w:rsid w:val="00937260"/>
    <w:rsid w:val="009372FA"/>
    <w:rsid w:val="00937431"/>
    <w:rsid w:val="00937452"/>
    <w:rsid w:val="009374A0"/>
    <w:rsid w:val="009375A1"/>
    <w:rsid w:val="00937638"/>
    <w:rsid w:val="0093764C"/>
    <w:rsid w:val="009376B4"/>
    <w:rsid w:val="009376C7"/>
    <w:rsid w:val="0093774D"/>
    <w:rsid w:val="0093786D"/>
    <w:rsid w:val="00937901"/>
    <w:rsid w:val="009379DE"/>
    <w:rsid w:val="009379E5"/>
    <w:rsid w:val="00937ABA"/>
    <w:rsid w:val="00937BE0"/>
    <w:rsid w:val="00937DB4"/>
    <w:rsid w:val="00937DC7"/>
    <w:rsid w:val="00937E7B"/>
    <w:rsid w:val="00940062"/>
    <w:rsid w:val="009400B7"/>
    <w:rsid w:val="009400D0"/>
    <w:rsid w:val="00940229"/>
    <w:rsid w:val="0094026A"/>
    <w:rsid w:val="009402FB"/>
    <w:rsid w:val="0094030E"/>
    <w:rsid w:val="00940613"/>
    <w:rsid w:val="0094066C"/>
    <w:rsid w:val="00940671"/>
    <w:rsid w:val="009406F1"/>
    <w:rsid w:val="00940799"/>
    <w:rsid w:val="009407B1"/>
    <w:rsid w:val="009407C4"/>
    <w:rsid w:val="00940823"/>
    <w:rsid w:val="009409C2"/>
    <w:rsid w:val="00940A29"/>
    <w:rsid w:val="00940ADA"/>
    <w:rsid w:val="00940BE5"/>
    <w:rsid w:val="00940C8C"/>
    <w:rsid w:val="00940CED"/>
    <w:rsid w:val="00940D14"/>
    <w:rsid w:val="00940D20"/>
    <w:rsid w:val="00940DB2"/>
    <w:rsid w:val="00940E0F"/>
    <w:rsid w:val="00940F45"/>
    <w:rsid w:val="00940FCD"/>
    <w:rsid w:val="00940FE9"/>
    <w:rsid w:val="00941003"/>
    <w:rsid w:val="00941032"/>
    <w:rsid w:val="00941088"/>
    <w:rsid w:val="009411F2"/>
    <w:rsid w:val="0094120C"/>
    <w:rsid w:val="0094129E"/>
    <w:rsid w:val="0094150A"/>
    <w:rsid w:val="00941525"/>
    <w:rsid w:val="00941651"/>
    <w:rsid w:val="0094166E"/>
    <w:rsid w:val="009417C2"/>
    <w:rsid w:val="00941955"/>
    <w:rsid w:val="00941973"/>
    <w:rsid w:val="009419DE"/>
    <w:rsid w:val="009419E9"/>
    <w:rsid w:val="00941AD7"/>
    <w:rsid w:val="00941ADD"/>
    <w:rsid w:val="00941B5B"/>
    <w:rsid w:val="00941C6D"/>
    <w:rsid w:val="00941C82"/>
    <w:rsid w:val="00941CA7"/>
    <w:rsid w:val="00941CD0"/>
    <w:rsid w:val="00941D6A"/>
    <w:rsid w:val="00941E38"/>
    <w:rsid w:val="00941E53"/>
    <w:rsid w:val="00941F2D"/>
    <w:rsid w:val="00941F50"/>
    <w:rsid w:val="00941F78"/>
    <w:rsid w:val="0094200B"/>
    <w:rsid w:val="0094204A"/>
    <w:rsid w:val="0094221E"/>
    <w:rsid w:val="009422E0"/>
    <w:rsid w:val="00942364"/>
    <w:rsid w:val="00942372"/>
    <w:rsid w:val="00942404"/>
    <w:rsid w:val="00942429"/>
    <w:rsid w:val="00942448"/>
    <w:rsid w:val="0094245F"/>
    <w:rsid w:val="0094253C"/>
    <w:rsid w:val="0094266F"/>
    <w:rsid w:val="0094276E"/>
    <w:rsid w:val="009428EA"/>
    <w:rsid w:val="00942904"/>
    <w:rsid w:val="00942980"/>
    <w:rsid w:val="00942A15"/>
    <w:rsid w:val="00942B74"/>
    <w:rsid w:val="00942C39"/>
    <w:rsid w:val="00942EBE"/>
    <w:rsid w:val="009430AB"/>
    <w:rsid w:val="00943256"/>
    <w:rsid w:val="00943333"/>
    <w:rsid w:val="0094333E"/>
    <w:rsid w:val="0094342B"/>
    <w:rsid w:val="0094347F"/>
    <w:rsid w:val="0094349F"/>
    <w:rsid w:val="009435A7"/>
    <w:rsid w:val="009435C5"/>
    <w:rsid w:val="009435CE"/>
    <w:rsid w:val="0094360B"/>
    <w:rsid w:val="00943628"/>
    <w:rsid w:val="00943691"/>
    <w:rsid w:val="00943895"/>
    <w:rsid w:val="009438E6"/>
    <w:rsid w:val="009438FB"/>
    <w:rsid w:val="009439BF"/>
    <w:rsid w:val="00943B17"/>
    <w:rsid w:val="00943B46"/>
    <w:rsid w:val="00943B58"/>
    <w:rsid w:val="00943B88"/>
    <w:rsid w:val="00943BB4"/>
    <w:rsid w:val="00943CAD"/>
    <w:rsid w:val="00943DA3"/>
    <w:rsid w:val="00943DCF"/>
    <w:rsid w:val="00943E3D"/>
    <w:rsid w:val="00944192"/>
    <w:rsid w:val="009441F0"/>
    <w:rsid w:val="00944205"/>
    <w:rsid w:val="0094426A"/>
    <w:rsid w:val="00944575"/>
    <w:rsid w:val="00944766"/>
    <w:rsid w:val="00944963"/>
    <w:rsid w:val="00944A68"/>
    <w:rsid w:val="00944BC6"/>
    <w:rsid w:val="00944BCA"/>
    <w:rsid w:val="00944BF4"/>
    <w:rsid w:val="00944C8D"/>
    <w:rsid w:val="00944D9B"/>
    <w:rsid w:val="00944F47"/>
    <w:rsid w:val="00944F4A"/>
    <w:rsid w:val="00944FC2"/>
    <w:rsid w:val="00944FDC"/>
    <w:rsid w:val="0094500F"/>
    <w:rsid w:val="00945031"/>
    <w:rsid w:val="00945089"/>
    <w:rsid w:val="00945152"/>
    <w:rsid w:val="00945193"/>
    <w:rsid w:val="009451C8"/>
    <w:rsid w:val="00945256"/>
    <w:rsid w:val="009453D5"/>
    <w:rsid w:val="0094546E"/>
    <w:rsid w:val="0094547E"/>
    <w:rsid w:val="009454F8"/>
    <w:rsid w:val="00945532"/>
    <w:rsid w:val="009455A9"/>
    <w:rsid w:val="009455E2"/>
    <w:rsid w:val="009456B4"/>
    <w:rsid w:val="00945774"/>
    <w:rsid w:val="00945775"/>
    <w:rsid w:val="00945783"/>
    <w:rsid w:val="009457D1"/>
    <w:rsid w:val="009457DA"/>
    <w:rsid w:val="009457EA"/>
    <w:rsid w:val="00945899"/>
    <w:rsid w:val="009458BD"/>
    <w:rsid w:val="00945A13"/>
    <w:rsid w:val="00945B22"/>
    <w:rsid w:val="00945BF3"/>
    <w:rsid w:val="00945C03"/>
    <w:rsid w:val="00945C93"/>
    <w:rsid w:val="00945CA2"/>
    <w:rsid w:val="00945CEE"/>
    <w:rsid w:val="00945D35"/>
    <w:rsid w:val="00945D93"/>
    <w:rsid w:val="00945DF2"/>
    <w:rsid w:val="00945ECD"/>
    <w:rsid w:val="00945F15"/>
    <w:rsid w:val="00945FDB"/>
    <w:rsid w:val="009460BB"/>
    <w:rsid w:val="009460DB"/>
    <w:rsid w:val="009460E0"/>
    <w:rsid w:val="0094614F"/>
    <w:rsid w:val="00946163"/>
    <w:rsid w:val="009462C2"/>
    <w:rsid w:val="009462EC"/>
    <w:rsid w:val="009463CA"/>
    <w:rsid w:val="009464A8"/>
    <w:rsid w:val="00946535"/>
    <w:rsid w:val="00946557"/>
    <w:rsid w:val="00946694"/>
    <w:rsid w:val="00946845"/>
    <w:rsid w:val="0094695B"/>
    <w:rsid w:val="00946AA7"/>
    <w:rsid w:val="00946B16"/>
    <w:rsid w:val="00946C6A"/>
    <w:rsid w:val="00946D01"/>
    <w:rsid w:val="00946E86"/>
    <w:rsid w:val="00946F08"/>
    <w:rsid w:val="00946F18"/>
    <w:rsid w:val="009471E2"/>
    <w:rsid w:val="009472DE"/>
    <w:rsid w:val="00947315"/>
    <w:rsid w:val="0094746B"/>
    <w:rsid w:val="00947476"/>
    <w:rsid w:val="0094760D"/>
    <w:rsid w:val="00947682"/>
    <w:rsid w:val="00947826"/>
    <w:rsid w:val="00947848"/>
    <w:rsid w:val="009478AF"/>
    <w:rsid w:val="009478FB"/>
    <w:rsid w:val="009479CC"/>
    <w:rsid w:val="009479D7"/>
    <w:rsid w:val="00947A68"/>
    <w:rsid w:val="00947AE6"/>
    <w:rsid w:val="00947AF2"/>
    <w:rsid w:val="00947B42"/>
    <w:rsid w:val="00947BEE"/>
    <w:rsid w:val="00947CFF"/>
    <w:rsid w:val="00950049"/>
    <w:rsid w:val="009500F2"/>
    <w:rsid w:val="009502D1"/>
    <w:rsid w:val="009502E6"/>
    <w:rsid w:val="00950426"/>
    <w:rsid w:val="009506DB"/>
    <w:rsid w:val="00950732"/>
    <w:rsid w:val="00950753"/>
    <w:rsid w:val="009507DC"/>
    <w:rsid w:val="00950805"/>
    <w:rsid w:val="00950949"/>
    <w:rsid w:val="00950950"/>
    <w:rsid w:val="00950BC5"/>
    <w:rsid w:val="00950BF2"/>
    <w:rsid w:val="00950CE8"/>
    <w:rsid w:val="00950DFB"/>
    <w:rsid w:val="00950E22"/>
    <w:rsid w:val="00950F80"/>
    <w:rsid w:val="00951006"/>
    <w:rsid w:val="00951078"/>
    <w:rsid w:val="00951273"/>
    <w:rsid w:val="009512B0"/>
    <w:rsid w:val="009512DB"/>
    <w:rsid w:val="00951378"/>
    <w:rsid w:val="009513EC"/>
    <w:rsid w:val="009513FE"/>
    <w:rsid w:val="00951475"/>
    <w:rsid w:val="009514B8"/>
    <w:rsid w:val="0095154E"/>
    <w:rsid w:val="009515B5"/>
    <w:rsid w:val="009515DE"/>
    <w:rsid w:val="0095163D"/>
    <w:rsid w:val="009517E9"/>
    <w:rsid w:val="00951933"/>
    <w:rsid w:val="00951A30"/>
    <w:rsid w:val="00951B57"/>
    <w:rsid w:val="00951C59"/>
    <w:rsid w:val="009520E8"/>
    <w:rsid w:val="009520E9"/>
    <w:rsid w:val="009520FA"/>
    <w:rsid w:val="00952151"/>
    <w:rsid w:val="0095216E"/>
    <w:rsid w:val="00952263"/>
    <w:rsid w:val="00952287"/>
    <w:rsid w:val="0095231D"/>
    <w:rsid w:val="00952404"/>
    <w:rsid w:val="00952465"/>
    <w:rsid w:val="009524F5"/>
    <w:rsid w:val="009524FE"/>
    <w:rsid w:val="00952575"/>
    <w:rsid w:val="009525F9"/>
    <w:rsid w:val="009526D3"/>
    <w:rsid w:val="00952741"/>
    <w:rsid w:val="0095276D"/>
    <w:rsid w:val="00952808"/>
    <w:rsid w:val="0095281F"/>
    <w:rsid w:val="0095283B"/>
    <w:rsid w:val="009528D6"/>
    <w:rsid w:val="0095290D"/>
    <w:rsid w:val="00952938"/>
    <w:rsid w:val="009529F2"/>
    <w:rsid w:val="00952A3E"/>
    <w:rsid w:val="00952BC4"/>
    <w:rsid w:val="00952DCF"/>
    <w:rsid w:val="00952E1B"/>
    <w:rsid w:val="00952E92"/>
    <w:rsid w:val="00952EA2"/>
    <w:rsid w:val="00952EC6"/>
    <w:rsid w:val="00952F78"/>
    <w:rsid w:val="00953058"/>
    <w:rsid w:val="009530D9"/>
    <w:rsid w:val="0095311F"/>
    <w:rsid w:val="0095312D"/>
    <w:rsid w:val="009531F8"/>
    <w:rsid w:val="0095322B"/>
    <w:rsid w:val="00953246"/>
    <w:rsid w:val="009533FD"/>
    <w:rsid w:val="00953648"/>
    <w:rsid w:val="0095369C"/>
    <w:rsid w:val="009536F5"/>
    <w:rsid w:val="009536F9"/>
    <w:rsid w:val="00953881"/>
    <w:rsid w:val="009538B7"/>
    <w:rsid w:val="009538BF"/>
    <w:rsid w:val="009538EC"/>
    <w:rsid w:val="00953908"/>
    <w:rsid w:val="00953995"/>
    <w:rsid w:val="009539AD"/>
    <w:rsid w:val="00953AAA"/>
    <w:rsid w:val="00953B9B"/>
    <w:rsid w:val="00953D64"/>
    <w:rsid w:val="00953ED7"/>
    <w:rsid w:val="0095408A"/>
    <w:rsid w:val="0095411F"/>
    <w:rsid w:val="00954170"/>
    <w:rsid w:val="0095422D"/>
    <w:rsid w:val="00954379"/>
    <w:rsid w:val="0095439C"/>
    <w:rsid w:val="00954438"/>
    <w:rsid w:val="00954503"/>
    <w:rsid w:val="0095454B"/>
    <w:rsid w:val="009545AA"/>
    <w:rsid w:val="00954624"/>
    <w:rsid w:val="00954626"/>
    <w:rsid w:val="00954640"/>
    <w:rsid w:val="009548B7"/>
    <w:rsid w:val="00954928"/>
    <w:rsid w:val="00954992"/>
    <w:rsid w:val="009549F1"/>
    <w:rsid w:val="00954D84"/>
    <w:rsid w:val="00954E11"/>
    <w:rsid w:val="00954E77"/>
    <w:rsid w:val="0095500C"/>
    <w:rsid w:val="0095502D"/>
    <w:rsid w:val="00955040"/>
    <w:rsid w:val="0095505B"/>
    <w:rsid w:val="0095505C"/>
    <w:rsid w:val="009550FD"/>
    <w:rsid w:val="009551DC"/>
    <w:rsid w:val="00955239"/>
    <w:rsid w:val="0095537D"/>
    <w:rsid w:val="0095547B"/>
    <w:rsid w:val="00955534"/>
    <w:rsid w:val="00955539"/>
    <w:rsid w:val="009557FC"/>
    <w:rsid w:val="00955AF6"/>
    <w:rsid w:val="00955B57"/>
    <w:rsid w:val="00955CEB"/>
    <w:rsid w:val="00955D9C"/>
    <w:rsid w:val="00955E9F"/>
    <w:rsid w:val="00955EB9"/>
    <w:rsid w:val="00955F32"/>
    <w:rsid w:val="00955F3F"/>
    <w:rsid w:val="00955FEC"/>
    <w:rsid w:val="009560AD"/>
    <w:rsid w:val="0095611E"/>
    <w:rsid w:val="00956195"/>
    <w:rsid w:val="009562ED"/>
    <w:rsid w:val="00956537"/>
    <w:rsid w:val="00956746"/>
    <w:rsid w:val="0095684C"/>
    <w:rsid w:val="0095685A"/>
    <w:rsid w:val="009569A4"/>
    <w:rsid w:val="00956A29"/>
    <w:rsid w:val="00956D93"/>
    <w:rsid w:val="00956E91"/>
    <w:rsid w:val="00956E9E"/>
    <w:rsid w:val="00956FB5"/>
    <w:rsid w:val="00957041"/>
    <w:rsid w:val="009570AA"/>
    <w:rsid w:val="0095710C"/>
    <w:rsid w:val="00957131"/>
    <w:rsid w:val="009571AD"/>
    <w:rsid w:val="009571C5"/>
    <w:rsid w:val="009571FF"/>
    <w:rsid w:val="0095722B"/>
    <w:rsid w:val="009572CC"/>
    <w:rsid w:val="009572E9"/>
    <w:rsid w:val="009573CB"/>
    <w:rsid w:val="00957453"/>
    <w:rsid w:val="00957517"/>
    <w:rsid w:val="00957525"/>
    <w:rsid w:val="009576EC"/>
    <w:rsid w:val="0095774A"/>
    <w:rsid w:val="009577E4"/>
    <w:rsid w:val="009578C6"/>
    <w:rsid w:val="009578D7"/>
    <w:rsid w:val="00957943"/>
    <w:rsid w:val="00957996"/>
    <w:rsid w:val="009579AA"/>
    <w:rsid w:val="00957A07"/>
    <w:rsid w:val="00957A37"/>
    <w:rsid w:val="00957AB0"/>
    <w:rsid w:val="00957ADC"/>
    <w:rsid w:val="00957C08"/>
    <w:rsid w:val="00957CB0"/>
    <w:rsid w:val="00957D0C"/>
    <w:rsid w:val="00957E4B"/>
    <w:rsid w:val="00957F57"/>
    <w:rsid w:val="00957F71"/>
    <w:rsid w:val="00960086"/>
    <w:rsid w:val="0096018F"/>
    <w:rsid w:val="0096024E"/>
    <w:rsid w:val="00960308"/>
    <w:rsid w:val="00960405"/>
    <w:rsid w:val="00960520"/>
    <w:rsid w:val="00960594"/>
    <w:rsid w:val="009605D2"/>
    <w:rsid w:val="009606A1"/>
    <w:rsid w:val="0096075A"/>
    <w:rsid w:val="0096081D"/>
    <w:rsid w:val="00960870"/>
    <w:rsid w:val="00960921"/>
    <w:rsid w:val="00960935"/>
    <w:rsid w:val="00960955"/>
    <w:rsid w:val="00960A3D"/>
    <w:rsid w:val="00960A92"/>
    <w:rsid w:val="00960AED"/>
    <w:rsid w:val="00960C4D"/>
    <w:rsid w:val="00960C7C"/>
    <w:rsid w:val="00960DC2"/>
    <w:rsid w:val="00960E24"/>
    <w:rsid w:val="00960E32"/>
    <w:rsid w:val="00960EDE"/>
    <w:rsid w:val="00960F27"/>
    <w:rsid w:val="00960FD5"/>
    <w:rsid w:val="00961092"/>
    <w:rsid w:val="009610A6"/>
    <w:rsid w:val="0096115B"/>
    <w:rsid w:val="00961251"/>
    <w:rsid w:val="0096127D"/>
    <w:rsid w:val="00961497"/>
    <w:rsid w:val="0096149A"/>
    <w:rsid w:val="009614B1"/>
    <w:rsid w:val="0096160B"/>
    <w:rsid w:val="00961630"/>
    <w:rsid w:val="00961692"/>
    <w:rsid w:val="009616DC"/>
    <w:rsid w:val="009617A2"/>
    <w:rsid w:val="009617E1"/>
    <w:rsid w:val="0096182F"/>
    <w:rsid w:val="009618BE"/>
    <w:rsid w:val="009618D7"/>
    <w:rsid w:val="00961A12"/>
    <w:rsid w:val="00961C2D"/>
    <w:rsid w:val="00961CE4"/>
    <w:rsid w:val="00961D0C"/>
    <w:rsid w:val="00961D6C"/>
    <w:rsid w:val="00961E49"/>
    <w:rsid w:val="00961E71"/>
    <w:rsid w:val="00961EB9"/>
    <w:rsid w:val="00961F53"/>
    <w:rsid w:val="00962108"/>
    <w:rsid w:val="00962145"/>
    <w:rsid w:val="0096224E"/>
    <w:rsid w:val="009622BC"/>
    <w:rsid w:val="009622C6"/>
    <w:rsid w:val="0096238E"/>
    <w:rsid w:val="00962397"/>
    <w:rsid w:val="009623B3"/>
    <w:rsid w:val="009623BD"/>
    <w:rsid w:val="009623F4"/>
    <w:rsid w:val="00962431"/>
    <w:rsid w:val="009624FF"/>
    <w:rsid w:val="009626D9"/>
    <w:rsid w:val="00962790"/>
    <w:rsid w:val="009627BC"/>
    <w:rsid w:val="009627E0"/>
    <w:rsid w:val="009627E6"/>
    <w:rsid w:val="00962A37"/>
    <w:rsid w:val="00962A3E"/>
    <w:rsid w:val="00962A64"/>
    <w:rsid w:val="00962AD8"/>
    <w:rsid w:val="00962AFA"/>
    <w:rsid w:val="00962B23"/>
    <w:rsid w:val="00962C19"/>
    <w:rsid w:val="00962C35"/>
    <w:rsid w:val="00962C5A"/>
    <w:rsid w:val="00962D4D"/>
    <w:rsid w:val="00962DF8"/>
    <w:rsid w:val="00962E6C"/>
    <w:rsid w:val="00962F5B"/>
    <w:rsid w:val="00963119"/>
    <w:rsid w:val="00963146"/>
    <w:rsid w:val="0096314D"/>
    <w:rsid w:val="00963217"/>
    <w:rsid w:val="00963295"/>
    <w:rsid w:val="009632B4"/>
    <w:rsid w:val="009632C6"/>
    <w:rsid w:val="0096334C"/>
    <w:rsid w:val="0096338D"/>
    <w:rsid w:val="00963594"/>
    <w:rsid w:val="009635E6"/>
    <w:rsid w:val="009636A3"/>
    <w:rsid w:val="00963A50"/>
    <w:rsid w:val="00963AE3"/>
    <w:rsid w:val="00963B69"/>
    <w:rsid w:val="00963B82"/>
    <w:rsid w:val="00963C68"/>
    <w:rsid w:val="00963CFD"/>
    <w:rsid w:val="00963E97"/>
    <w:rsid w:val="00963F17"/>
    <w:rsid w:val="00964054"/>
    <w:rsid w:val="009642EE"/>
    <w:rsid w:val="0096431B"/>
    <w:rsid w:val="00964412"/>
    <w:rsid w:val="0096455C"/>
    <w:rsid w:val="0096465F"/>
    <w:rsid w:val="009647D5"/>
    <w:rsid w:val="0096485F"/>
    <w:rsid w:val="009648A1"/>
    <w:rsid w:val="00964AF3"/>
    <w:rsid w:val="00964BE7"/>
    <w:rsid w:val="00964C5F"/>
    <w:rsid w:val="00964CD8"/>
    <w:rsid w:val="00964DA8"/>
    <w:rsid w:val="00964E3D"/>
    <w:rsid w:val="00964EDE"/>
    <w:rsid w:val="00964F2E"/>
    <w:rsid w:val="00965033"/>
    <w:rsid w:val="00965203"/>
    <w:rsid w:val="00965596"/>
    <w:rsid w:val="00965724"/>
    <w:rsid w:val="0096572B"/>
    <w:rsid w:val="0096577B"/>
    <w:rsid w:val="009657D3"/>
    <w:rsid w:val="0096580C"/>
    <w:rsid w:val="009658C6"/>
    <w:rsid w:val="00965913"/>
    <w:rsid w:val="0096592D"/>
    <w:rsid w:val="0096596B"/>
    <w:rsid w:val="0096598B"/>
    <w:rsid w:val="009659B8"/>
    <w:rsid w:val="00965AE2"/>
    <w:rsid w:val="00965C14"/>
    <w:rsid w:val="00965C18"/>
    <w:rsid w:val="00965F05"/>
    <w:rsid w:val="00965FEF"/>
    <w:rsid w:val="00966036"/>
    <w:rsid w:val="0096604B"/>
    <w:rsid w:val="009660D0"/>
    <w:rsid w:val="009660E6"/>
    <w:rsid w:val="009660FB"/>
    <w:rsid w:val="009661E8"/>
    <w:rsid w:val="009664BC"/>
    <w:rsid w:val="00966521"/>
    <w:rsid w:val="009665B3"/>
    <w:rsid w:val="009666BD"/>
    <w:rsid w:val="009666D7"/>
    <w:rsid w:val="00966761"/>
    <w:rsid w:val="0096679C"/>
    <w:rsid w:val="00966818"/>
    <w:rsid w:val="00966856"/>
    <w:rsid w:val="009668C7"/>
    <w:rsid w:val="009668D1"/>
    <w:rsid w:val="009669E1"/>
    <w:rsid w:val="00966A5B"/>
    <w:rsid w:val="00966B34"/>
    <w:rsid w:val="00966BE1"/>
    <w:rsid w:val="00966BEC"/>
    <w:rsid w:val="00966C5F"/>
    <w:rsid w:val="00966C68"/>
    <w:rsid w:val="00966C83"/>
    <w:rsid w:val="00966C8C"/>
    <w:rsid w:val="00966CC8"/>
    <w:rsid w:val="00966D2C"/>
    <w:rsid w:val="00966E08"/>
    <w:rsid w:val="00966EAE"/>
    <w:rsid w:val="00966FE9"/>
    <w:rsid w:val="00967046"/>
    <w:rsid w:val="009670BF"/>
    <w:rsid w:val="009670FF"/>
    <w:rsid w:val="0096711E"/>
    <w:rsid w:val="00967120"/>
    <w:rsid w:val="00967147"/>
    <w:rsid w:val="00967214"/>
    <w:rsid w:val="00967274"/>
    <w:rsid w:val="009672C7"/>
    <w:rsid w:val="00967392"/>
    <w:rsid w:val="00967427"/>
    <w:rsid w:val="009674CC"/>
    <w:rsid w:val="0096753C"/>
    <w:rsid w:val="00967569"/>
    <w:rsid w:val="0096762E"/>
    <w:rsid w:val="00967641"/>
    <w:rsid w:val="009677CC"/>
    <w:rsid w:val="009678B5"/>
    <w:rsid w:val="00967920"/>
    <w:rsid w:val="00967927"/>
    <w:rsid w:val="009679DD"/>
    <w:rsid w:val="00967B9B"/>
    <w:rsid w:val="00967C0A"/>
    <w:rsid w:val="00967C1D"/>
    <w:rsid w:val="00967D96"/>
    <w:rsid w:val="00967DDC"/>
    <w:rsid w:val="00967E6C"/>
    <w:rsid w:val="00967EDD"/>
    <w:rsid w:val="00967EFA"/>
    <w:rsid w:val="00967F22"/>
    <w:rsid w:val="0097013C"/>
    <w:rsid w:val="009701F5"/>
    <w:rsid w:val="00970366"/>
    <w:rsid w:val="009703B6"/>
    <w:rsid w:val="009703D6"/>
    <w:rsid w:val="0097043B"/>
    <w:rsid w:val="009705F4"/>
    <w:rsid w:val="00970615"/>
    <w:rsid w:val="009706AE"/>
    <w:rsid w:val="009706B7"/>
    <w:rsid w:val="00970735"/>
    <w:rsid w:val="009708A4"/>
    <w:rsid w:val="00970A70"/>
    <w:rsid w:val="00970B8E"/>
    <w:rsid w:val="00970B93"/>
    <w:rsid w:val="00970D2F"/>
    <w:rsid w:val="00970D58"/>
    <w:rsid w:val="00970ECD"/>
    <w:rsid w:val="00970EE2"/>
    <w:rsid w:val="00970FB2"/>
    <w:rsid w:val="00971031"/>
    <w:rsid w:val="009710CA"/>
    <w:rsid w:val="009710E7"/>
    <w:rsid w:val="00971148"/>
    <w:rsid w:val="0097115B"/>
    <w:rsid w:val="009711F0"/>
    <w:rsid w:val="009712D3"/>
    <w:rsid w:val="00971582"/>
    <w:rsid w:val="009715B7"/>
    <w:rsid w:val="009715DD"/>
    <w:rsid w:val="009715E5"/>
    <w:rsid w:val="00971605"/>
    <w:rsid w:val="009716B7"/>
    <w:rsid w:val="009716D8"/>
    <w:rsid w:val="00971745"/>
    <w:rsid w:val="009719BA"/>
    <w:rsid w:val="00971C07"/>
    <w:rsid w:val="00971DFA"/>
    <w:rsid w:val="00971EC3"/>
    <w:rsid w:val="00971EE0"/>
    <w:rsid w:val="00971F85"/>
    <w:rsid w:val="00971FD6"/>
    <w:rsid w:val="00972114"/>
    <w:rsid w:val="00972177"/>
    <w:rsid w:val="009721F4"/>
    <w:rsid w:val="00972289"/>
    <w:rsid w:val="009722F7"/>
    <w:rsid w:val="0097236F"/>
    <w:rsid w:val="009724C0"/>
    <w:rsid w:val="009725B8"/>
    <w:rsid w:val="009726D6"/>
    <w:rsid w:val="00972742"/>
    <w:rsid w:val="00972750"/>
    <w:rsid w:val="0097283B"/>
    <w:rsid w:val="0097288E"/>
    <w:rsid w:val="009728B2"/>
    <w:rsid w:val="009729B3"/>
    <w:rsid w:val="009729B4"/>
    <w:rsid w:val="00972A21"/>
    <w:rsid w:val="00972A47"/>
    <w:rsid w:val="00972B0B"/>
    <w:rsid w:val="00972BCE"/>
    <w:rsid w:val="00972CD4"/>
    <w:rsid w:val="00972CEE"/>
    <w:rsid w:val="00972E3B"/>
    <w:rsid w:val="00972F4B"/>
    <w:rsid w:val="00972F89"/>
    <w:rsid w:val="00972FDB"/>
    <w:rsid w:val="00972FDD"/>
    <w:rsid w:val="00973099"/>
    <w:rsid w:val="009730E7"/>
    <w:rsid w:val="009731E3"/>
    <w:rsid w:val="00973277"/>
    <w:rsid w:val="0097331D"/>
    <w:rsid w:val="009733D3"/>
    <w:rsid w:val="00973402"/>
    <w:rsid w:val="00973426"/>
    <w:rsid w:val="00973490"/>
    <w:rsid w:val="009734F4"/>
    <w:rsid w:val="00973543"/>
    <w:rsid w:val="00973640"/>
    <w:rsid w:val="00973673"/>
    <w:rsid w:val="009736D1"/>
    <w:rsid w:val="009737B9"/>
    <w:rsid w:val="00973802"/>
    <w:rsid w:val="00973820"/>
    <w:rsid w:val="0097393A"/>
    <w:rsid w:val="0097398E"/>
    <w:rsid w:val="00973A53"/>
    <w:rsid w:val="00973B30"/>
    <w:rsid w:val="00973C0E"/>
    <w:rsid w:val="00973C22"/>
    <w:rsid w:val="00973C5F"/>
    <w:rsid w:val="00973CBF"/>
    <w:rsid w:val="00973D50"/>
    <w:rsid w:val="00973EB5"/>
    <w:rsid w:val="00973EB6"/>
    <w:rsid w:val="00973EE1"/>
    <w:rsid w:val="0097405C"/>
    <w:rsid w:val="00974086"/>
    <w:rsid w:val="00974171"/>
    <w:rsid w:val="00974251"/>
    <w:rsid w:val="009743A4"/>
    <w:rsid w:val="0097448B"/>
    <w:rsid w:val="009744D7"/>
    <w:rsid w:val="00974531"/>
    <w:rsid w:val="0097460B"/>
    <w:rsid w:val="009746FD"/>
    <w:rsid w:val="009747A6"/>
    <w:rsid w:val="009747C2"/>
    <w:rsid w:val="00974A0B"/>
    <w:rsid w:val="00974C7A"/>
    <w:rsid w:val="00974CB8"/>
    <w:rsid w:val="00974EB8"/>
    <w:rsid w:val="00974EEB"/>
    <w:rsid w:val="00974F1E"/>
    <w:rsid w:val="00974FCF"/>
    <w:rsid w:val="00975033"/>
    <w:rsid w:val="0097505F"/>
    <w:rsid w:val="009751C3"/>
    <w:rsid w:val="009751D2"/>
    <w:rsid w:val="00975255"/>
    <w:rsid w:val="009753D0"/>
    <w:rsid w:val="00975451"/>
    <w:rsid w:val="00975471"/>
    <w:rsid w:val="009754E3"/>
    <w:rsid w:val="0097550E"/>
    <w:rsid w:val="00975584"/>
    <w:rsid w:val="00975626"/>
    <w:rsid w:val="0097568D"/>
    <w:rsid w:val="0097583D"/>
    <w:rsid w:val="0097585B"/>
    <w:rsid w:val="009758FD"/>
    <w:rsid w:val="00975938"/>
    <w:rsid w:val="009759D8"/>
    <w:rsid w:val="00975A3B"/>
    <w:rsid w:val="00975A84"/>
    <w:rsid w:val="00975B50"/>
    <w:rsid w:val="00975C1A"/>
    <w:rsid w:val="00975CE6"/>
    <w:rsid w:val="00975DE6"/>
    <w:rsid w:val="00975E37"/>
    <w:rsid w:val="00975E4E"/>
    <w:rsid w:val="00975EC7"/>
    <w:rsid w:val="00975F54"/>
    <w:rsid w:val="00975FAC"/>
    <w:rsid w:val="0097607A"/>
    <w:rsid w:val="0097608B"/>
    <w:rsid w:val="0097615F"/>
    <w:rsid w:val="00976175"/>
    <w:rsid w:val="009761A9"/>
    <w:rsid w:val="00976386"/>
    <w:rsid w:val="00976389"/>
    <w:rsid w:val="00976550"/>
    <w:rsid w:val="0097659A"/>
    <w:rsid w:val="009765E3"/>
    <w:rsid w:val="0097667D"/>
    <w:rsid w:val="0097668A"/>
    <w:rsid w:val="0097668F"/>
    <w:rsid w:val="009766B3"/>
    <w:rsid w:val="009766F2"/>
    <w:rsid w:val="0097671B"/>
    <w:rsid w:val="00976916"/>
    <w:rsid w:val="009769C2"/>
    <w:rsid w:val="00976B11"/>
    <w:rsid w:val="00976B1C"/>
    <w:rsid w:val="00976C4E"/>
    <w:rsid w:val="00976CAF"/>
    <w:rsid w:val="00976DB0"/>
    <w:rsid w:val="00976EAF"/>
    <w:rsid w:val="00976FD4"/>
    <w:rsid w:val="00977043"/>
    <w:rsid w:val="009770A0"/>
    <w:rsid w:val="00977137"/>
    <w:rsid w:val="0097713F"/>
    <w:rsid w:val="009771DF"/>
    <w:rsid w:val="00977234"/>
    <w:rsid w:val="00977285"/>
    <w:rsid w:val="009772EC"/>
    <w:rsid w:val="00977392"/>
    <w:rsid w:val="009773C4"/>
    <w:rsid w:val="0097741D"/>
    <w:rsid w:val="009775E5"/>
    <w:rsid w:val="009776B6"/>
    <w:rsid w:val="00977763"/>
    <w:rsid w:val="00977792"/>
    <w:rsid w:val="009777C7"/>
    <w:rsid w:val="00977863"/>
    <w:rsid w:val="009778FC"/>
    <w:rsid w:val="0097790A"/>
    <w:rsid w:val="0097792B"/>
    <w:rsid w:val="00977BF3"/>
    <w:rsid w:val="00977C05"/>
    <w:rsid w:val="00977C19"/>
    <w:rsid w:val="00977C4D"/>
    <w:rsid w:val="00977C8B"/>
    <w:rsid w:val="00977E51"/>
    <w:rsid w:val="00977E5C"/>
    <w:rsid w:val="00977ECF"/>
    <w:rsid w:val="0098001F"/>
    <w:rsid w:val="0098005E"/>
    <w:rsid w:val="0098020F"/>
    <w:rsid w:val="0098027A"/>
    <w:rsid w:val="009802C7"/>
    <w:rsid w:val="00980407"/>
    <w:rsid w:val="00980415"/>
    <w:rsid w:val="00980420"/>
    <w:rsid w:val="009804B2"/>
    <w:rsid w:val="0098054D"/>
    <w:rsid w:val="00980637"/>
    <w:rsid w:val="00980726"/>
    <w:rsid w:val="0098087B"/>
    <w:rsid w:val="0098095C"/>
    <w:rsid w:val="009809EC"/>
    <w:rsid w:val="0098100E"/>
    <w:rsid w:val="00981131"/>
    <w:rsid w:val="0098116A"/>
    <w:rsid w:val="0098117A"/>
    <w:rsid w:val="009811E9"/>
    <w:rsid w:val="0098121F"/>
    <w:rsid w:val="0098125E"/>
    <w:rsid w:val="009813D9"/>
    <w:rsid w:val="009815DF"/>
    <w:rsid w:val="009815E4"/>
    <w:rsid w:val="0098166A"/>
    <w:rsid w:val="0098169F"/>
    <w:rsid w:val="00981751"/>
    <w:rsid w:val="00981993"/>
    <w:rsid w:val="009819A0"/>
    <w:rsid w:val="00981A22"/>
    <w:rsid w:val="00981A73"/>
    <w:rsid w:val="00981B02"/>
    <w:rsid w:val="00981B29"/>
    <w:rsid w:val="00981BFD"/>
    <w:rsid w:val="00981C6A"/>
    <w:rsid w:val="00981CFC"/>
    <w:rsid w:val="00981E2F"/>
    <w:rsid w:val="00981EA6"/>
    <w:rsid w:val="00981EDB"/>
    <w:rsid w:val="009820CA"/>
    <w:rsid w:val="00982181"/>
    <w:rsid w:val="00982262"/>
    <w:rsid w:val="009822EC"/>
    <w:rsid w:val="00982405"/>
    <w:rsid w:val="0098243D"/>
    <w:rsid w:val="00982595"/>
    <w:rsid w:val="0098274E"/>
    <w:rsid w:val="00982777"/>
    <w:rsid w:val="00982862"/>
    <w:rsid w:val="0098294D"/>
    <w:rsid w:val="00982992"/>
    <w:rsid w:val="00982994"/>
    <w:rsid w:val="009829AB"/>
    <w:rsid w:val="00982A84"/>
    <w:rsid w:val="00982AA8"/>
    <w:rsid w:val="00982ADA"/>
    <w:rsid w:val="00982C0F"/>
    <w:rsid w:val="00982C53"/>
    <w:rsid w:val="00982C8B"/>
    <w:rsid w:val="00982DB4"/>
    <w:rsid w:val="00982DCF"/>
    <w:rsid w:val="00982E31"/>
    <w:rsid w:val="00982F20"/>
    <w:rsid w:val="00982F78"/>
    <w:rsid w:val="00982F94"/>
    <w:rsid w:val="00983016"/>
    <w:rsid w:val="00983047"/>
    <w:rsid w:val="00983051"/>
    <w:rsid w:val="0098308D"/>
    <w:rsid w:val="0098318E"/>
    <w:rsid w:val="009831DB"/>
    <w:rsid w:val="009832A6"/>
    <w:rsid w:val="00983339"/>
    <w:rsid w:val="00983445"/>
    <w:rsid w:val="00983526"/>
    <w:rsid w:val="009836C6"/>
    <w:rsid w:val="009837FA"/>
    <w:rsid w:val="00983941"/>
    <w:rsid w:val="00983956"/>
    <w:rsid w:val="009839D6"/>
    <w:rsid w:val="009839DF"/>
    <w:rsid w:val="00983AB3"/>
    <w:rsid w:val="00983B01"/>
    <w:rsid w:val="00983C57"/>
    <w:rsid w:val="00983D46"/>
    <w:rsid w:val="00983D85"/>
    <w:rsid w:val="00983E12"/>
    <w:rsid w:val="00983E2E"/>
    <w:rsid w:val="00983F14"/>
    <w:rsid w:val="00983F38"/>
    <w:rsid w:val="00983F4D"/>
    <w:rsid w:val="00983F6A"/>
    <w:rsid w:val="00983F7E"/>
    <w:rsid w:val="00983F80"/>
    <w:rsid w:val="0098405E"/>
    <w:rsid w:val="0098414D"/>
    <w:rsid w:val="00984177"/>
    <w:rsid w:val="00984357"/>
    <w:rsid w:val="00984397"/>
    <w:rsid w:val="00984452"/>
    <w:rsid w:val="00984462"/>
    <w:rsid w:val="00984577"/>
    <w:rsid w:val="0098458F"/>
    <w:rsid w:val="00984674"/>
    <w:rsid w:val="009846CB"/>
    <w:rsid w:val="009846CE"/>
    <w:rsid w:val="009846D1"/>
    <w:rsid w:val="0098473B"/>
    <w:rsid w:val="00984867"/>
    <w:rsid w:val="009848C0"/>
    <w:rsid w:val="009848EA"/>
    <w:rsid w:val="00984940"/>
    <w:rsid w:val="00984946"/>
    <w:rsid w:val="009849DB"/>
    <w:rsid w:val="00984A02"/>
    <w:rsid w:val="00984A36"/>
    <w:rsid w:val="00984B2E"/>
    <w:rsid w:val="00984B60"/>
    <w:rsid w:val="00984B61"/>
    <w:rsid w:val="00984D50"/>
    <w:rsid w:val="00984E3C"/>
    <w:rsid w:val="00984F25"/>
    <w:rsid w:val="00985064"/>
    <w:rsid w:val="00985087"/>
    <w:rsid w:val="009850A2"/>
    <w:rsid w:val="00985284"/>
    <w:rsid w:val="00985493"/>
    <w:rsid w:val="009854BD"/>
    <w:rsid w:val="009856A2"/>
    <w:rsid w:val="009857EC"/>
    <w:rsid w:val="009859CC"/>
    <w:rsid w:val="00985A46"/>
    <w:rsid w:val="00985AA8"/>
    <w:rsid w:val="00985C53"/>
    <w:rsid w:val="00985CF8"/>
    <w:rsid w:val="00985D6C"/>
    <w:rsid w:val="00985F59"/>
    <w:rsid w:val="00985F8C"/>
    <w:rsid w:val="00985FAC"/>
    <w:rsid w:val="00986230"/>
    <w:rsid w:val="00986256"/>
    <w:rsid w:val="0098631D"/>
    <w:rsid w:val="009863AE"/>
    <w:rsid w:val="009863B2"/>
    <w:rsid w:val="0098652C"/>
    <w:rsid w:val="00986536"/>
    <w:rsid w:val="00986672"/>
    <w:rsid w:val="0098668A"/>
    <w:rsid w:val="009866BF"/>
    <w:rsid w:val="009867CA"/>
    <w:rsid w:val="009867EE"/>
    <w:rsid w:val="0098683B"/>
    <w:rsid w:val="0098694E"/>
    <w:rsid w:val="00986954"/>
    <w:rsid w:val="00986A15"/>
    <w:rsid w:val="00986AB0"/>
    <w:rsid w:val="00986AB3"/>
    <w:rsid w:val="00986AC8"/>
    <w:rsid w:val="00986ACE"/>
    <w:rsid w:val="00986AF8"/>
    <w:rsid w:val="00986D64"/>
    <w:rsid w:val="00986DE1"/>
    <w:rsid w:val="00986F66"/>
    <w:rsid w:val="00986F8B"/>
    <w:rsid w:val="0098700D"/>
    <w:rsid w:val="00987043"/>
    <w:rsid w:val="0098705D"/>
    <w:rsid w:val="00987126"/>
    <w:rsid w:val="00987281"/>
    <w:rsid w:val="0098729F"/>
    <w:rsid w:val="009872C0"/>
    <w:rsid w:val="0098732A"/>
    <w:rsid w:val="009873F4"/>
    <w:rsid w:val="00987580"/>
    <w:rsid w:val="00987729"/>
    <w:rsid w:val="0098778B"/>
    <w:rsid w:val="00987801"/>
    <w:rsid w:val="00987848"/>
    <w:rsid w:val="0098784E"/>
    <w:rsid w:val="009878D5"/>
    <w:rsid w:val="00987965"/>
    <w:rsid w:val="009879E6"/>
    <w:rsid w:val="00987A73"/>
    <w:rsid w:val="00987CEB"/>
    <w:rsid w:val="00987D09"/>
    <w:rsid w:val="00987D13"/>
    <w:rsid w:val="00987D90"/>
    <w:rsid w:val="00987E17"/>
    <w:rsid w:val="00987E45"/>
    <w:rsid w:val="00987E50"/>
    <w:rsid w:val="00987E7F"/>
    <w:rsid w:val="00987F7B"/>
    <w:rsid w:val="009900FA"/>
    <w:rsid w:val="0099016B"/>
    <w:rsid w:val="00990204"/>
    <w:rsid w:val="00990355"/>
    <w:rsid w:val="00990557"/>
    <w:rsid w:val="0099059C"/>
    <w:rsid w:val="009905A8"/>
    <w:rsid w:val="009905AB"/>
    <w:rsid w:val="009905C6"/>
    <w:rsid w:val="009906C9"/>
    <w:rsid w:val="00990710"/>
    <w:rsid w:val="00990853"/>
    <w:rsid w:val="00990888"/>
    <w:rsid w:val="00990947"/>
    <w:rsid w:val="0099094E"/>
    <w:rsid w:val="00990955"/>
    <w:rsid w:val="00990B6D"/>
    <w:rsid w:val="00990BB0"/>
    <w:rsid w:val="00990BCE"/>
    <w:rsid w:val="00990C5A"/>
    <w:rsid w:val="00990CD9"/>
    <w:rsid w:val="00990CDC"/>
    <w:rsid w:val="00990CF1"/>
    <w:rsid w:val="00990D06"/>
    <w:rsid w:val="00990D53"/>
    <w:rsid w:val="00990DA1"/>
    <w:rsid w:val="00990DAF"/>
    <w:rsid w:val="00990E03"/>
    <w:rsid w:val="00990E0C"/>
    <w:rsid w:val="00990E68"/>
    <w:rsid w:val="00990ED7"/>
    <w:rsid w:val="00990FA5"/>
    <w:rsid w:val="00990FD2"/>
    <w:rsid w:val="00990FF9"/>
    <w:rsid w:val="00991047"/>
    <w:rsid w:val="009910F4"/>
    <w:rsid w:val="0099111B"/>
    <w:rsid w:val="0099114F"/>
    <w:rsid w:val="009912CF"/>
    <w:rsid w:val="0099130C"/>
    <w:rsid w:val="00991370"/>
    <w:rsid w:val="00991393"/>
    <w:rsid w:val="00991454"/>
    <w:rsid w:val="009914BA"/>
    <w:rsid w:val="00991505"/>
    <w:rsid w:val="00991544"/>
    <w:rsid w:val="00991656"/>
    <w:rsid w:val="009916B7"/>
    <w:rsid w:val="009916D8"/>
    <w:rsid w:val="009916D9"/>
    <w:rsid w:val="00991776"/>
    <w:rsid w:val="009917E2"/>
    <w:rsid w:val="00991897"/>
    <w:rsid w:val="0099191B"/>
    <w:rsid w:val="00991960"/>
    <w:rsid w:val="00991A16"/>
    <w:rsid w:val="00991AF0"/>
    <w:rsid w:val="00991B00"/>
    <w:rsid w:val="00991BEC"/>
    <w:rsid w:val="00991C4E"/>
    <w:rsid w:val="00991C71"/>
    <w:rsid w:val="00991CBF"/>
    <w:rsid w:val="00991CD5"/>
    <w:rsid w:val="00991D15"/>
    <w:rsid w:val="00991D5E"/>
    <w:rsid w:val="00991D66"/>
    <w:rsid w:val="00991DBA"/>
    <w:rsid w:val="00991DDA"/>
    <w:rsid w:val="00991E97"/>
    <w:rsid w:val="00991EFB"/>
    <w:rsid w:val="00991F68"/>
    <w:rsid w:val="00992016"/>
    <w:rsid w:val="0099203F"/>
    <w:rsid w:val="009920AC"/>
    <w:rsid w:val="0099213A"/>
    <w:rsid w:val="00992222"/>
    <w:rsid w:val="00992274"/>
    <w:rsid w:val="00992347"/>
    <w:rsid w:val="00992369"/>
    <w:rsid w:val="00992387"/>
    <w:rsid w:val="009923C0"/>
    <w:rsid w:val="009924AB"/>
    <w:rsid w:val="0099254B"/>
    <w:rsid w:val="00992618"/>
    <w:rsid w:val="009926A0"/>
    <w:rsid w:val="00992712"/>
    <w:rsid w:val="00992775"/>
    <w:rsid w:val="00992A17"/>
    <w:rsid w:val="00992AC9"/>
    <w:rsid w:val="00992B50"/>
    <w:rsid w:val="00992B6D"/>
    <w:rsid w:val="00992C80"/>
    <w:rsid w:val="00992C83"/>
    <w:rsid w:val="00992C8E"/>
    <w:rsid w:val="00992DC0"/>
    <w:rsid w:val="00992E73"/>
    <w:rsid w:val="00992EEF"/>
    <w:rsid w:val="00992FED"/>
    <w:rsid w:val="00993042"/>
    <w:rsid w:val="009931E3"/>
    <w:rsid w:val="00993202"/>
    <w:rsid w:val="00993288"/>
    <w:rsid w:val="0099329D"/>
    <w:rsid w:val="00993348"/>
    <w:rsid w:val="00993469"/>
    <w:rsid w:val="0099346F"/>
    <w:rsid w:val="009934E3"/>
    <w:rsid w:val="009935BA"/>
    <w:rsid w:val="009937CD"/>
    <w:rsid w:val="0099393F"/>
    <w:rsid w:val="00993A11"/>
    <w:rsid w:val="00993A86"/>
    <w:rsid w:val="00993A8C"/>
    <w:rsid w:val="00993AD1"/>
    <w:rsid w:val="00993BA8"/>
    <w:rsid w:val="00993BD6"/>
    <w:rsid w:val="00993C9B"/>
    <w:rsid w:val="00993D91"/>
    <w:rsid w:val="00993DE4"/>
    <w:rsid w:val="00993E7C"/>
    <w:rsid w:val="00993F22"/>
    <w:rsid w:val="00993FAA"/>
    <w:rsid w:val="00993FAD"/>
    <w:rsid w:val="00993FB5"/>
    <w:rsid w:val="00993FFE"/>
    <w:rsid w:val="00994050"/>
    <w:rsid w:val="0099414C"/>
    <w:rsid w:val="00994164"/>
    <w:rsid w:val="0099418C"/>
    <w:rsid w:val="009941C7"/>
    <w:rsid w:val="009941FB"/>
    <w:rsid w:val="009942FB"/>
    <w:rsid w:val="009943A4"/>
    <w:rsid w:val="009943A8"/>
    <w:rsid w:val="00994404"/>
    <w:rsid w:val="009944B7"/>
    <w:rsid w:val="00994505"/>
    <w:rsid w:val="00994559"/>
    <w:rsid w:val="009945A8"/>
    <w:rsid w:val="00994AB6"/>
    <w:rsid w:val="00994ABB"/>
    <w:rsid w:val="00994AE4"/>
    <w:rsid w:val="00994B60"/>
    <w:rsid w:val="00994B7C"/>
    <w:rsid w:val="00994BA2"/>
    <w:rsid w:val="00994BFF"/>
    <w:rsid w:val="00994D03"/>
    <w:rsid w:val="00994D1C"/>
    <w:rsid w:val="00994D70"/>
    <w:rsid w:val="00994DB1"/>
    <w:rsid w:val="00994E6A"/>
    <w:rsid w:val="00994EFD"/>
    <w:rsid w:val="00994F04"/>
    <w:rsid w:val="00994F0D"/>
    <w:rsid w:val="00995070"/>
    <w:rsid w:val="0099518B"/>
    <w:rsid w:val="009951FD"/>
    <w:rsid w:val="00995232"/>
    <w:rsid w:val="009952D1"/>
    <w:rsid w:val="009952FA"/>
    <w:rsid w:val="0099538F"/>
    <w:rsid w:val="009953D1"/>
    <w:rsid w:val="009953E0"/>
    <w:rsid w:val="0099542E"/>
    <w:rsid w:val="00995463"/>
    <w:rsid w:val="00995530"/>
    <w:rsid w:val="00995647"/>
    <w:rsid w:val="00995932"/>
    <w:rsid w:val="009959D3"/>
    <w:rsid w:val="00995A11"/>
    <w:rsid w:val="00995CBD"/>
    <w:rsid w:val="00995DCC"/>
    <w:rsid w:val="00995DF6"/>
    <w:rsid w:val="00995E6A"/>
    <w:rsid w:val="00995EA0"/>
    <w:rsid w:val="00995EA7"/>
    <w:rsid w:val="00995EDC"/>
    <w:rsid w:val="00995FBE"/>
    <w:rsid w:val="009961B4"/>
    <w:rsid w:val="00996238"/>
    <w:rsid w:val="00996265"/>
    <w:rsid w:val="009964B7"/>
    <w:rsid w:val="009964EB"/>
    <w:rsid w:val="009964EF"/>
    <w:rsid w:val="009965B9"/>
    <w:rsid w:val="009966E4"/>
    <w:rsid w:val="00996A96"/>
    <w:rsid w:val="00996B0F"/>
    <w:rsid w:val="00996C5E"/>
    <w:rsid w:val="00996D3F"/>
    <w:rsid w:val="00996DA7"/>
    <w:rsid w:val="00996EAF"/>
    <w:rsid w:val="00996ECC"/>
    <w:rsid w:val="00997005"/>
    <w:rsid w:val="00997051"/>
    <w:rsid w:val="0099717D"/>
    <w:rsid w:val="00997373"/>
    <w:rsid w:val="00997393"/>
    <w:rsid w:val="0099749C"/>
    <w:rsid w:val="009976AC"/>
    <w:rsid w:val="0099772E"/>
    <w:rsid w:val="00997744"/>
    <w:rsid w:val="00997753"/>
    <w:rsid w:val="00997772"/>
    <w:rsid w:val="0099778B"/>
    <w:rsid w:val="009977BE"/>
    <w:rsid w:val="009978FD"/>
    <w:rsid w:val="00997975"/>
    <w:rsid w:val="00997A20"/>
    <w:rsid w:val="00997AB5"/>
    <w:rsid w:val="00997B41"/>
    <w:rsid w:val="00997B79"/>
    <w:rsid w:val="00997C38"/>
    <w:rsid w:val="00997C3F"/>
    <w:rsid w:val="00997C9A"/>
    <w:rsid w:val="00997D81"/>
    <w:rsid w:val="00997D9D"/>
    <w:rsid w:val="00997F10"/>
    <w:rsid w:val="00997FBD"/>
    <w:rsid w:val="009A00A7"/>
    <w:rsid w:val="009A00AF"/>
    <w:rsid w:val="009A00B8"/>
    <w:rsid w:val="009A0165"/>
    <w:rsid w:val="009A01D1"/>
    <w:rsid w:val="009A01DC"/>
    <w:rsid w:val="009A01F6"/>
    <w:rsid w:val="009A021D"/>
    <w:rsid w:val="009A05BD"/>
    <w:rsid w:val="009A0658"/>
    <w:rsid w:val="009A0972"/>
    <w:rsid w:val="009A09D8"/>
    <w:rsid w:val="009A0A56"/>
    <w:rsid w:val="009A0B0B"/>
    <w:rsid w:val="009A0B8F"/>
    <w:rsid w:val="009A0BF7"/>
    <w:rsid w:val="009A0C7D"/>
    <w:rsid w:val="009A0D1C"/>
    <w:rsid w:val="009A0DDD"/>
    <w:rsid w:val="009A0E81"/>
    <w:rsid w:val="009A0EA4"/>
    <w:rsid w:val="009A0ED2"/>
    <w:rsid w:val="009A1046"/>
    <w:rsid w:val="009A1370"/>
    <w:rsid w:val="009A1413"/>
    <w:rsid w:val="009A16C4"/>
    <w:rsid w:val="009A16F9"/>
    <w:rsid w:val="009A1776"/>
    <w:rsid w:val="009A180D"/>
    <w:rsid w:val="009A19CF"/>
    <w:rsid w:val="009A1A6B"/>
    <w:rsid w:val="009A1B17"/>
    <w:rsid w:val="009A1B21"/>
    <w:rsid w:val="009A1B46"/>
    <w:rsid w:val="009A1BA9"/>
    <w:rsid w:val="009A1D7F"/>
    <w:rsid w:val="009A1E03"/>
    <w:rsid w:val="009A1F92"/>
    <w:rsid w:val="009A203D"/>
    <w:rsid w:val="009A2044"/>
    <w:rsid w:val="009A2122"/>
    <w:rsid w:val="009A228B"/>
    <w:rsid w:val="009A229C"/>
    <w:rsid w:val="009A232C"/>
    <w:rsid w:val="009A2354"/>
    <w:rsid w:val="009A2363"/>
    <w:rsid w:val="009A246D"/>
    <w:rsid w:val="009A25AE"/>
    <w:rsid w:val="009A25F7"/>
    <w:rsid w:val="009A2625"/>
    <w:rsid w:val="009A27B5"/>
    <w:rsid w:val="009A27F3"/>
    <w:rsid w:val="009A28AC"/>
    <w:rsid w:val="009A2A31"/>
    <w:rsid w:val="009A2BAB"/>
    <w:rsid w:val="009A2D2A"/>
    <w:rsid w:val="009A2DDC"/>
    <w:rsid w:val="009A2E06"/>
    <w:rsid w:val="009A2F11"/>
    <w:rsid w:val="009A2F54"/>
    <w:rsid w:val="009A2F78"/>
    <w:rsid w:val="009A2F94"/>
    <w:rsid w:val="009A3103"/>
    <w:rsid w:val="009A3145"/>
    <w:rsid w:val="009A3188"/>
    <w:rsid w:val="009A32A0"/>
    <w:rsid w:val="009A32BE"/>
    <w:rsid w:val="009A330D"/>
    <w:rsid w:val="009A332E"/>
    <w:rsid w:val="009A3377"/>
    <w:rsid w:val="009A3467"/>
    <w:rsid w:val="009A3509"/>
    <w:rsid w:val="009A3517"/>
    <w:rsid w:val="009A35A7"/>
    <w:rsid w:val="009A3686"/>
    <w:rsid w:val="009A36E4"/>
    <w:rsid w:val="009A3844"/>
    <w:rsid w:val="009A3850"/>
    <w:rsid w:val="009A39D8"/>
    <w:rsid w:val="009A39DC"/>
    <w:rsid w:val="009A39EF"/>
    <w:rsid w:val="009A3BE8"/>
    <w:rsid w:val="009A3C24"/>
    <w:rsid w:val="009A3C72"/>
    <w:rsid w:val="009A3CA9"/>
    <w:rsid w:val="009A3CBD"/>
    <w:rsid w:val="009A3F19"/>
    <w:rsid w:val="009A3FD8"/>
    <w:rsid w:val="009A400C"/>
    <w:rsid w:val="009A4072"/>
    <w:rsid w:val="009A40D7"/>
    <w:rsid w:val="009A40F3"/>
    <w:rsid w:val="009A424B"/>
    <w:rsid w:val="009A4261"/>
    <w:rsid w:val="009A427A"/>
    <w:rsid w:val="009A441D"/>
    <w:rsid w:val="009A4461"/>
    <w:rsid w:val="009A4543"/>
    <w:rsid w:val="009A4576"/>
    <w:rsid w:val="009A4658"/>
    <w:rsid w:val="009A469D"/>
    <w:rsid w:val="009A46F7"/>
    <w:rsid w:val="009A4891"/>
    <w:rsid w:val="009A49A5"/>
    <w:rsid w:val="009A4AF4"/>
    <w:rsid w:val="009A4B60"/>
    <w:rsid w:val="009A4C59"/>
    <w:rsid w:val="009A4D01"/>
    <w:rsid w:val="009A4D3B"/>
    <w:rsid w:val="009A4ECB"/>
    <w:rsid w:val="009A4FFD"/>
    <w:rsid w:val="009A5022"/>
    <w:rsid w:val="009A50FD"/>
    <w:rsid w:val="009A510B"/>
    <w:rsid w:val="009A510D"/>
    <w:rsid w:val="009A512F"/>
    <w:rsid w:val="009A5136"/>
    <w:rsid w:val="009A52AD"/>
    <w:rsid w:val="009A5386"/>
    <w:rsid w:val="009A53B0"/>
    <w:rsid w:val="009A549B"/>
    <w:rsid w:val="009A55E1"/>
    <w:rsid w:val="009A5643"/>
    <w:rsid w:val="009A5680"/>
    <w:rsid w:val="009A56F3"/>
    <w:rsid w:val="009A591C"/>
    <w:rsid w:val="009A59B9"/>
    <w:rsid w:val="009A59E5"/>
    <w:rsid w:val="009A5A1B"/>
    <w:rsid w:val="009A5A38"/>
    <w:rsid w:val="009A5A67"/>
    <w:rsid w:val="009A5BD9"/>
    <w:rsid w:val="009A5BF0"/>
    <w:rsid w:val="009A5C25"/>
    <w:rsid w:val="009A5DAF"/>
    <w:rsid w:val="009A5EBA"/>
    <w:rsid w:val="009A5ED8"/>
    <w:rsid w:val="009A5EE8"/>
    <w:rsid w:val="009A5F7A"/>
    <w:rsid w:val="009A6164"/>
    <w:rsid w:val="009A628A"/>
    <w:rsid w:val="009A62C5"/>
    <w:rsid w:val="009A62DC"/>
    <w:rsid w:val="009A6317"/>
    <w:rsid w:val="009A63A5"/>
    <w:rsid w:val="009A6529"/>
    <w:rsid w:val="009A6550"/>
    <w:rsid w:val="009A657A"/>
    <w:rsid w:val="009A658A"/>
    <w:rsid w:val="009A663E"/>
    <w:rsid w:val="009A6657"/>
    <w:rsid w:val="009A668B"/>
    <w:rsid w:val="009A66B7"/>
    <w:rsid w:val="009A6718"/>
    <w:rsid w:val="009A674B"/>
    <w:rsid w:val="009A6879"/>
    <w:rsid w:val="009A688C"/>
    <w:rsid w:val="009A6890"/>
    <w:rsid w:val="009A6977"/>
    <w:rsid w:val="009A69AF"/>
    <w:rsid w:val="009A69B9"/>
    <w:rsid w:val="009A69CF"/>
    <w:rsid w:val="009A6A91"/>
    <w:rsid w:val="009A6AEA"/>
    <w:rsid w:val="009A6AF2"/>
    <w:rsid w:val="009A6BE1"/>
    <w:rsid w:val="009A6D10"/>
    <w:rsid w:val="009A6D1E"/>
    <w:rsid w:val="009A6D42"/>
    <w:rsid w:val="009A6D68"/>
    <w:rsid w:val="009A6DD5"/>
    <w:rsid w:val="009A6E73"/>
    <w:rsid w:val="009A6F88"/>
    <w:rsid w:val="009A7016"/>
    <w:rsid w:val="009A7042"/>
    <w:rsid w:val="009A7200"/>
    <w:rsid w:val="009A7237"/>
    <w:rsid w:val="009A7500"/>
    <w:rsid w:val="009A7582"/>
    <w:rsid w:val="009A75A4"/>
    <w:rsid w:val="009A7717"/>
    <w:rsid w:val="009A77F7"/>
    <w:rsid w:val="009A7804"/>
    <w:rsid w:val="009A7A90"/>
    <w:rsid w:val="009A7CCF"/>
    <w:rsid w:val="009A7D05"/>
    <w:rsid w:val="009A7F5B"/>
    <w:rsid w:val="009A7F6C"/>
    <w:rsid w:val="009B009F"/>
    <w:rsid w:val="009B00A8"/>
    <w:rsid w:val="009B0126"/>
    <w:rsid w:val="009B02C3"/>
    <w:rsid w:val="009B0305"/>
    <w:rsid w:val="009B0339"/>
    <w:rsid w:val="009B0351"/>
    <w:rsid w:val="009B03FC"/>
    <w:rsid w:val="009B060C"/>
    <w:rsid w:val="009B0645"/>
    <w:rsid w:val="009B07A7"/>
    <w:rsid w:val="009B07A8"/>
    <w:rsid w:val="009B085D"/>
    <w:rsid w:val="009B0872"/>
    <w:rsid w:val="009B094A"/>
    <w:rsid w:val="009B094C"/>
    <w:rsid w:val="009B0A06"/>
    <w:rsid w:val="009B0BD7"/>
    <w:rsid w:val="009B0BE7"/>
    <w:rsid w:val="009B0CC4"/>
    <w:rsid w:val="009B0CFA"/>
    <w:rsid w:val="009B0E4B"/>
    <w:rsid w:val="009B0FA5"/>
    <w:rsid w:val="009B112D"/>
    <w:rsid w:val="009B1380"/>
    <w:rsid w:val="009B14E9"/>
    <w:rsid w:val="009B1554"/>
    <w:rsid w:val="009B1625"/>
    <w:rsid w:val="009B164A"/>
    <w:rsid w:val="009B16D5"/>
    <w:rsid w:val="009B1860"/>
    <w:rsid w:val="009B18F9"/>
    <w:rsid w:val="009B1A19"/>
    <w:rsid w:val="009B1A49"/>
    <w:rsid w:val="009B1BAE"/>
    <w:rsid w:val="009B1BEC"/>
    <w:rsid w:val="009B1CB2"/>
    <w:rsid w:val="009B1CFD"/>
    <w:rsid w:val="009B1D9D"/>
    <w:rsid w:val="009B1E37"/>
    <w:rsid w:val="009B1F52"/>
    <w:rsid w:val="009B2227"/>
    <w:rsid w:val="009B2286"/>
    <w:rsid w:val="009B22C8"/>
    <w:rsid w:val="009B23D7"/>
    <w:rsid w:val="009B2413"/>
    <w:rsid w:val="009B24B1"/>
    <w:rsid w:val="009B2584"/>
    <w:rsid w:val="009B259F"/>
    <w:rsid w:val="009B25CB"/>
    <w:rsid w:val="009B25CC"/>
    <w:rsid w:val="009B266A"/>
    <w:rsid w:val="009B2699"/>
    <w:rsid w:val="009B2706"/>
    <w:rsid w:val="009B2878"/>
    <w:rsid w:val="009B2899"/>
    <w:rsid w:val="009B2900"/>
    <w:rsid w:val="009B294C"/>
    <w:rsid w:val="009B296F"/>
    <w:rsid w:val="009B29BC"/>
    <w:rsid w:val="009B2B44"/>
    <w:rsid w:val="009B2BE4"/>
    <w:rsid w:val="009B2E26"/>
    <w:rsid w:val="009B2E37"/>
    <w:rsid w:val="009B3170"/>
    <w:rsid w:val="009B3172"/>
    <w:rsid w:val="009B3179"/>
    <w:rsid w:val="009B3273"/>
    <w:rsid w:val="009B3318"/>
    <w:rsid w:val="009B3344"/>
    <w:rsid w:val="009B3381"/>
    <w:rsid w:val="009B3463"/>
    <w:rsid w:val="009B3630"/>
    <w:rsid w:val="009B363B"/>
    <w:rsid w:val="009B3665"/>
    <w:rsid w:val="009B366B"/>
    <w:rsid w:val="009B378A"/>
    <w:rsid w:val="009B3849"/>
    <w:rsid w:val="009B38BA"/>
    <w:rsid w:val="009B38F0"/>
    <w:rsid w:val="009B3910"/>
    <w:rsid w:val="009B3999"/>
    <w:rsid w:val="009B3AC4"/>
    <w:rsid w:val="009B3B13"/>
    <w:rsid w:val="009B3B53"/>
    <w:rsid w:val="009B3EED"/>
    <w:rsid w:val="009B3F50"/>
    <w:rsid w:val="009B3F5D"/>
    <w:rsid w:val="009B3F83"/>
    <w:rsid w:val="009B41C8"/>
    <w:rsid w:val="009B422C"/>
    <w:rsid w:val="009B4264"/>
    <w:rsid w:val="009B4412"/>
    <w:rsid w:val="009B4437"/>
    <w:rsid w:val="009B4439"/>
    <w:rsid w:val="009B4462"/>
    <w:rsid w:val="009B44A7"/>
    <w:rsid w:val="009B44C7"/>
    <w:rsid w:val="009B4549"/>
    <w:rsid w:val="009B4644"/>
    <w:rsid w:val="009B4683"/>
    <w:rsid w:val="009B4714"/>
    <w:rsid w:val="009B48C6"/>
    <w:rsid w:val="009B4916"/>
    <w:rsid w:val="009B492A"/>
    <w:rsid w:val="009B4A79"/>
    <w:rsid w:val="009B4AE4"/>
    <w:rsid w:val="009B4AEE"/>
    <w:rsid w:val="009B4B5C"/>
    <w:rsid w:val="009B4C7F"/>
    <w:rsid w:val="009B4DCF"/>
    <w:rsid w:val="009B4ED1"/>
    <w:rsid w:val="009B4F3B"/>
    <w:rsid w:val="009B4F63"/>
    <w:rsid w:val="009B4FC8"/>
    <w:rsid w:val="009B5035"/>
    <w:rsid w:val="009B50DF"/>
    <w:rsid w:val="009B52B3"/>
    <w:rsid w:val="009B52C6"/>
    <w:rsid w:val="009B5308"/>
    <w:rsid w:val="009B5329"/>
    <w:rsid w:val="009B53F3"/>
    <w:rsid w:val="009B5403"/>
    <w:rsid w:val="009B5475"/>
    <w:rsid w:val="009B5569"/>
    <w:rsid w:val="009B56EB"/>
    <w:rsid w:val="009B57B6"/>
    <w:rsid w:val="009B582F"/>
    <w:rsid w:val="009B58B4"/>
    <w:rsid w:val="009B593C"/>
    <w:rsid w:val="009B5966"/>
    <w:rsid w:val="009B59D3"/>
    <w:rsid w:val="009B5A00"/>
    <w:rsid w:val="009B5A25"/>
    <w:rsid w:val="009B5B51"/>
    <w:rsid w:val="009B5C20"/>
    <w:rsid w:val="009B5C41"/>
    <w:rsid w:val="009B5D46"/>
    <w:rsid w:val="009B5E5A"/>
    <w:rsid w:val="009B5E84"/>
    <w:rsid w:val="009B5EF4"/>
    <w:rsid w:val="009B5F32"/>
    <w:rsid w:val="009B5F7D"/>
    <w:rsid w:val="009B5F84"/>
    <w:rsid w:val="009B5FAE"/>
    <w:rsid w:val="009B63C9"/>
    <w:rsid w:val="009B63D0"/>
    <w:rsid w:val="009B6524"/>
    <w:rsid w:val="009B6586"/>
    <w:rsid w:val="009B6587"/>
    <w:rsid w:val="009B6615"/>
    <w:rsid w:val="009B6622"/>
    <w:rsid w:val="009B664A"/>
    <w:rsid w:val="009B67F7"/>
    <w:rsid w:val="009B681D"/>
    <w:rsid w:val="009B6A68"/>
    <w:rsid w:val="009B6A81"/>
    <w:rsid w:val="009B6AB0"/>
    <w:rsid w:val="009B6B35"/>
    <w:rsid w:val="009B6BC8"/>
    <w:rsid w:val="009B6C78"/>
    <w:rsid w:val="009B6CBA"/>
    <w:rsid w:val="009B6CEB"/>
    <w:rsid w:val="009B6E54"/>
    <w:rsid w:val="009B6EA4"/>
    <w:rsid w:val="009B6EA7"/>
    <w:rsid w:val="009B6F12"/>
    <w:rsid w:val="009B6F9E"/>
    <w:rsid w:val="009B703E"/>
    <w:rsid w:val="009B70EC"/>
    <w:rsid w:val="009B7279"/>
    <w:rsid w:val="009B73BE"/>
    <w:rsid w:val="009B74AF"/>
    <w:rsid w:val="009B74B6"/>
    <w:rsid w:val="009B7565"/>
    <w:rsid w:val="009B75C7"/>
    <w:rsid w:val="009B76A6"/>
    <w:rsid w:val="009B76A7"/>
    <w:rsid w:val="009B76AC"/>
    <w:rsid w:val="009B7785"/>
    <w:rsid w:val="009B7883"/>
    <w:rsid w:val="009B78B8"/>
    <w:rsid w:val="009B7969"/>
    <w:rsid w:val="009B7A38"/>
    <w:rsid w:val="009B7A3D"/>
    <w:rsid w:val="009B7A5A"/>
    <w:rsid w:val="009B7B1B"/>
    <w:rsid w:val="009B7B65"/>
    <w:rsid w:val="009B7BA8"/>
    <w:rsid w:val="009B7BB1"/>
    <w:rsid w:val="009B7BC8"/>
    <w:rsid w:val="009B7C5F"/>
    <w:rsid w:val="009B7C73"/>
    <w:rsid w:val="009B7CFD"/>
    <w:rsid w:val="009B7D66"/>
    <w:rsid w:val="009B7D98"/>
    <w:rsid w:val="009B7E11"/>
    <w:rsid w:val="009B7E51"/>
    <w:rsid w:val="009B7E57"/>
    <w:rsid w:val="009B7EF5"/>
    <w:rsid w:val="009B7F64"/>
    <w:rsid w:val="009C00CA"/>
    <w:rsid w:val="009C02B2"/>
    <w:rsid w:val="009C032C"/>
    <w:rsid w:val="009C037E"/>
    <w:rsid w:val="009C04DF"/>
    <w:rsid w:val="009C0502"/>
    <w:rsid w:val="009C05E6"/>
    <w:rsid w:val="009C063A"/>
    <w:rsid w:val="009C06ED"/>
    <w:rsid w:val="009C074F"/>
    <w:rsid w:val="009C07F0"/>
    <w:rsid w:val="009C0A49"/>
    <w:rsid w:val="009C0A64"/>
    <w:rsid w:val="009C0AD2"/>
    <w:rsid w:val="009C0B06"/>
    <w:rsid w:val="009C0B8F"/>
    <w:rsid w:val="009C0BE5"/>
    <w:rsid w:val="009C0C28"/>
    <w:rsid w:val="009C0C39"/>
    <w:rsid w:val="009C0C66"/>
    <w:rsid w:val="009C0CE3"/>
    <w:rsid w:val="009C0D32"/>
    <w:rsid w:val="009C0DCF"/>
    <w:rsid w:val="009C0F28"/>
    <w:rsid w:val="009C0F82"/>
    <w:rsid w:val="009C1095"/>
    <w:rsid w:val="009C10C1"/>
    <w:rsid w:val="009C10F7"/>
    <w:rsid w:val="009C1102"/>
    <w:rsid w:val="009C114D"/>
    <w:rsid w:val="009C1159"/>
    <w:rsid w:val="009C12B7"/>
    <w:rsid w:val="009C138D"/>
    <w:rsid w:val="009C1566"/>
    <w:rsid w:val="009C1572"/>
    <w:rsid w:val="009C1656"/>
    <w:rsid w:val="009C16C4"/>
    <w:rsid w:val="009C171F"/>
    <w:rsid w:val="009C183D"/>
    <w:rsid w:val="009C18EE"/>
    <w:rsid w:val="009C19A4"/>
    <w:rsid w:val="009C19F0"/>
    <w:rsid w:val="009C1A9D"/>
    <w:rsid w:val="009C1AE0"/>
    <w:rsid w:val="009C1CAE"/>
    <w:rsid w:val="009C1D10"/>
    <w:rsid w:val="009C1D45"/>
    <w:rsid w:val="009C1D68"/>
    <w:rsid w:val="009C1DB8"/>
    <w:rsid w:val="009C1DD2"/>
    <w:rsid w:val="009C1DEC"/>
    <w:rsid w:val="009C1DF4"/>
    <w:rsid w:val="009C1DF7"/>
    <w:rsid w:val="009C1ECA"/>
    <w:rsid w:val="009C2376"/>
    <w:rsid w:val="009C2412"/>
    <w:rsid w:val="009C24DB"/>
    <w:rsid w:val="009C2515"/>
    <w:rsid w:val="009C2540"/>
    <w:rsid w:val="009C2610"/>
    <w:rsid w:val="009C26E0"/>
    <w:rsid w:val="009C2767"/>
    <w:rsid w:val="009C2768"/>
    <w:rsid w:val="009C28C7"/>
    <w:rsid w:val="009C290D"/>
    <w:rsid w:val="009C29A7"/>
    <w:rsid w:val="009C29BA"/>
    <w:rsid w:val="009C2A0A"/>
    <w:rsid w:val="009C2A27"/>
    <w:rsid w:val="009C2A4E"/>
    <w:rsid w:val="009C2AA2"/>
    <w:rsid w:val="009C2C71"/>
    <w:rsid w:val="009C2CCB"/>
    <w:rsid w:val="009C2CD3"/>
    <w:rsid w:val="009C2D82"/>
    <w:rsid w:val="009C2DC1"/>
    <w:rsid w:val="009C2DCE"/>
    <w:rsid w:val="009C2DF1"/>
    <w:rsid w:val="009C2EA0"/>
    <w:rsid w:val="009C2EF7"/>
    <w:rsid w:val="009C2F20"/>
    <w:rsid w:val="009C2FD0"/>
    <w:rsid w:val="009C3087"/>
    <w:rsid w:val="009C319D"/>
    <w:rsid w:val="009C329E"/>
    <w:rsid w:val="009C3409"/>
    <w:rsid w:val="009C34E7"/>
    <w:rsid w:val="009C35D3"/>
    <w:rsid w:val="009C3612"/>
    <w:rsid w:val="009C364F"/>
    <w:rsid w:val="009C379A"/>
    <w:rsid w:val="009C3A2B"/>
    <w:rsid w:val="009C3AC9"/>
    <w:rsid w:val="009C3B63"/>
    <w:rsid w:val="009C3B74"/>
    <w:rsid w:val="009C3CA8"/>
    <w:rsid w:val="009C3D17"/>
    <w:rsid w:val="009C3E36"/>
    <w:rsid w:val="009C3F3B"/>
    <w:rsid w:val="009C408C"/>
    <w:rsid w:val="009C411E"/>
    <w:rsid w:val="009C4136"/>
    <w:rsid w:val="009C415F"/>
    <w:rsid w:val="009C41A7"/>
    <w:rsid w:val="009C44FC"/>
    <w:rsid w:val="009C4581"/>
    <w:rsid w:val="009C45AA"/>
    <w:rsid w:val="009C45DB"/>
    <w:rsid w:val="009C464D"/>
    <w:rsid w:val="009C4676"/>
    <w:rsid w:val="009C476B"/>
    <w:rsid w:val="009C4773"/>
    <w:rsid w:val="009C4882"/>
    <w:rsid w:val="009C4B27"/>
    <w:rsid w:val="009C4B7B"/>
    <w:rsid w:val="009C4EA5"/>
    <w:rsid w:val="009C5013"/>
    <w:rsid w:val="009C504A"/>
    <w:rsid w:val="009C5068"/>
    <w:rsid w:val="009C50E9"/>
    <w:rsid w:val="009C50F4"/>
    <w:rsid w:val="009C510E"/>
    <w:rsid w:val="009C514A"/>
    <w:rsid w:val="009C5154"/>
    <w:rsid w:val="009C51B4"/>
    <w:rsid w:val="009C51CD"/>
    <w:rsid w:val="009C51D7"/>
    <w:rsid w:val="009C51EA"/>
    <w:rsid w:val="009C5221"/>
    <w:rsid w:val="009C5282"/>
    <w:rsid w:val="009C55D5"/>
    <w:rsid w:val="009C5645"/>
    <w:rsid w:val="009C5715"/>
    <w:rsid w:val="009C57BA"/>
    <w:rsid w:val="009C58AF"/>
    <w:rsid w:val="009C59B3"/>
    <w:rsid w:val="009C5A06"/>
    <w:rsid w:val="009C5A56"/>
    <w:rsid w:val="009C5AA4"/>
    <w:rsid w:val="009C5B29"/>
    <w:rsid w:val="009C5C14"/>
    <w:rsid w:val="009C5CB0"/>
    <w:rsid w:val="009C5CC1"/>
    <w:rsid w:val="009C5D5F"/>
    <w:rsid w:val="009C5D7D"/>
    <w:rsid w:val="009C5D8C"/>
    <w:rsid w:val="009C5D90"/>
    <w:rsid w:val="009C5D97"/>
    <w:rsid w:val="009C5DEF"/>
    <w:rsid w:val="009C5E30"/>
    <w:rsid w:val="009C5EFA"/>
    <w:rsid w:val="009C5F17"/>
    <w:rsid w:val="009C5FA4"/>
    <w:rsid w:val="009C5FDC"/>
    <w:rsid w:val="009C5FE3"/>
    <w:rsid w:val="009C60E8"/>
    <w:rsid w:val="009C61E8"/>
    <w:rsid w:val="009C6277"/>
    <w:rsid w:val="009C6385"/>
    <w:rsid w:val="009C63B7"/>
    <w:rsid w:val="009C648F"/>
    <w:rsid w:val="009C653F"/>
    <w:rsid w:val="009C65E5"/>
    <w:rsid w:val="009C65EA"/>
    <w:rsid w:val="009C667B"/>
    <w:rsid w:val="009C66C3"/>
    <w:rsid w:val="009C66C4"/>
    <w:rsid w:val="009C66E7"/>
    <w:rsid w:val="009C6746"/>
    <w:rsid w:val="009C6821"/>
    <w:rsid w:val="009C68D5"/>
    <w:rsid w:val="009C694D"/>
    <w:rsid w:val="009C6955"/>
    <w:rsid w:val="009C69D0"/>
    <w:rsid w:val="009C69FC"/>
    <w:rsid w:val="009C6AC9"/>
    <w:rsid w:val="009C6B62"/>
    <w:rsid w:val="009C6CC2"/>
    <w:rsid w:val="009C6D03"/>
    <w:rsid w:val="009C6DEA"/>
    <w:rsid w:val="009C6E56"/>
    <w:rsid w:val="009C70AC"/>
    <w:rsid w:val="009C71A3"/>
    <w:rsid w:val="009C7298"/>
    <w:rsid w:val="009C72A5"/>
    <w:rsid w:val="009C7310"/>
    <w:rsid w:val="009C7339"/>
    <w:rsid w:val="009C73C1"/>
    <w:rsid w:val="009C73CB"/>
    <w:rsid w:val="009C73E6"/>
    <w:rsid w:val="009C73F0"/>
    <w:rsid w:val="009C7449"/>
    <w:rsid w:val="009C745C"/>
    <w:rsid w:val="009C749B"/>
    <w:rsid w:val="009C752D"/>
    <w:rsid w:val="009C7683"/>
    <w:rsid w:val="009C774E"/>
    <w:rsid w:val="009C7792"/>
    <w:rsid w:val="009C78C2"/>
    <w:rsid w:val="009C78CC"/>
    <w:rsid w:val="009C798A"/>
    <w:rsid w:val="009C7A22"/>
    <w:rsid w:val="009C7B7B"/>
    <w:rsid w:val="009C7BBD"/>
    <w:rsid w:val="009C7BF8"/>
    <w:rsid w:val="009C7C1C"/>
    <w:rsid w:val="009C7D81"/>
    <w:rsid w:val="009C7DD1"/>
    <w:rsid w:val="009C7E33"/>
    <w:rsid w:val="009C7E9A"/>
    <w:rsid w:val="009C7F20"/>
    <w:rsid w:val="009D0023"/>
    <w:rsid w:val="009D0088"/>
    <w:rsid w:val="009D00C6"/>
    <w:rsid w:val="009D0108"/>
    <w:rsid w:val="009D0212"/>
    <w:rsid w:val="009D03C8"/>
    <w:rsid w:val="009D03DC"/>
    <w:rsid w:val="009D0418"/>
    <w:rsid w:val="009D0424"/>
    <w:rsid w:val="009D0624"/>
    <w:rsid w:val="009D070C"/>
    <w:rsid w:val="009D0807"/>
    <w:rsid w:val="009D08F2"/>
    <w:rsid w:val="009D0992"/>
    <w:rsid w:val="009D09E0"/>
    <w:rsid w:val="009D0BBC"/>
    <w:rsid w:val="009D0C0F"/>
    <w:rsid w:val="009D0C1C"/>
    <w:rsid w:val="009D0C63"/>
    <w:rsid w:val="009D0CB6"/>
    <w:rsid w:val="009D0CFD"/>
    <w:rsid w:val="009D0DAB"/>
    <w:rsid w:val="009D0E6E"/>
    <w:rsid w:val="009D0F8D"/>
    <w:rsid w:val="009D107A"/>
    <w:rsid w:val="009D111D"/>
    <w:rsid w:val="009D1216"/>
    <w:rsid w:val="009D12BD"/>
    <w:rsid w:val="009D12F3"/>
    <w:rsid w:val="009D1316"/>
    <w:rsid w:val="009D13C8"/>
    <w:rsid w:val="009D13E4"/>
    <w:rsid w:val="009D1420"/>
    <w:rsid w:val="009D1481"/>
    <w:rsid w:val="009D1507"/>
    <w:rsid w:val="009D1554"/>
    <w:rsid w:val="009D16C7"/>
    <w:rsid w:val="009D176C"/>
    <w:rsid w:val="009D180D"/>
    <w:rsid w:val="009D1823"/>
    <w:rsid w:val="009D18F5"/>
    <w:rsid w:val="009D1926"/>
    <w:rsid w:val="009D1999"/>
    <w:rsid w:val="009D19D8"/>
    <w:rsid w:val="009D1A13"/>
    <w:rsid w:val="009D1A1C"/>
    <w:rsid w:val="009D1B03"/>
    <w:rsid w:val="009D1B15"/>
    <w:rsid w:val="009D1B52"/>
    <w:rsid w:val="009D1C62"/>
    <w:rsid w:val="009D1C80"/>
    <w:rsid w:val="009D1CDD"/>
    <w:rsid w:val="009D1D0F"/>
    <w:rsid w:val="009D1DBA"/>
    <w:rsid w:val="009D1EFE"/>
    <w:rsid w:val="009D1F1E"/>
    <w:rsid w:val="009D1F58"/>
    <w:rsid w:val="009D1F9A"/>
    <w:rsid w:val="009D1FBB"/>
    <w:rsid w:val="009D204F"/>
    <w:rsid w:val="009D2063"/>
    <w:rsid w:val="009D21D6"/>
    <w:rsid w:val="009D23A6"/>
    <w:rsid w:val="009D23CD"/>
    <w:rsid w:val="009D2434"/>
    <w:rsid w:val="009D24AF"/>
    <w:rsid w:val="009D24E2"/>
    <w:rsid w:val="009D24FE"/>
    <w:rsid w:val="009D2501"/>
    <w:rsid w:val="009D251F"/>
    <w:rsid w:val="009D2591"/>
    <w:rsid w:val="009D2678"/>
    <w:rsid w:val="009D26B5"/>
    <w:rsid w:val="009D27D2"/>
    <w:rsid w:val="009D27EC"/>
    <w:rsid w:val="009D288F"/>
    <w:rsid w:val="009D2BD6"/>
    <w:rsid w:val="009D2C00"/>
    <w:rsid w:val="009D2D36"/>
    <w:rsid w:val="009D2DBA"/>
    <w:rsid w:val="009D2E1A"/>
    <w:rsid w:val="009D2F4B"/>
    <w:rsid w:val="009D2F79"/>
    <w:rsid w:val="009D2F94"/>
    <w:rsid w:val="009D2F9C"/>
    <w:rsid w:val="009D2FE1"/>
    <w:rsid w:val="009D3012"/>
    <w:rsid w:val="009D3060"/>
    <w:rsid w:val="009D30B3"/>
    <w:rsid w:val="009D3179"/>
    <w:rsid w:val="009D3320"/>
    <w:rsid w:val="009D33ED"/>
    <w:rsid w:val="009D349C"/>
    <w:rsid w:val="009D34CB"/>
    <w:rsid w:val="009D354F"/>
    <w:rsid w:val="009D35C0"/>
    <w:rsid w:val="009D35C6"/>
    <w:rsid w:val="009D363C"/>
    <w:rsid w:val="009D364F"/>
    <w:rsid w:val="009D3708"/>
    <w:rsid w:val="009D38A5"/>
    <w:rsid w:val="009D39A4"/>
    <w:rsid w:val="009D39DF"/>
    <w:rsid w:val="009D3ACF"/>
    <w:rsid w:val="009D3AEC"/>
    <w:rsid w:val="009D3B53"/>
    <w:rsid w:val="009D3C6E"/>
    <w:rsid w:val="009D3D40"/>
    <w:rsid w:val="009D3D59"/>
    <w:rsid w:val="009D3DC6"/>
    <w:rsid w:val="009D3E21"/>
    <w:rsid w:val="009D3E3A"/>
    <w:rsid w:val="009D3E77"/>
    <w:rsid w:val="009D3EB8"/>
    <w:rsid w:val="009D3EE4"/>
    <w:rsid w:val="009D3F99"/>
    <w:rsid w:val="009D3FCA"/>
    <w:rsid w:val="009D4161"/>
    <w:rsid w:val="009D421E"/>
    <w:rsid w:val="009D4242"/>
    <w:rsid w:val="009D42FD"/>
    <w:rsid w:val="009D4419"/>
    <w:rsid w:val="009D4542"/>
    <w:rsid w:val="009D4557"/>
    <w:rsid w:val="009D4582"/>
    <w:rsid w:val="009D461A"/>
    <w:rsid w:val="009D46FC"/>
    <w:rsid w:val="009D4792"/>
    <w:rsid w:val="009D480E"/>
    <w:rsid w:val="009D484B"/>
    <w:rsid w:val="009D48D4"/>
    <w:rsid w:val="009D493B"/>
    <w:rsid w:val="009D499E"/>
    <w:rsid w:val="009D49B6"/>
    <w:rsid w:val="009D4B1E"/>
    <w:rsid w:val="009D4C0B"/>
    <w:rsid w:val="009D4CB0"/>
    <w:rsid w:val="009D4EFE"/>
    <w:rsid w:val="009D4F8B"/>
    <w:rsid w:val="009D504B"/>
    <w:rsid w:val="009D5171"/>
    <w:rsid w:val="009D51E0"/>
    <w:rsid w:val="009D5210"/>
    <w:rsid w:val="009D5261"/>
    <w:rsid w:val="009D534C"/>
    <w:rsid w:val="009D5424"/>
    <w:rsid w:val="009D547E"/>
    <w:rsid w:val="009D550A"/>
    <w:rsid w:val="009D5535"/>
    <w:rsid w:val="009D55D4"/>
    <w:rsid w:val="009D56A7"/>
    <w:rsid w:val="009D5737"/>
    <w:rsid w:val="009D5804"/>
    <w:rsid w:val="009D587E"/>
    <w:rsid w:val="009D592C"/>
    <w:rsid w:val="009D5A54"/>
    <w:rsid w:val="009D5C6B"/>
    <w:rsid w:val="009D5D15"/>
    <w:rsid w:val="009D5DDE"/>
    <w:rsid w:val="009D5DE2"/>
    <w:rsid w:val="009D5E48"/>
    <w:rsid w:val="009D5E89"/>
    <w:rsid w:val="009D5EFA"/>
    <w:rsid w:val="009D609D"/>
    <w:rsid w:val="009D611E"/>
    <w:rsid w:val="009D622A"/>
    <w:rsid w:val="009D626C"/>
    <w:rsid w:val="009D632B"/>
    <w:rsid w:val="009D635F"/>
    <w:rsid w:val="009D63A7"/>
    <w:rsid w:val="009D64A8"/>
    <w:rsid w:val="009D64B6"/>
    <w:rsid w:val="009D64CD"/>
    <w:rsid w:val="009D64E7"/>
    <w:rsid w:val="009D6508"/>
    <w:rsid w:val="009D651A"/>
    <w:rsid w:val="009D658A"/>
    <w:rsid w:val="009D66A2"/>
    <w:rsid w:val="009D670D"/>
    <w:rsid w:val="009D683C"/>
    <w:rsid w:val="009D68EE"/>
    <w:rsid w:val="009D6A58"/>
    <w:rsid w:val="009D6B89"/>
    <w:rsid w:val="009D6CA3"/>
    <w:rsid w:val="009D6CF5"/>
    <w:rsid w:val="009D6D93"/>
    <w:rsid w:val="009D6E11"/>
    <w:rsid w:val="009D6EF0"/>
    <w:rsid w:val="009D6F60"/>
    <w:rsid w:val="009D6F64"/>
    <w:rsid w:val="009D718F"/>
    <w:rsid w:val="009D7307"/>
    <w:rsid w:val="009D74C2"/>
    <w:rsid w:val="009D75F8"/>
    <w:rsid w:val="009D7649"/>
    <w:rsid w:val="009D7681"/>
    <w:rsid w:val="009D7839"/>
    <w:rsid w:val="009D787D"/>
    <w:rsid w:val="009D7A6E"/>
    <w:rsid w:val="009D7B91"/>
    <w:rsid w:val="009D7BBA"/>
    <w:rsid w:val="009D7C3C"/>
    <w:rsid w:val="009D7D77"/>
    <w:rsid w:val="009D7DA8"/>
    <w:rsid w:val="009D7EC6"/>
    <w:rsid w:val="009D7F0F"/>
    <w:rsid w:val="009D7F31"/>
    <w:rsid w:val="009D7FCF"/>
    <w:rsid w:val="009E0012"/>
    <w:rsid w:val="009E0226"/>
    <w:rsid w:val="009E0335"/>
    <w:rsid w:val="009E03FA"/>
    <w:rsid w:val="009E0420"/>
    <w:rsid w:val="009E043D"/>
    <w:rsid w:val="009E0469"/>
    <w:rsid w:val="009E046E"/>
    <w:rsid w:val="009E0647"/>
    <w:rsid w:val="009E0678"/>
    <w:rsid w:val="009E071D"/>
    <w:rsid w:val="009E07C6"/>
    <w:rsid w:val="009E07E8"/>
    <w:rsid w:val="009E0B69"/>
    <w:rsid w:val="009E0C0E"/>
    <w:rsid w:val="009E0D51"/>
    <w:rsid w:val="009E0D90"/>
    <w:rsid w:val="009E0E3F"/>
    <w:rsid w:val="009E0F92"/>
    <w:rsid w:val="009E0FDF"/>
    <w:rsid w:val="009E0FF8"/>
    <w:rsid w:val="009E1009"/>
    <w:rsid w:val="009E10B8"/>
    <w:rsid w:val="009E1235"/>
    <w:rsid w:val="009E137A"/>
    <w:rsid w:val="009E137D"/>
    <w:rsid w:val="009E1415"/>
    <w:rsid w:val="009E1431"/>
    <w:rsid w:val="009E1504"/>
    <w:rsid w:val="009E1535"/>
    <w:rsid w:val="009E1554"/>
    <w:rsid w:val="009E16E3"/>
    <w:rsid w:val="009E1838"/>
    <w:rsid w:val="009E1937"/>
    <w:rsid w:val="009E19AE"/>
    <w:rsid w:val="009E19E4"/>
    <w:rsid w:val="009E1A38"/>
    <w:rsid w:val="009E1A49"/>
    <w:rsid w:val="009E1A8A"/>
    <w:rsid w:val="009E1AC6"/>
    <w:rsid w:val="009E1AE1"/>
    <w:rsid w:val="009E1B19"/>
    <w:rsid w:val="009E1B44"/>
    <w:rsid w:val="009E1B54"/>
    <w:rsid w:val="009E1BB3"/>
    <w:rsid w:val="009E1BD9"/>
    <w:rsid w:val="009E1BE2"/>
    <w:rsid w:val="009E1BFA"/>
    <w:rsid w:val="009E1CE4"/>
    <w:rsid w:val="009E1D17"/>
    <w:rsid w:val="009E1D19"/>
    <w:rsid w:val="009E2015"/>
    <w:rsid w:val="009E2113"/>
    <w:rsid w:val="009E2142"/>
    <w:rsid w:val="009E2201"/>
    <w:rsid w:val="009E22E2"/>
    <w:rsid w:val="009E23CE"/>
    <w:rsid w:val="009E24A6"/>
    <w:rsid w:val="009E251F"/>
    <w:rsid w:val="009E25CE"/>
    <w:rsid w:val="009E2638"/>
    <w:rsid w:val="009E264E"/>
    <w:rsid w:val="009E26C7"/>
    <w:rsid w:val="009E2715"/>
    <w:rsid w:val="009E2767"/>
    <w:rsid w:val="009E28A4"/>
    <w:rsid w:val="009E28AF"/>
    <w:rsid w:val="009E295C"/>
    <w:rsid w:val="009E29B2"/>
    <w:rsid w:val="009E2A79"/>
    <w:rsid w:val="009E2A8B"/>
    <w:rsid w:val="009E2E6A"/>
    <w:rsid w:val="009E2FF8"/>
    <w:rsid w:val="009E3034"/>
    <w:rsid w:val="009E3060"/>
    <w:rsid w:val="009E30EB"/>
    <w:rsid w:val="009E338A"/>
    <w:rsid w:val="009E33F4"/>
    <w:rsid w:val="009E348A"/>
    <w:rsid w:val="009E3498"/>
    <w:rsid w:val="009E34F1"/>
    <w:rsid w:val="009E35C3"/>
    <w:rsid w:val="009E35D4"/>
    <w:rsid w:val="009E3625"/>
    <w:rsid w:val="009E36CF"/>
    <w:rsid w:val="009E3754"/>
    <w:rsid w:val="009E378E"/>
    <w:rsid w:val="009E3920"/>
    <w:rsid w:val="009E397D"/>
    <w:rsid w:val="009E3988"/>
    <w:rsid w:val="009E39BA"/>
    <w:rsid w:val="009E3A03"/>
    <w:rsid w:val="009E3BE9"/>
    <w:rsid w:val="009E3C10"/>
    <w:rsid w:val="009E3C72"/>
    <w:rsid w:val="009E3CDB"/>
    <w:rsid w:val="009E3E6F"/>
    <w:rsid w:val="009E3EED"/>
    <w:rsid w:val="009E3F02"/>
    <w:rsid w:val="009E3F63"/>
    <w:rsid w:val="009E3F79"/>
    <w:rsid w:val="009E3FF0"/>
    <w:rsid w:val="009E3FF1"/>
    <w:rsid w:val="009E400C"/>
    <w:rsid w:val="009E4133"/>
    <w:rsid w:val="009E415A"/>
    <w:rsid w:val="009E41B0"/>
    <w:rsid w:val="009E41ED"/>
    <w:rsid w:val="009E42C0"/>
    <w:rsid w:val="009E4334"/>
    <w:rsid w:val="009E450A"/>
    <w:rsid w:val="009E453E"/>
    <w:rsid w:val="009E4563"/>
    <w:rsid w:val="009E4642"/>
    <w:rsid w:val="009E4677"/>
    <w:rsid w:val="009E4749"/>
    <w:rsid w:val="009E48FD"/>
    <w:rsid w:val="009E4955"/>
    <w:rsid w:val="009E4977"/>
    <w:rsid w:val="009E4ADB"/>
    <w:rsid w:val="009E4B09"/>
    <w:rsid w:val="009E4B15"/>
    <w:rsid w:val="009E4B9A"/>
    <w:rsid w:val="009E4CFB"/>
    <w:rsid w:val="009E4CFD"/>
    <w:rsid w:val="009E4D4D"/>
    <w:rsid w:val="009E4D60"/>
    <w:rsid w:val="009E4ECB"/>
    <w:rsid w:val="009E4EE0"/>
    <w:rsid w:val="009E4EFD"/>
    <w:rsid w:val="009E4FE7"/>
    <w:rsid w:val="009E5046"/>
    <w:rsid w:val="009E5117"/>
    <w:rsid w:val="009E5753"/>
    <w:rsid w:val="009E57C8"/>
    <w:rsid w:val="009E57DE"/>
    <w:rsid w:val="009E5834"/>
    <w:rsid w:val="009E5A45"/>
    <w:rsid w:val="009E5AAE"/>
    <w:rsid w:val="009E5BED"/>
    <w:rsid w:val="009E5BF6"/>
    <w:rsid w:val="009E5BFF"/>
    <w:rsid w:val="009E5D81"/>
    <w:rsid w:val="009E5D85"/>
    <w:rsid w:val="009E5DA3"/>
    <w:rsid w:val="009E5DAF"/>
    <w:rsid w:val="009E5DD5"/>
    <w:rsid w:val="009E603C"/>
    <w:rsid w:val="009E6093"/>
    <w:rsid w:val="009E6143"/>
    <w:rsid w:val="009E6185"/>
    <w:rsid w:val="009E625E"/>
    <w:rsid w:val="009E62CD"/>
    <w:rsid w:val="009E63CB"/>
    <w:rsid w:val="009E6406"/>
    <w:rsid w:val="009E64B0"/>
    <w:rsid w:val="009E65D8"/>
    <w:rsid w:val="009E65F0"/>
    <w:rsid w:val="009E660D"/>
    <w:rsid w:val="009E6637"/>
    <w:rsid w:val="009E66C8"/>
    <w:rsid w:val="009E6743"/>
    <w:rsid w:val="009E6784"/>
    <w:rsid w:val="009E6837"/>
    <w:rsid w:val="009E6874"/>
    <w:rsid w:val="009E68BA"/>
    <w:rsid w:val="009E69F7"/>
    <w:rsid w:val="009E6A04"/>
    <w:rsid w:val="009E6A2B"/>
    <w:rsid w:val="009E6A93"/>
    <w:rsid w:val="009E6B52"/>
    <w:rsid w:val="009E6B5C"/>
    <w:rsid w:val="009E6BD4"/>
    <w:rsid w:val="009E6C04"/>
    <w:rsid w:val="009E6C9E"/>
    <w:rsid w:val="009E6E37"/>
    <w:rsid w:val="009E6E94"/>
    <w:rsid w:val="009E6EDD"/>
    <w:rsid w:val="009E71A6"/>
    <w:rsid w:val="009E723D"/>
    <w:rsid w:val="009E732D"/>
    <w:rsid w:val="009E7341"/>
    <w:rsid w:val="009E7372"/>
    <w:rsid w:val="009E738F"/>
    <w:rsid w:val="009E744C"/>
    <w:rsid w:val="009E74B0"/>
    <w:rsid w:val="009E7635"/>
    <w:rsid w:val="009E77FD"/>
    <w:rsid w:val="009E787D"/>
    <w:rsid w:val="009E7926"/>
    <w:rsid w:val="009E7A9C"/>
    <w:rsid w:val="009E7AD9"/>
    <w:rsid w:val="009E7B6D"/>
    <w:rsid w:val="009E7B93"/>
    <w:rsid w:val="009E7D29"/>
    <w:rsid w:val="009E7F2C"/>
    <w:rsid w:val="009F006B"/>
    <w:rsid w:val="009F0088"/>
    <w:rsid w:val="009F0198"/>
    <w:rsid w:val="009F01AF"/>
    <w:rsid w:val="009F0226"/>
    <w:rsid w:val="009F0227"/>
    <w:rsid w:val="009F03A3"/>
    <w:rsid w:val="009F0431"/>
    <w:rsid w:val="009F052E"/>
    <w:rsid w:val="009F05FD"/>
    <w:rsid w:val="009F0601"/>
    <w:rsid w:val="009F0740"/>
    <w:rsid w:val="009F0766"/>
    <w:rsid w:val="009F07AF"/>
    <w:rsid w:val="009F0874"/>
    <w:rsid w:val="009F088E"/>
    <w:rsid w:val="009F09C5"/>
    <w:rsid w:val="009F0A52"/>
    <w:rsid w:val="009F0A7C"/>
    <w:rsid w:val="009F0AD3"/>
    <w:rsid w:val="009F0D19"/>
    <w:rsid w:val="009F0D34"/>
    <w:rsid w:val="009F0E7C"/>
    <w:rsid w:val="009F0ECB"/>
    <w:rsid w:val="009F0F4D"/>
    <w:rsid w:val="009F0F93"/>
    <w:rsid w:val="009F1112"/>
    <w:rsid w:val="009F112F"/>
    <w:rsid w:val="009F11B1"/>
    <w:rsid w:val="009F12F7"/>
    <w:rsid w:val="009F1351"/>
    <w:rsid w:val="009F1613"/>
    <w:rsid w:val="009F1872"/>
    <w:rsid w:val="009F194C"/>
    <w:rsid w:val="009F1ABE"/>
    <w:rsid w:val="009F1B35"/>
    <w:rsid w:val="009F1B64"/>
    <w:rsid w:val="009F1BF2"/>
    <w:rsid w:val="009F1C1C"/>
    <w:rsid w:val="009F1C62"/>
    <w:rsid w:val="009F1CBE"/>
    <w:rsid w:val="009F1CC3"/>
    <w:rsid w:val="009F1ED5"/>
    <w:rsid w:val="009F1EDB"/>
    <w:rsid w:val="009F1F11"/>
    <w:rsid w:val="009F1F7B"/>
    <w:rsid w:val="009F2057"/>
    <w:rsid w:val="009F206A"/>
    <w:rsid w:val="009F2188"/>
    <w:rsid w:val="009F21D9"/>
    <w:rsid w:val="009F22CB"/>
    <w:rsid w:val="009F23B3"/>
    <w:rsid w:val="009F2440"/>
    <w:rsid w:val="009F2468"/>
    <w:rsid w:val="009F24A8"/>
    <w:rsid w:val="009F24B1"/>
    <w:rsid w:val="009F24DD"/>
    <w:rsid w:val="009F2581"/>
    <w:rsid w:val="009F25FC"/>
    <w:rsid w:val="009F26D5"/>
    <w:rsid w:val="009F2871"/>
    <w:rsid w:val="009F288C"/>
    <w:rsid w:val="009F28E4"/>
    <w:rsid w:val="009F291A"/>
    <w:rsid w:val="009F298F"/>
    <w:rsid w:val="009F29FB"/>
    <w:rsid w:val="009F2AD4"/>
    <w:rsid w:val="009F2AEA"/>
    <w:rsid w:val="009F2B2E"/>
    <w:rsid w:val="009F2B49"/>
    <w:rsid w:val="009F2B85"/>
    <w:rsid w:val="009F2BAF"/>
    <w:rsid w:val="009F2BD1"/>
    <w:rsid w:val="009F2CBA"/>
    <w:rsid w:val="009F2CE0"/>
    <w:rsid w:val="009F2D33"/>
    <w:rsid w:val="009F2F02"/>
    <w:rsid w:val="009F2FCB"/>
    <w:rsid w:val="009F3019"/>
    <w:rsid w:val="009F3040"/>
    <w:rsid w:val="009F3256"/>
    <w:rsid w:val="009F328D"/>
    <w:rsid w:val="009F32AB"/>
    <w:rsid w:val="009F32AF"/>
    <w:rsid w:val="009F3371"/>
    <w:rsid w:val="009F339E"/>
    <w:rsid w:val="009F34A4"/>
    <w:rsid w:val="009F34FC"/>
    <w:rsid w:val="009F3537"/>
    <w:rsid w:val="009F38C6"/>
    <w:rsid w:val="009F38C7"/>
    <w:rsid w:val="009F391A"/>
    <w:rsid w:val="009F392D"/>
    <w:rsid w:val="009F394F"/>
    <w:rsid w:val="009F39E1"/>
    <w:rsid w:val="009F3A1E"/>
    <w:rsid w:val="009F3A2B"/>
    <w:rsid w:val="009F3BAB"/>
    <w:rsid w:val="009F3C64"/>
    <w:rsid w:val="009F3C65"/>
    <w:rsid w:val="009F3E38"/>
    <w:rsid w:val="009F3F76"/>
    <w:rsid w:val="009F3FDE"/>
    <w:rsid w:val="009F4055"/>
    <w:rsid w:val="009F40DE"/>
    <w:rsid w:val="009F40F6"/>
    <w:rsid w:val="009F4161"/>
    <w:rsid w:val="009F4182"/>
    <w:rsid w:val="009F41CE"/>
    <w:rsid w:val="009F41DE"/>
    <w:rsid w:val="009F41FD"/>
    <w:rsid w:val="009F4423"/>
    <w:rsid w:val="009F44CD"/>
    <w:rsid w:val="009F46C0"/>
    <w:rsid w:val="009F4737"/>
    <w:rsid w:val="009F47F7"/>
    <w:rsid w:val="009F4815"/>
    <w:rsid w:val="009F4887"/>
    <w:rsid w:val="009F4890"/>
    <w:rsid w:val="009F4940"/>
    <w:rsid w:val="009F4947"/>
    <w:rsid w:val="009F494A"/>
    <w:rsid w:val="009F4A8B"/>
    <w:rsid w:val="009F4AB4"/>
    <w:rsid w:val="009F4ABE"/>
    <w:rsid w:val="009F4AEC"/>
    <w:rsid w:val="009F4B71"/>
    <w:rsid w:val="009F4D4C"/>
    <w:rsid w:val="009F4DE6"/>
    <w:rsid w:val="009F4F6F"/>
    <w:rsid w:val="009F5046"/>
    <w:rsid w:val="009F5210"/>
    <w:rsid w:val="009F53EE"/>
    <w:rsid w:val="009F5473"/>
    <w:rsid w:val="009F54D9"/>
    <w:rsid w:val="009F54DB"/>
    <w:rsid w:val="009F54EF"/>
    <w:rsid w:val="009F5523"/>
    <w:rsid w:val="009F5783"/>
    <w:rsid w:val="009F5845"/>
    <w:rsid w:val="009F5979"/>
    <w:rsid w:val="009F5A81"/>
    <w:rsid w:val="009F5B23"/>
    <w:rsid w:val="009F5C01"/>
    <w:rsid w:val="009F5C54"/>
    <w:rsid w:val="009F5CE9"/>
    <w:rsid w:val="009F5ED5"/>
    <w:rsid w:val="009F5F0B"/>
    <w:rsid w:val="009F5F23"/>
    <w:rsid w:val="009F5F98"/>
    <w:rsid w:val="009F6075"/>
    <w:rsid w:val="009F6081"/>
    <w:rsid w:val="009F614F"/>
    <w:rsid w:val="009F6332"/>
    <w:rsid w:val="009F6389"/>
    <w:rsid w:val="009F6517"/>
    <w:rsid w:val="009F658D"/>
    <w:rsid w:val="009F69F5"/>
    <w:rsid w:val="009F6ABD"/>
    <w:rsid w:val="009F6AEB"/>
    <w:rsid w:val="009F6B93"/>
    <w:rsid w:val="009F6CCC"/>
    <w:rsid w:val="009F6CEB"/>
    <w:rsid w:val="009F6D59"/>
    <w:rsid w:val="009F6D5D"/>
    <w:rsid w:val="009F6D7C"/>
    <w:rsid w:val="009F6F9B"/>
    <w:rsid w:val="009F6FFC"/>
    <w:rsid w:val="009F7023"/>
    <w:rsid w:val="009F708B"/>
    <w:rsid w:val="009F70A9"/>
    <w:rsid w:val="009F713D"/>
    <w:rsid w:val="009F71DB"/>
    <w:rsid w:val="009F71E1"/>
    <w:rsid w:val="009F7290"/>
    <w:rsid w:val="009F72B2"/>
    <w:rsid w:val="009F72D3"/>
    <w:rsid w:val="009F72F8"/>
    <w:rsid w:val="009F738D"/>
    <w:rsid w:val="009F74FC"/>
    <w:rsid w:val="009F7548"/>
    <w:rsid w:val="009F7594"/>
    <w:rsid w:val="009F7665"/>
    <w:rsid w:val="009F77A1"/>
    <w:rsid w:val="009F77B4"/>
    <w:rsid w:val="009F781F"/>
    <w:rsid w:val="009F7820"/>
    <w:rsid w:val="009F7B0F"/>
    <w:rsid w:val="009F7B4C"/>
    <w:rsid w:val="009F7B69"/>
    <w:rsid w:val="009F7B94"/>
    <w:rsid w:val="009F7C46"/>
    <w:rsid w:val="009F7E65"/>
    <w:rsid w:val="009F7F39"/>
    <w:rsid w:val="009F7F47"/>
    <w:rsid w:val="00A00168"/>
    <w:rsid w:val="00A001D5"/>
    <w:rsid w:val="00A0045B"/>
    <w:rsid w:val="00A0053D"/>
    <w:rsid w:val="00A0053F"/>
    <w:rsid w:val="00A00558"/>
    <w:rsid w:val="00A005C3"/>
    <w:rsid w:val="00A00687"/>
    <w:rsid w:val="00A0096D"/>
    <w:rsid w:val="00A009B2"/>
    <w:rsid w:val="00A00AF6"/>
    <w:rsid w:val="00A00B3E"/>
    <w:rsid w:val="00A00BBC"/>
    <w:rsid w:val="00A00C28"/>
    <w:rsid w:val="00A00C36"/>
    <w:rsid w:val="00A00C49"/>
    <w:rsid w:val="00A00D56"/>
    <w:rsid w:val="00A00DAE"/>
    <w:rsid w:val="00A00EC0"/>
    <w:rsid w:val="00A00ED0"/>
    <w:rsid w:val="00A00F82"/>
    <w:rsid w:val="00A00FB6"/>
    <w:rsid w:val="00A0104B"/>
    <w:rsid w:val="00A01179"/>
    <w:rsid w:val="00A01260"/>
    <w:rsid w:val="00A01420"/>
    <w:rsid w:val="00A0149C"/>
    <w:rsid w:val="00A014E1"/>
    <w:rsid w:val="00A01500"/>
    <w:rsid w:val="00A01588"/>
    <w:rsid w:val="00A015A9"/>
    <w:rsid w:val="00A015C9"/>
    <w:rsid w:val="00A01638"/>
    <w:rsid w:val="00A016C4"/>
    <w:rsid w:val="00A016E4"/>
    <w:rsid w:val="00A0172C"/>
    <w:rsid w:val="00A017C0"/>
    <w:rsid w:val="00A0187A"/>
    <w:rsid w:val="00A019AA"/>
    <w:rsid w:val="00A019AE"/>
    <w:rsid w:val="00A019B9"/>
    <w:rsid w:val="00A01A21"/>
    <w:rsid w:val="00A01B23"/>
    <w:rsid w:val="00A01BB0"/>
    <w:rsid w:val="00A01BDC"/>
    <w:rsid w:val="00A01D9A"/>
    <w:rsid w:val="00A01DB8"/>
    <w:rsid w:val="00A01EF8"/>
    <w:rsid w:val="00A02039"/>
    <w:rsid w:val="00A02187"/>
    <w:rsid w:val="00A0219F"/>
    <w:rsid w:val="00A02267"/>
    <w:rsid w:val="00A02291"/>
    <w:rsid w:val="00A02487"/>
    <w:rsid w:val="00A02663"/>
    <w:rsid w:val="00A0271D"/>
    <w:rsid w:val="00A02727"/>
    <w:rsid w:val="00A02741"/>
    <w:rsid w:val="00A0275F"/>
    <w:rsid w:val="00A027DC"/>
    <w:rsid w:val="00A028BF"/>
    <w:rsid w:val="00A028E1"/>
    <w:rsid w:val="00A02905"/>
    <w:rsid w:val="00A02973"/>
    <w:rsid w:val="00A02A95"/>
    <w:rsid w:val="00A02ACE"/>
    <w:rsid w:val="00A02B39"/>
    <w:rsid w:val="00A02B7D"/>
    <w:rsid w:val="00A02C6E"/>
    <w:rsid w:val="00A02CCA"/>
    <w:rsid w:val="00A02CF6"/>
    <w:rsid w:val="00A02D36"/>
    <w:rsid w:val="00A02D8A"/>
    <w:rsid w:val="00A02DB4"/>
    <w:rsid w:val="00A0305C"/>
    <w:rsid w:val="00A030DA"/>
    <w:rsid w:val="00A0322A"/>
    <w:rsid w:val="00A0322C"/>
    <w:rsid w:val="00A0322F"/>
    <w:rsid w:val="00A03395"/>
    <w:rsid w:val="00A0339A"/>
    <w:rsid w:val="00A033F0"/>
    <w:rsid w:val="00A0343C"/>
    <w:rsid w:val="00A03446"/>
    <w:rsid w:val="00A034D4"/>
    <w:rsid w:val="00A03501"/>
    <w:rsid w:val="00A035C4"/>
    <w:rsid w:val="00A035ED"/>
    <w:rsid w:val="00A03640"/>
    <w:rsid w:val="00A03760"/>
    <w:rsid w:val="00A037C3"/>
    <w:rsid w:val="00A038CC"/>
    <w:rsid w:val="00A03948"/>
    <w:rsid w:val="00A03B60"/>
    <w:rsid w:val="00A03B88"/>
    <w:rsid w:val="00A03C9D"/>
    <w:rsid w:val="00A03CE5"/>
    <w:rsid w:val="00A03DA7"/>
    <w:rsid w:val="00A03E86"/>
    <w:rsid w:val="00A03E94"/>
    <w:rsid w:val="00A03ED3"/>
    <w:rsid w:val="00A03F42"/>
    <w:rsid w:val="00A03F84"/>
    <w:rsid w:val="00A04076"/>
    <w:rsid w:val="00A04092"/>
    <w:rsid w:val="00A0416B"/>
    <w:rsid w:val="00A041B2"/>
    <w:rsid w:val="00A0433C"/>
    <w:rsid w:val="00A043AF"/>
    <w:rsid w:val="00A044E2"/>
    <w:rsid w:val="00A044F6"/>
    <w:rsid w:val="00A04572"/>
    <w:rsid w:val="00A046EE"/>
    <w:rsid w:val="00A04773"/>
    <w:rsid w:val="00A047BC"/>
    <w:rsid w:val="00A047EB"/>
    <w:rsid w:val="00A047F6"/>
    <w:rsid w:val="00A0492E"/>
    <w:rsid w:val="00A04943"/>
    <w:rsid w:val="00A04A5D"/>
    <w:rsid w:val="00A04AFB"/>
    <w:rsid w:val="00A04B31"/>
    <w:rsid w:val="00A04BE4"/>
    <w:rsid w:val="00A04C0A"/>
    <w:rsid w:val="00A04E13"/>
    <w:rsid w:val="00A04ED3"/>
    <w:rsid w:val="00A04FBE"/>
    <w:rsid w:val="00A05158"/>
    <w:rsid w:val="00A05177"/>
    <w:rsid w:val="00A051C7"/>
    <w:rsid w:val="00A05266"/>
    <w:rsid w:val="00A052E7"/>
    <w:rsid w:val="00A052F3"/>
    <w:rsid w:val="00A05336"/>
    <w:rsid w:val="00A05338"/>
    <w:rsid w:val="00A053A3"/>
    <w:rsid w:val="00A05400"/>
    <w:rsid w:val="00A0543C"/>
    <w:rsid w:val="00A05501"/>
    <w:rsid w:val="00A0552C"/>
    <w:rsid w:val="00A05562"/>
    <w:rsid w:val="00A05653"/>
    <w:rsid w:val="00A0585A"/>
    <w:rsid w:val="00A059D9"/>
    <w:rsid w:val="00A05BE4"/>
    <w:rsid w:val="00A05C2E"/>
    <w:rsid w:val="00A05C77"/>
    <w:rsid w:val="00A05CC6"/>
    <w:rsid w:val="00A05CD0"/>
    <w:rsid w:val="00A05DFF"/>
    <w:rsid w:val="00A05FBA"/>
    <w:rsid w:val="00A06092"/>
    <w:rsid w:val="00A060A9"/>
    <w:rsid w:val="00A06122"/>
    <w:rsid w:val="00A0623C"/>
    <w:rsid w:val="00A06261"/>
    <w:rsid w:val="00A06262"/>
    <w:rsid w:val="00A06270"/>
    <w:rsid w:val="00A062BD"/>
    <w:rsid w:val="00A062D0"/>
    <w:rsid w:val="00A063AA"/>
    <w:rsid w:val="00A063E4"/>
    <w:rsid w:val="00A06404"/>
    <w:rsid w:val="00A06437"/>
    <w:rsid w:val="00A0645E"/>
    <w:rsid w:val="00A06580"/>
    <w:rsid w:val="00A065A0"/>
    <w:rsid w:val="00A065F9"/>
    <w:rsid w:val="00A0661D"/>
    <w:rsid w:val="00A06685"/>
    <w:rsid w:val="00A06750"/>
    <w:rsid w:val="00A06794"/>
    <w:rsid w:val="00A0680B"/>
    <w:rsid w:val="00A068F9"/>
    <w:rsid w:val="00A0692C"/>
    <w:rsid w:val="00A0699E"/>
    <w:rsid w:val="00A069ED"/>
    <w:rsid w:val="00A06A96"/>
    <w:rsid w:val="00A06C3B"/>
    <w:rsid w:val="00A06C80"/>
    <w:rsid w:val="00A06EB0"/>
    <w:rsid w:val="00A07123"/>
    <w:rsid w:val="00A072B4"/>
    <w:rsid w:val="00A072EC"/>
    <w:rsid w:val="00A0735B"/>
    <w:rsid w:val="00A073BE"/>
    <w:rsid w:val="00A07417"/>
    <w:rsid w:val="00A074AD"/>
    <w:rsid w:val="00A0750A"/>
    <w:rsid w:val="00A0758E"/>
    <w:rsid w:val="00A076B5"/>
    <w:rsid w:val="00A0775E"/>
    <w:rsid w:val="00A07829"/>
    <w:rsid w:val="00A07897"/>
    <w:rsid w:val="00A078A7"/>
    <w:rsid w:val="00A07A29"/>
    <w:rsid w:val="00A07B50"/>
    <w:rsid w:val="00A07B81"/>
    <w:rsid w:val="00A07BE1"/>
    <w:rsid w:val="00A07C04"/>
    <w:rsid w:val="00A07D07"/>
    <w:rsid w:val="00A07D13"/>
    <w:rsid w:val="00A07D33"/>
    <w:rsid w:val="00A07DB6"/>
    <w:rsid w:val="00A07F16"/>
    <w:rsid w:val="00A07F71"/>
    <w:rsid w:val="00A1007C"/>
    <w:rsid w:val="00A100CC"/>
    <w:rsid w:val="00A10184"/>
    <w:rsid w:val="00A1034F"/>
    <w:rsid w:val="00A103EA"/>
    <w:rsid w:val="00A10664"/>
    <w:rsid w:val="00A10727"/>
    <w:rsid w:val="00A10735"/>
    <w:rsid w:val="00A1077F"/>
    <w:rsid w:val="00A107FA"/>
    <w:rsid w:val="00A1083E"/>
    <w:rsid w:val="00A10933"/>
    <w:rsid w:val="00A10949"/>
    <w:rsid w:val="00A10950"/>
    <w:rsid w:val="00A10996"/>
    <w:rsid w:val="00A10A8B"/>
    <w:rsid w:val="00A10B0C"/>
    <w:rsid w:val="00A10B38"/>
    <w:rsid w:val="00A10BB1"/>
    <w:rsid w:val="00A10C7D"/>
    <w:rsid w:val="00A10D40"/>
    <w:rsid w:val="00A10E43"/>
    <w:rsid w:val="00A10EEC"/>
    <w:rsid w:val="00A10FE4"/>
    <w:rsid w:val="00A10FF2"/>
    <w:rsid w:val="00A1100D"/>
    <w:rsid w:val="00A110EE"/>
    <w:rsid w:val="00A11118"/>
    <w:rsid w:val="00A11192"/>
    <w:rsid w:val="00A11284"/>
    <w:rsid w:val="00A11374"/>
    <w:rsid w:val="00A11423"/>
    <w:rsid w:val="00A115C3"/>
    <w:rsid w:val="00A116D3"/>
    <w:rsid w:val="00A1171B"/>
    <w:rsid w:val="00A11860"/>
    <w:rsid w:val="00A11910"/>
    <w:rsid w:val="00A11961"/>
    <w:rsid w:val="00A11994"/>
    <w:rsid w:val="00A119A4"/>
    <w:rsid w:val="00A11A38"/>
    <w:rsid w:val="00A11B09"/>
    <w:rsid w:val="00A11B0B"/>
    <w:rsid w:val="00A11B7A"/>
    <w:rsid w:val="00A11B81"/>
    <w:rsid w:val="00A11BA0"/>
    <w:rsid w:val="00A11C50"/>
    <w:rsid w:val="00A11DC8"/>
    <w:rsid w:val="00A11DF8"/>
    <w:rsid w:val="00A11E17"/>
    <w:rsid w:val="00A11E5A"/>
    <w:rsid w:val="00A11F39"/>
    <w:rsid w:val="00A11F4A"/>
    <w:rsid w:val="00A11F65"/>
    <w:rsid w:val="00A120CF"/>
    <w:rsid w:val="00A121B5"/>
    <w:rsid w:val="00A122D9"/>
    <w:rsid w:val="00A12303"/>
    <w:rsid w:val="00A12349"/>
    <w:rsid w:val="00A1234B"/>
    <w:rsid w:val="00A123E0"/>
    <w:rsid w:val="00A1240E"/>
    <w:rsid w:val="00A124D0"/>
    <w:rsid w:val="00A12521"/>
    <w:rsid w:val="00A1256A"/>
    <w:rsid w:val="00A12617"/>
    <w:rsid w:val="00A126C6"/>
    <w:rsid w:val="00A126CF"/>
    <w:rsid w:val="00A126E1"/>
    <w:rsid w:val="00A127F3"/>
    <w:rsid w:val="00A12807"/>
    <w:rsid w:val="00A128D2"/>
    <w:rsid w:val="00A1297B"/>
    <w:rsid w:val="00A12A1A"/>
    <w:rsid w:val="00A12A7B"/>
    <w:rsid w:val="00A12B32"/>
    <w:rsid w:val="00A12B52"/>
    <w:rsid w:val="00A12C6E"/>
    <w:rsid w:val="00A12CE5"/>
    <w:rsid w:val="00A12DC7"/>
    <w:rsid w:val="00A12DF2"/>
    <w:rsid w:val="00A12E06"/>
    <w:rsid w:val="00A12F2A"/>
    <w:rsid w:val="00A12FF5"/>
    <w:rsid w:val="00A13000"/>
    <w:rsid w:val="00A1300E"/>
    <w:rsid w:val="00A131AA"/>
    <w:rsid w:val="00A131D3"/>
    <w:rsid w:val="00A13221"/>
    <w:rsid w:val="00A1341F"/>
    <w:rsid w:val="00A13437"/>
    <w:rsid w:val="00A138D4"/>
    <w:rsid w:val="00A13946"/>
    <w:rsid w:val="00A139FF"/>
    <w:rsid w:val="00A13B73"/>
    <w:rsid w:val="00A13BEB"/>
    <w:rsid w:val="00A13C3F"/>
    <w:rsid w:val="00A13C42"/>
    <w:rsid w:val="00A13C74"/>
    <w:rsid w:val="00A13D4F"/>
    <w:rsid w:val="00A14056"/>
    <w:rsid w:val="00A14094"/>
    <w:rsid w:val="00A140B3"/>
    <w:rsid w:val="00A14109"/>
    <w:rsid w:val="00A14172"/>
    <w:rsid w:val="00A1418B"/>
    <w:rsid w:val="00A141F5"/>
    <w:rsid w:val="00A14281"/>
    <w:rsid w:val="00A142DA"/>
    <w:rsid w:val="00A14308"/>
    <w:rsid w:val="00A14316"/>
    <w:rsid w:val="00A14429"/>
    <w:rsid w:val="00A14438"/>
    <w:rsid w:val="00A14482"/>
    <w:rsid w:val="00A145DD"/>
    <w:rsid w:val="00A146BE"/>
    <w:rsid w:val="00A146E5"/>
    <w:rsid w:val="00A14766"/>
    <w:rsid w:val="00A147B5"/>
    <w:rsid w:val="00A14828"/>
    <w:rsid w:val="00A148D3"/>
    <w:rsid w:val="00A14AE8"/>
    <w:rsid w:val="00A14BCC"/>
    <w:rsid w:val="00A14C97"/>
    <w:rsid w:val="00A14EBA"/>
    <w:rsid w:val="00A15081"/>
    <w:rsid w:val="00A1508A"/>
    <w:rsid w:val="00A150C4"/>
    <w:rsid w:val="00A151AF"/>
    <w:rsid w:val="00A1554C"/>
    <w:rsid w:val="00A155EE"/>
    <w:rsid w:val="00A1560F"/>
    <w:rsid w:val="00A15645"/>
    <w:rsid w:val="00A1564D"/>
    <w:rsid w:val="00A15664"/>
    <w:rsid w:val="00A1569F"/>
    <w:rsid w:val="00A156E3"/>
    <w:rsid w:val="00A1582C"/>
    <w:rsid w:val="00A1585D"/>
    <w:rsid w:val="00A1586C"/>
    <w:rsid w:val="00A158DC"/>
    <w:rsid w:val="00A15913"/>
    <w:rsid w:val="00A15A90"/>
    <w:rsid w:val="00A15AB1"/>
    <w:rsid w:val="00A15AF9"/>
    <w:rsid w:val="00A15B76"/>
    <w:rsid w:val="00A15B7E"/>
    <w:rsid w:val="00A15C84"/>
    <w:rsid w:val="00A15C85"/>
    <w:rsid w:val="00A15C8E"/>
    <w:rsid w:val="00A15D44"/>
    <w:rsid w:val="00A15D4C"/>
    <w:rsid w:val="00A15DEE"/>
    <w:rsid w:val="00A15EEC"/>
    <w:rsid w:val="00A15F7A"/>
    <w:rsid w:val="00A15FAA"/>
    <w:rsid w:val="00A15FCE"/>
    <w:rsid w:val="00A15FF9"/>
    <w:rsid w:val="00A16001"/>
    <w:rsid w:val="00A1621F"/>
    <w:rsid w:val="00A16334"/>
    <w:rsid w:val="00A16389"/>
    <w:rsid w:val="00A165C4"/>
    <w:rsid w:val="00A16710"/>
    <w:rsid w:val="00A1683E"/>
    <w:rsid w:val="00A168D3"/>
    <w:rsid w:val="00A1691D"/>
    <w:rsid w:val="00A169F5"/>
    <w:rsid w:val="00A16A96"/>
    <w:rsid w:val="00A16B58"/>
    <w:rsid w:val="00A16BA8"/>
    <w:rsid w:val="00A16D5E"/>
    <w:rsid w:val="00A16F9E"/>
    <w:rsid w:val="00A16FC9"/>
    <w:rsid w:val="00A170EA"/>
    <w:rsid w:val="00A171C4"/>
    <w:rsid w:val="00A17288"/>
    <w:rsid w:val="00A172B3"/>
    <w:rsid w:val="00A17385"/>
    <w:rsid w:val="00A173CC"/>
    <w:rsid w:val="00A175CF"/>
    <w:rsid w:val="00A17605"/>
    <w:rsid w:val="00A176BC"/>
    <w:rsid w:val="00A1775C"/>
    <w:rsid w:val="00A17806"/>
    <w:rsid w:val="00A1781D"/>
    <w:rsid w:val="00A178B2"/>
    <w:rsid w:val="00A178BE"/>
    <w:rsid w:val="00A1796A"/>
    <w:rsid w:val="00A17B8B"/>
    <w:rsid w:val="00A17BFD"/>
    <w:rsid w:val="00A17C2D"/>
    <w:rsid w:val="00A17D75"/>
    <w:rsid w:val="00A17D95"/>
    <w:rsid w:val="00A17E73"/>
    <w:rsid w:val="00A20092"/>
    <w:rsid w:val="00A20165"/>
    <w:rsid w:val="00A20255"/>
    <w:rsid w:val="00A202AA"/>
    <w:rsid w:val="00A202B9"/>
    <w:rsid w:val="00A20348"/>
    <w:rsid w:val="00A203E1"/>
    <w:rsid w:val="00A203EB"/>
    <w:rsid w:val="00A2057E"/>
    <w:rsid w:val="00A2067A"/>
    <w:rsid w:val="00A206BF"/>
    <w:rsid w:val="00A20723"/>
    <w:rsid w:val="00A20789"/>
    <w:rsid w:val="00A20802"/>
    <w:rsid w:val="00A20846"/>
    <w:rsid w:val="00A209C1"/>
    <w:rsid w:val="00A209DE"/>
    <w:rsid w:val="00A20A00"/>
    <w:rsid w:val="00A20A64"/>
    <w:rsid w:val="00A20B1E"/>
    <w:rsid w:val="00A20C2E"/>
    <w:rsid w:val="00A20D68"/>
    <w:rsid w:val="00A20D8F"/>
    <w:rsid w:val="00A20EEF"/>
    <w:rsid w:val="00A20F12"/>
    <w:rsid w:val="00A21005"/>
    <w:rsid w:val="00A21045"/>
    <w:rsid w:val="00A2116A"/>
    <w:rsid w:val="00A2117D"/>
    <w:rsid w:val="00A211F8"/>
    <w:rsid w:val="00A213DF"/>
    <w:rsid w:val="00A21439"/>
    <w:rsid w:val="00A2143A"/>
    <w:rsid w:val="00A2158D"/>
    <w:rsid w:val="00A217E6"/>
    <w:rsid w:val="00A21807"/>
    <w:rsid w:val="00A2185F"/>
    <w:rsid w:val="00A2197F"/>
    <w:rsid w:val="00A21A2D"/>
    <w:rsid w:val="00A21A42"/>
    <w:rsid w:val="00A21ADA"/>
    <w:rsid w:val="00A21B5A"/>
    <w:rsid w:val="00A21BD4"/>
    <w:rsid w:val="00A21C70"/>
    <w:rsid w:val="00A21C74"/>
    <w:rsid w:val="00A21DC9"/>
    <w:rsid w:val="00A21EB4"/>
    <w:rsid w:val="00A2200F"/>
    <w:rsid w:val="00A221E9"/>
    <w:rsid w:val="00A222C8"/>
    <w:rsid w:val="00A222CD"/>
    <w:rsid w:val="00A223C9"/>
    <w:rsid w:val="00A2242B"/>
    <w:rsid w:val="00A22537"/>
    <w:rsid w:val="00A22548"/>
    <w:rsid w:val="00A22574"/>
    <w:rsid w:val="00A227C8"/>
    <w:rsid w:val="00A228F9"/>
    <w:rsid w:val="00A22A3D"/>
    <w:rsid w:val="00A22B32"/>
    <w:rsid w:val="00A22CA3"/>
    <w:rsid w:val="00A22CF9"/>
    <w:rsid w:val="00A22D72"/>
    <w:rsid w:val="00A22D7B"/>
    <w:rsid w:val="00A22E1C"/>
    <w:rsid w:val="00A22E77"/>
    <w:rsid w:val="00A22FBA"/>
    <w:rsid w:val="00A23070"/>
    <w:rsid w:val="00A230E6"/>
    <w:rsid w:val="00A231C0"/>
    <w:rsid w:val="00A232D9"/>
    <w:rsid w:val="00A232E9"/>
    <w:rsid w:val="00A23430"/>
    <w:rsid w:val="00A23433"/>
    <w:rsid w:val="00A23443"/>
    <w:rsid w:val="00A23530"/>
    <w:rsid w:val="00A23532"/>
    <w:rsid w:val="00A2379E"/>
    <w:rsid w:val="00A237E4"/>
    <w:rsid w:val="00A2380B"/>
    <w:rsid w:val="00A23840"/>
    <w:rsid w:val="00A238A4"/>
    <w:rsid w:val="00A238B0"/>
    <w:rsid w:val="00A23990"/>
    <w:rsid w:val="00A239EC"/>
    <w:rsid w:val="00A23AC5"/>
    <w:rsid w:val="00A23BB5"/>
    <w:rsid w:val="00A23BBB"/>
    <w:rsid w:val="00A23BEE"/>
    <w:rsid w:val="00A23C85"/>
    <w:rsid w:val="00A23C9A"/>
    <w:rsid w:val="00A23CBD"/>
    <w:rsid w:val="00A23F12"/>
    <w:rsid w:val="00A23FDC"/>
    <w:rsid w:val="00A23FF7"/>
    <w:rsid w:val="00A24003"/>
    <w:rsid w:val="00A24142"/>
    <w:rsid w:val="00A24150"/>
    <w:rsid w:val="00A2421A"/>
    <w:rsid w:val="00A24226"/>
    <w:rsid w:val="00A242C1"/>
    <w:rsid w:val="00A2445D"/>
    <w:rsid w:val="00A24497"/>
    <w:rsid w:val="00A24511"/>
    <w:rsid w:val="00A24661"/>
    <w:rsid w:val="00A2469B"/>
    <w:rsid w:val="00A246B3"/>
    <w:rsid w:val="00A246E4"/>
    <w:rsid w:val="00A24797"/>
    <w:rsid w:val="00A24861"/>
    <w:rsid w:val="00A2499F"/>
    <w:rsid w:val="00A24A62"/>
    <w:rsid w:val="00A24B7F"/>
    <w:rsid w:val="00A24BA3"/>
    <w:rsid w:val="00A24D55"/>
    <w:rsid w:val="00A24D5E"/>
    <w:rsid w:val="00A24D77"/>
    <w:rsid w:val="00A24D7D"/>
    <w:rsid w:val="00A24EAF"/>
    <w:rsid w:val="00A24ECF"/>
    <w:rsid w:val="00A24F40"/>
    <w:rsid w:val="00A24FB3"/>
    <w:rsid w:val="00A2502C"/>
    <w:rsid w:val="00A250BD"/>
    <w:rsid w:val="00A250F7"/>
    <w:rsid w:val="00A2514A"/>
    <w:rsid w:val="00A251F2"/>
    <w:rsid w:val="00A25383"/>
    <w:rsid w:val="00A2544F"/>
    <w:rsid w:val="00A25504"/>
    <w:rsid w:val="00A2553C"/>
    <w:rsid w:val="00A2556F"/>
    <w:rsid w:val="00A25661"/>
    <w:rsid w:val="00A257E7"/>
    <w:rsid w:val="00A258F4"/>
    <w:rsid w:val="00A259C8"/>
    <w:rsid w:val="00A25A16"/>
    <w:rsid w:val="00A25A91"/>
    <w:rsid w:val="00A25B40"/>
    <w:rsid w:val="00A25C4E"/>
    <w:rsid w:val="00A25CB0"/>
    <w:rsid w:val="00A25D50"/>
    <w:rsid w:val="00A25F0D"/>
    <w:rsid w:val="00A25F59"/>
    <w:rsid w:val="00A25FA7"/>
    <w:rsid w:val="00A2600A"/>
    <w:rsid w:val="00A26055"/>
    <w:rsid w:val="00A2610D"/>
    <w:rsid w:val="00A261A7"/>
    <w:rsid w:val="00A261E0"/>
    <w:rsid w:val="00A262CC"/>
    <w:rsid w:val="00A26361"/>
    <w:rsid w:val="00A2657D"/>
    <w:rsid w:val="00A265D1"/>
    <w:rsid w:val="00A2668C"/>
    <w:rsid w:val="00A26834"/>
    <w:rsid w:val="00A26954"/>
    <w:rsid w:val="00A26A10"/>
    <w:rsid w:val="00A26A31"/>
    <w:rsid w:val="00A26AF9"/>
    <w:rsid w:val="00A26B89"/>
    <w:rsid w:val="00A26B93"/>
    <w:rsid w:val="00A26BD1"/>
    <w:rsid w:val="00A26D13"/>
    <w:rsid w:val="00A26D3B"/>
    <w:rsid w:val="00A26E1F"/>
    <w:rsid w:val="00A26E5E"/>
    <w:rsid w:val="00A27039"/>
    <w:rsid w:val="00A270CD"/>
    <w:rsid w:val="00A273E8"/>
    <w:rsid w:val="00A2744F"/>
    <w:rsid w:val="00A2746F"/>
    <w:rsid w:val="00A27509"/>
    <w:rsid w:val="00A275B6"/>
    <w:rsid w:val="00A275D5"/>
    <w:rsid w:val="00A27789"/>
    <w:rsid w:val="00A2780A"/>
    <w:rsid w:val="00A279CB"/>
    <w:rsid w:val="00A27B50"/>
    <w:rsid w:val="00A27D56"/>
    <w:rsid w:val="00A27E68"/>
    <w:rsid w:val="00A27F70"/>
    <w:rsid w:val="00A30058"/>
    <w:rsid w:val="00A30271"/>
    <w:rsid w:val="00A302C8"/>
    <w:rsid w:val="00A302CA"/>
    <w:rsid w:val="00A303DA"/>
    <w:rsid w:val="00A30428"/>
    <w:rsid w:val="00A304AB"/>
    <w:rsid w:val="00A305B5"/>
    <w:rsid w:val="00A306DE"/>
    <w:rsid w:val="00A30742"/>
    <w:rsid w:val="00A307E2"/>
    <w:rsid w:val="00A308A0"/>
    <w:rsid w:val="00A308CD"/>
    <w:rsid w:val="00A308ED"/>
    <w:rsid w:val="00A309D3"/>
    <w:rsid w:val="00A30A69"/>
    <w:rsid w:val="00A30C2E"/>
    <w:rsid w:val="00A30E34"/>
    <w:rsid w:val="00A30E5E"/>
    <w:rsid w:val="00A30E7B"/>
    <w:rsid w:val="00A30E98"/>
    <w:rsid w:val="00A30F15"/>
    <w:rsid w:val="00A30F72"/>
    <w:rsid w:val="00A30FD3"/>
    <w:rsid w:val="00A30FFF"/>
    <w:rsid w:val="00A3102F"/>
    <w:rsid w:val="00A311AA"/>
    <w:rsid w:val="00A31246"/>
    <w:rsid w:val="00A31253"/>
    <w:rsid w:val="00A3146A"/>
    <w:rsid w:val="00A3150B"/>
    <w:rsid w:val="00A3151D"/>
    <w:rsid w:val="00A315A1"/>
    <w:rsid w:val="00A315C6"/>
    <w:rsid w:val="00A316E3"/>
    <w:rsid w:val="00A3176A"/>
    <w:rsid w:val="00A31825"/>
    <w:rsid w:val="00A31836"/>
    <w:rsid w:val="00A31A30"/>
    <w:rsid w:val="00A31AB6"/>
    <w:rsid w:val="00A31AC9"/>
    <w:rsid w:val="00A31B95"/>
    <w:rsid w:val="00A31C7B"/>
    <w:rsid w:val="00A31D41"/>
    <w:rsid w:val="00A31DCA"/>
    <w:rsid w:val="00A31E0E"/>
    <w:rsid w:val="00A31E49"/>
    <w:rsid w:val="00A31E4C"/>
    <w:rsid w:val="00A31E8B"/>
    <w:rsid w:val="00A31ECC"/>
    <w:rsid w:val="00A31EFE"/>
    <w:rsid w:val="00A31F96"/>
    <w:rsid w:val="00A3207E"/>
    <w:rsid w:val="00A320C7"/>
    <w:rsid w:val="00A3233D"/>
    <w:rsid w:val="00A323FE"/>
    <w:rsid w:val="00A32480"/>
    <w:rsid w:val="00A325B5"/>
    <w:rsid w:val="00A326A2"/>
    <w:rsid w:val="00A32717"/>
    <w:rsid w:val="00A327D7"/>
    <w:rsid w:val="00A327FE"/>
    <w:rsid w:val="00A3285B"/>
    <w:rsid w:val="00A328BF"/>
    <w:rsid w:val="00A329F0"/>
    <w:rsid w:val="00A32A3C"/>
    <w:rsid w:val="00A32B9F"/>
    <w:rsid w:val="00A32BC3"/>
    <w:rsid w:val="00A32CB6"/>
    <w:rsid w:val="00A32D0F"/>
    <w:rsid w:val="00A32D24"/>
    <w:rsid w:val="00A32D52"/>
    <w:rsid w:val="00A32DA6"/>
    <w:rsid w:val="00A32E5D"/>
    <w:rsid w:val="00A32E66"/>
    <w:rsid w:val="00A32EAB"/>
    <w:rsid w:val="00A32F4E"/>
    <w:rsid w:val="00A330F1"/>
    <w:rsid w:val="00A331CA"/>
    <w:rsid w:val="00A33237"/>
    <w:rsid w:val="00A333C6"/>
    <w:rsid w:val="00A33424"/>
    <w:rsid w:val="00A335B7"/>
    <w:rsid w:val="00A3365A"/>
    <w:rsid w:val="00A33726"/>
    <w:rsid w:val="00A3375E"/>
    <w:rsid w:val="00A33806"/>
    <w:rsid w:val="00A33A4D"/>
    <w:rsid w:val="00A33B0C"/>
    <w:rsid w:val="00A33B49"/>
    <w:rsid w:val="00A33B4D"/>
    <w:rsid w:val="00A33B82"/>
    <w:rsid w:val="00A33BFC"/>
    <w:rsid w:val="00A33C1F"/>
    <w:rsid w:val="00A33D6F"/>
    <w:rsid w:val="00A33DCF"/>
    <w:rsid w:val="00A33E42"/>
    <w:rsid w:val="00A33E97"/>
    <w:rsid w:val="00A33EA7"/>
    <w:rsid w:val="00A33EB7"/>
    <w:rsid w:val="00A33ECD"/>
    <w:rsid w:val="00A33F1F"/>
    <w:rsid w:val="00A33F69"/>
    <w:rsid w:val="00A340DD"/>
    <w:rsid w:val="00A34144"/>
    <w:rsid w:val="00A3417E"/>
    <w:rsid w:val="00A3431A"/>
    <w:rsid w:val="00A34326"/>
    <w:rsid w:val="00A343D1"/>
    <w:rsid w:val="00A345A4"/>
    <w:rsid w:val="00A34655"/>
    <w:rsid w:val="00A34682"/>
    <w:rsid w:val="00A34689"/>
    <w:rsid w:val="00A34934"/>
    <w:rsid w:val="00A3497A"/>
    <w:rsid w:val="00A349CB"/>
    <w:rsid w:val="00A34AA8"/>
    <w:rsid w:val="00A34AD1"/>
    <w:rsid w:val="00A34AFF"/>
    <w:rsid w:val="00A34BD8"/>
    <w:rsid w:val="00A34CAF"/>
    <w:rsid w:val="00A34DDD"/>
    <w:rsid w:val="00A34DFB"/>
    <w:rsid w:val="00A34E51"/>
    <w:rsid w:val="00A34E6C"/>
    <w:rsid w:val="00A34F8A"/>
    <w:rsid w:val="00A34FFD"/>
    <w:rsid w:val="00A35005"/>
    <w:rsid w:val="00A35047"/>
    <w:rsid w:val="00A350B7"/>
    <w:rsid w:val="00A351CB"/>
    <w:rsid w:val="00A35216"/>
    <w:rsid w:val="00A35255"/>
    <w:rsid w:val="00A352D1"/>
    <w:rsid w:val="00A3535F"/>
    <w:rsid w:val="00A35434"/>
    <w:rsid w:val="00A35489"/>
    <w:rsid w:val="00A354FF"/>
    <w:rsid w:val="00A35518"/>
    <w:rsid w:val="00A3571C"/>
    <w:rsid w:val="00A35722"/>
    <w:rsid w:val="00A3578C"/>
    <w:rsid w:val="00A3589E"/>
    <w:rsid w:val="00A3596D"/>
    <w:rsid w:val="00A359EC"/>
    <w:rsid w:val="00A359EF"/>
    <w:rsid w:val="00A35AF3"/>
    <w:rsid w:val="00A35B12"/>
    <w:rsid w:val="00A35BD3"/>
    <w:rsid w:val="00A35D3C"/>
    <w:rsid w:val="00A35F5D"/>
    <w:rsid w:val="00A35FA0"/>
    <w:rsid w:val="00A35FED"/>
    <w:rsid w:val="00A35FFB"/>
    <w:rsid w:val="00A3602D"/>
    <w:rsid w:val="00A36140"/>
    <w:rsid w:val="00A36205"/>
    <w:rsid w:val="00A3622C"/>
    <w:rsid w:val="00A36231"/>
    <w:rsid w:val="00A362BF"/>
    <w:rsid w:val="00A36436"/>
    <w:rsid w:val="00A3649E"/>
    <w:rsid w:val="00A365DE"/>
    <w:rsid w:val="00A3663B"/>
    <w:rsid w:val="00A36862"/>
    <w:rsid w:val="00A36935"/>
    <w:rsid w:val="00A369EC"/>
    <w:rsid w:val="00A36B00"/>
    <w:rsid w:val="00A36B55"/>
    <w:rsid w:val="00A36C52"/>
    <w:rsid w:val="00A36D7F"/>
    <w:rsid w:val="00A36DBA"/>
    <w:rsid w:val="00A36E39"/>
    <w:rsid w:val="00A36E81"/>
    <w:rsid w:val="00A36EF8"/>
    <w:rsid w:val="00A36F4D"/>
    <w:rsid w:val="00A37038"/>
    <w:rsid w:val="00A37178"/>
    <w:rsid w:val="00A3718A"/>
    <w:rsid w:val="00A372AB"/>
    <w:rsid w:val="00A372CD"/>
    <w:rsid w:val="00A37346"/>
    <w:rsid w:val="00A374BA"/>
    <w:rsid w:val="00A37564"/>
    <w:rsid w:val="00A37588"/>
    <w:rsid w:val="00A3762E"/>
    <w:rsid w:val="00A37630"/>
    <w:rsid w:val="00A37679"/>
    <w:rsid w:val="00A376A4"/>
    <w:rsid w:val="00A376BF"/>
    <w:rsid w:val="00A37714"/>
    <w:rsid w:val="00A37743"/>
    <w:rsid w:val="00A377AB"/>
    <w:rsid w:val="00A377F2"/>
    <w:rsid w:val="00A378B7"/>
    <w:rsid w:val="00A378F7"/>
    <w:rsid w:val="00A37992"/>
    <w:rsid w:val="00A37A28"/>
    <w:rsid w:val="00A37B0F"/>
    <w:rsid w:val="00A37B46"/>
    <w:rsid w:val="00A37E6A"/>
    <w:rsid w:val="00A37EC2"/>
    <w:rsid w:val="00A37F58"/>
    <w:rsid w:val="00A4015E"/>
    <w:rsid w:val="00A40205"/>
    <w:rsid w:val="00A4030C"/>
    <w:rsid w:val="00A40353"/>
    <w:rsid w:val="00A40390"/>
    <w:rsid w:val="00A4045F"/>
    <w:rsid w:val="00A4055E"/>
    <w:rsid w:val="00A4057A"/>
    <w:rsid w:val="00A40644"/>
    <w:rsid w:val="00A406E1"/>
    <w:rsid w:val="00A40796"/>
    <w:rsid w:val="00A4080E"/>
    <w:rsid w:val="00A408A5"/>
    <w:rsid w:val="00A408E1"/>
    <w:rsid w:val="00A409F1"/>
    <w:rsid w:val="00A40A26"/>
    <w:rsid w:val="00A40A6A"/>
    <w:rsid w:val="00A40A9B"/>
    <w:rsid w:val="00A40BB6"/>
    <w:rsid w:val="00A40C48"/>
    <w:rsid w:val="00A40CBF"/>
    <w:rsid w:val="00A40CDD"/>
    <w:rsid w:val="00A40E27"/>
    <w:rsid w:val="00A40F8D"/>
    <w:rsid w:val="00A410E2"/>
    <w:rsid w:val="00A41176"/>
    <w:rsid w:val="00A412B5"/>
    <w:rsid w:val="00A41339"/>
    <w:rsid w:val="00A4136F"/>
    <w:rsid w:val="00A41378"/>
    <w:rsid w:val="00A413D2"/>
    <w:rsid w:val="00A41424"/>
    <w:rsid w:val="00A414CB"/>
    <w:rsid w:val="00A41654"/>
    <w:rsid w:val="00A4169D"/>
    <w:rsid w:val="00A417B3"/>
    <w:rsid w:val="00A41829"/>
    <w:rsid w:val="00A4187B"/>
    <w:rsid w:val="00A418CA"/>
    <w:rsid w:val="00A4192D"/>
    <w:rsid w:val="00A419A9"/>
    <w:rsid w:val="00A41BCD"/>
    <w:rsid w:val="00A41C06"/>
    <w:rsid w:val="00A41CBC"/>
    <w:rsid w:val="00A41D0C"/>
    <w:rsid w:val="00A41D93"/>
    <w:rsid w:val="00A41DD2"/>
    <w:rsid w:val="00A41F22"/>
    <w:rsid w:val="00A42094"/>
    <w:rsid w:val="00A420B8"/>
    <w:rsid w:val="00A420EF"/>
    <w:rsid w:val="00A42335"/>
    <w:rsid w:val="00A425F5"/>
    <w:rsid w:val="00A425FF"/>
    <w:rsid w:val="00A42644"/>
    <w:rsid w:val="00A4273B"/>
    <w:rsid w:val="00A4290C"/>
    <w:rsid w:val="00A429A9"/>
    <w:rsid w:val="00A42AE4"/>
    <w:rsid w:val="00A42AED"/>
    <w:rsid w:val="00A42B2B"/>
    <w:rsid w:val="00A42BA1"/>
    <w:rsid w:val="00A42C7F"/>
    <w:rsid w:val="00A42E25"/>
    <w:rsid w:val="00A42E44"/>
    <w:rsid w:val="00A42E5C"/>
    <w:rsid w:val="00A42EE4"/>
    <w:rsid w:val="00A42FC7"/>
    <w:rsid w:val="00A42FDA"/>
    <w:rsid w:val="00A43012"/>
    <w:rsid w:val="00A4302C"/>
    <w:rsid w:val="00A4305D"/>
    <w:rsid w:val="00A4311E"/>
    <w:rsid w:val="00A43445"/>
    <w:rsid w:val="00A4347F"/>
    <w:rsid w:val="00A43520"/>
    <w:rsid w:val="00A4357F"/>
    <w:rsid w:val="00A43756"/>
    <w:rsid w:val="00A43823"/>
    <w:rsid w:val="00A4396B"/>
    <w:rsid w:val="00A4398F"/>
    <w:rsid w:val="00A43A7E"/>
    <w:rsid w:val="00A43B27"/>
    <w:rsid w:val="00A43B47"/>
    <w:rsid w:val="00A43CAB"/>
    <w:rsid w:val="00A43D12"/>
    <w:rsid w:val="00A43DB8"/>
    <w:rsid w:val="00A43E9F"/>
    <w:rsid w:val="00A43F0F"/>
    <w:rsid w:val="00A440A0"/>
    <w:rsid w:val="00A440CC"/>
    <w:rsid w:val="00A4412D"/>
    <w:rsid w:val="00A44192"/>
    <w:rsid w:val="00A442D2"/>
    <w:rsid w:val="00A442D4"/>
    <w:rsid w:val="00A443B9"/>
    <w:rsid w:val="00A44579"/>
    <w:rsid w:val="00A445B8"/>
    <w:rsid w:val="00A445CB"/>
    <w:rsid w:val="00A445EA"/>
    <w:rsid w:val="00A4462C"/>
    <w:rsid w:val="00A446F8"/>
    <w:rsid w:val="00A44767"/>
    <w:rsid w:val="00A447B0"/>
    <w:rsid w:val="00A447BD"/>
    <w:rsid w:val="00A44874"/>
    <w:rsid w:val="00A44996"/>
    <w:rsid w:val="00A449A1"/>
    <w:rsid w:val="00A449A9"/>
    <w:rsid w:val="00A449D4"/>
    <w:rsid w:val="00A44A57"/>
    <w:rsid w:val="00A44AEB"/>
    <w:rsid w:val="00A44B6B"/>
    <w:rsid w:val="00A44BD7"/>
    <w:rsid w:val="00A44BEE"/>
    <w:rsid w:val="00A44C7A"/>
    <w:rsid w:val="00A44CAB"/>
    <w:rsid w:val="00A44E69"/>
    <w:rsid w:val="00A44FDD"/>
    <w:rsid w:val="00A4502A"/>
    <w:rsid w:val="00A450B2"/>
    <w:rsid w:val="00A451C0"/>
    <w:rsid w:val="00A45490"/>
    <w:rsid w:val="00A45621"/>
    <w:rsid w:val="00A45629"/>
    <w:rsid w:val="00A45634"/>
    <w:rsid w:val="00A45647"/>
    <w:rsid w:val="00A45734"/>
    <w:rsid w:val="00A4578F"/>
    <w:rsid w:val="00A458D5"/>
    <w:rsid w:val="00A458F7"/>
    <w:rsid w:val="00A458FD"/>
    <w:rsid w:val="00A459A1"/>
    <w:rsid w:val="00A459BB"/>
    <w:rsid w:val="00A459CD"/>
    <w:rsid w:val="00A459DB"/>
    <w:rsid w:val="00A45A00"/>
    <w:rsid w:val="00A45B48"/>
    <w:rsid w:val="00A45B58"/>
    <w:rsid w:val="00A45B90"/>
    <w:rsid w:val="00A45CEC"/>
    <w:rsid w:val="00A45D32"/>
    <w:rsid w:val="00A45D59"/>
    <w:rsid w:val="00A45E06"/>
    <w:rsid w:val="00A45E38"/>
    <w:rsid w:val="00A45FBF"/>
    <w:rsid w:val="00A4601F"/>
    <w:rsid w:val="00A46068"/>
    <w:rsid w:val="00A460A7"/>
    <w:rsid w:val="00A460C0"/>
    <w:rsid w:val="00A46125"/>
    <w:rsid w:val="00A46141"/>
    <w:rsid w:val="00A4619E"/>
    <w:rsid w:val="00A461FA"/>
    <w:rsid w:val="00A46392"/>
    <w:rsid w:val="00A46490"/>
    <w:rsid w:val="00A4658F"/>
    <w:rsid w:val="00A465DF"/>
    <w:rsid w:val="00A4660F"/>
    <w:rsid w:val="00A466AB"/>
    <w:rsid w:val="00A466B1"/>
    <w:rsid w:val="00A466CD"/>
    <w:rsid w:val="00A46805"/>
    <w:rsid w:val="00A468DA"/>
    <w:rsid w:val="00A4692B"/>
    <w:rsid w:val="00A46ACB"/>
    <w:rsid w:val="00A46BB0"/>
    <w:rsid w:val="00A46C02"/>
    <w:rsid w:val="00A46ED3"/>
    <w:rsid w:val="00A46EF8"/>
    <w:rsid w:val="00A4713B"/>
    <w:rsid w:val="00A4723B"/>
    <w:rsid w:val="00A4737D"/>
    <w:rsid w:val="00A473C0"/>
    <w:rsid w:val="00A47424"/>
    <w:rsid w:val="00A47480"/>
    <w:rsid w:val="00A4748D"/>
    <w:rsid w:val="00A474FF"/>
    <w:rsid w:val="00A47511"/>
    <w:rsid w:val="00A476A6"/>
    <w:rsid w:val="00A476F5"/>
    <w:rsid w:val="00A47758"/>
    <w:rsid w:val="00A47764"/>
    <w:rsid w:val="00A4779E"/>
    <w:rsid w:val="00A477BD"/>
    <w:rsid w:val="00A477EC"/>
    <w:rsid w:val="00A47852"/>
    <w:rsid w:val="00A478EB"/>
    <w:rsid w:val="00A4793B"/>
    <w:rsid w:val="00A479DA"/>
    <w:rsid w:val="00A479FD"/>
    <w:rsid w:val="00A47A12"/>
    <w:rsid w:val="00A47B5F"/>
    <w:rsid w:val="00A47B7B"/>
    <w:rsid w:val="00A47B86"/>
    <w:rsid w:val="00A47BAA"/>
    <w:rsid w:val="00A47BED"/>
    <w:rsid w:val="00A47EFC"/>
    <w:rsid w:val="00A47FEE"/>
    <w:rsid w:val="00A50067"/>
    <w:rsid w:val="00A5013E"/>
    <w:rsid w:val="00A5014A"/>
    <w:rsid w:val="00A50191"/>
    <w:rsid w:val="00A5022A"/>
    <w:rsid w:val="00A502DA"/>
    <w:rsid w:val="00A50423"/>
    <w:rsid w:val="00A50478"/>
    <w:rsid w:val="00A50487"/>
    <w:rsid w:val="00A504EE"/>
    <w:rsid w:val="00A505C7"/>
    <w:rsid w:val="00A50637"/>
    <w:rsid w:val="00A50665"/>
    <w:rsid w:val="00A507C6"/>
    <w:rsid w:val="00A50838"/>
    <w:rsid w:val="00A5088D"/>
    <w:rsid w:val="00A50AC3"/>
    <w:rsid w:val="00A50C9C"/>
    <w:rsid w:val="00A50CDB"/>
    <w:rsid w:val="00A50F64"/>
    <w:rsid w:val="00A50F93"/>
    <w:rsid w:val="00A50FAC"/>
    <w:rsid w:val="00A50FC4"/>
    <w:rsid w:val="00A51079"/>
    <w:rsid w:val="00A510DD"/>
    <w:rsid w:val="00A511DC"/>
    <w:rsid w:val="00A51309"/>
    <w:rsid w:val="00A5131D"/>
    <w:rsid w:val="00A5134C"/>
    <w:rsid w:val="00A51526"/>
    <w:rsid w:val="00A51572"/>
    <w:rsid w:val="00A5162D"/>
    <w:rsid w:val="00A51646"/>
    <w:rsid w:val="00A51651"/>
    <w:rsid w:val="00A51762"/>
    <w:rsid w:val="00A5184F"/>
    <w:rsid w:val="00A518AF"/>
    <w:rsid w:val="00A5194F"/>
    <w:rsid w:val="00A51ACA"/>
    <w:rsid w:val="00A51B44"/>
    <w:rsid w:val="00A51C05"/>
    <w:rsid w:val="00A51D12"/>
    <w:rsid w:val="00A51D5B"/>
    <w:rsid w:val="00A51FBD"/>
    <w:rsid w:val="00A51FC5"/>
    <w:rsid w:val="00A52035"/>
    <w:rsid w:val="00A521FE"/>
    <w:rsid w:val="00A52265"/>
    <w:rsid w:val="00A5226A"/>
    <w:rsid w:val="00A522F5"/>
    <w:rsid w:val="00A523B6"/>
    <w:rsid w:val="00A523F3"/>
    <w:rsid w:val="00A52435"/>
    <w:rsid w:val="00A5244D"/>
    <w:rsid w:val="00A52511"/>
    <w:rsid w:val="00A52610"/>
    <w:rsid w:val="00A5277E"/>
    <w:rsid w:val="00A5277F"/>
    <w:rsid w:val="00A5279B"/>
    <w:rsid w:val="00A52815"/>
    <w:rsid w:val="00A52A66"/>
    <w:rsid w:val="00A52A79"/>
    <w:rsid w:val="00A52BFA"/>
    <w:rsid w:val="00A52BFE"/>
    <w:rsid w:val="00A52D19"/>
    <w:rsid w:val="00A530B6"/>
    <w:rsid w:val="00A53228"/>
    <w:rsid w:val="00A53249"/>
    <w:rsid w:val="00A5335D"/>
    <w:rsid w:val="00A53432"/>
    <w:rsid w:val="00A53455"/>
    <w:rsid w:val="00A53459"/>
    <w:rsid w:val="00A53508"/>
    <w:rsid w:val="00A53565"/>
    <w:rsid w:val="00A535D1"/>
    <w:rsid w:val="00A536B0"/>
    <w:rsid w:val="00A536D4"/>
    <w:rsid w:val="00A53735"/>
    <w:rsid w:val="00A538C1"/>
    <w:rsid w:val="00A538C4"/>
    <w:rsid w:val="00A5391C"/>
    <w:rsid w:val="00A5396B"/>
    <w:rsid w:val="00A53BEA"/>
    <w:rsid w:val="00A53BFF"/>
    <w:rsid w:val="00A53D12"/>
    <w:rsid w:val="00A53D86"/>
    <w:rsid w:val="00A53E6D"/>
    <w:rsid w:val="00A53EE8"/>
    <w:rsid w:val="00A53F0A"/>
    <w:rsid w:val="00A53FF5"/>
    <w:rsid w:val="00A54016"/>
    <w:rsid w:val="00A54018"/>
    <w:rsid w:val="00A5401E"/>
    <w:rsid w:val="00A5409A"/>
    <w:rsid w:val="00A540DA"/>
    <w:rsid w:val="00A5412D"/>
    <w:rsid w:val="00A54200"/>
    <w:rsid w:val="00A5423F"/>
    <w:rsid w:val="00A54252"/>
    <w:rsid w:val="00A54274"/>
    <w:rsid w:val="00A54280"/>
    <w:rsid w:val="00A5433D"/>
    <w:rsid w:val="00A5435A"/>
    <w:rsid w:val="00A54372"/>
    <w:rsid w:val="00A5446B"/>
    <w:rsid w:val="00A5452D"/>
    <w:rsid w:val="00A545CD"/>
    <w:rsid w:val="00A54680"/>
    <w:rsid w:val="00A546B4"/>
    <w:rsid w:val="00A546D8"/>
    <w:rsid w:val="00A5472B"/>
    <w:rsid w:val="00A547E3"/>
    <w:rsid w:val="00A547E9"/>
    <w:rsid w:val="00A5486C"/>
    <w:rsid w:val="00A54A0E"/>
    <w:rsid w:val="00A54A98"/>
    <w:rsid w:val="00A54AC2"/>
    <w:rsid w:val="00A54B61"/>
    <w:rsid w:val="00A54BBC"/>
    <w:rsid w:val="00A54BD1"/>
    <w:rsid w:val="00A54C1A"/>
    <w:rsid w:val="00A54CA3"/>
    <w:rsid w:val="00A54DAC"/>
    <w:rsid w:val="00A54E0B"/>
    <w:rsid w:val="00A54E4E"/>
    <w:rsid w:val="00A54E5C"/>
    <w:rsid w:val="00A54E63"/>
    <w:rsid w:val="00A54EBA"/>
    <w:rsid w:val="00A54F10"/>
    <w:rsid w:val="00A54FC1"/>
    <w:rsid w:val="00A5505E"/>
    <w:rsid w:val="00A551A7"/>
    <w:rsid w:val="00A551FF"/>
    <w:rsid w:val="00A55296"/>
    <w:rsid w:val="00A554B9"/>
    <w:rsid w:val="00A55635"/>
    <w:rsid w:val="00A55662"/>
    <w:rsid w:val="00A556C1"/>
    <w:rsid w:val="00A55872"/>
    <w:rsid w:val="00A55A89"/>
    <w:rsid w:val="00A55A8F"/>
    <w:rsid w:val="00A55B53"/>
    <w:rsid w:val="00A55B8C"/>
    <w:rsid w:val="00A55EB0"/>
    <w:rsid w:val="00A55EB7"/>
    <w:rsid w:val="00A55FCF"/>
    <w:rsid w:val="00A56015"/>
    <w:rsid w:val="00A56058"/>
    <w:rsid w:val="00A56072"/>
    <w:rsid w:val="00A56147"/>
    <w:rsid w:val="00A5614F"/>
    <w:rsid w:val="00A561DB"/>
    <w:rsid w:val="00A561F1"/>
    <w:rsid w:val="00A56380"/>
    <w:rsid w:val="00A56404"/>
    <w:rsid w:val="00A56438"/>
    <w:rsid w:val="00A567A1"/>
    <w:rsid w:val="00A56834"/>
    <w:rsid w:val="00A56837"/>
    <w:rsid w:val="00A56878"/>
    <w:rsid w:val="00A568BE"/>
    <w:rsid w:val="00A568ED"/>
    <w:rsid w:val="00A56906"/>
    <w:rsid w:val="00A56909"/>
    <w:rsid w:val="00A56911"/>
    <w:rsid w:val="00A56968"/>
    <w:rsid w:val="00A569BF"/>
    <w:rsid w:val="00A56A7A"/>
    <w:rsid w:val="00A56AFB"/>
    <w:rsid w:val="00A56B46"/>
    <w:rsid w:val="00A56C7E"/>
    <w:rsid w:val="00A56C89"/>
    <w:rsid w:val="00A56CAB"/>
    <w:rsid w:val="00A56CFC"/>
    <w:rsid w:val="00A56D15"/>
    <w:rsid w:val="00A56D9C"/>
    <w:rsid w:val="00A56E2F"/>
    <w:rsid w:val="00A56E62"/>
    <w:rsid w:val="00A56E68"/>
    <w:rsid w:val="00A56E97"/>
    <w:rsid w:val="00A56ECD"/>
    <w:rsid w:val="00A56FA6"/>
    <w:rsid w:val="00A57080"/>
    <w:rsid w:val="00A5713F"/>
    <w:rsid w:val="00A571B1"/>
    <w:rsid w:val="00A571E3"/>
    <w:rsid w:val="00A57651"/>
    <w:rsid w:val="00A57674"/>
    <w:rsid w:val="00A57803"/>
    <w:rsid w:val="00A57849"/>
    <w:rsid w:val="00A578A4"/>
    <w:rsid w:val="00A579F3"/>
    <w:rsid w:val="00A57A1C"/>
    <w:rsid w:val="00A57A80"/>
    <w:rsid w:val="00A57A89"/>
    <w:rsid w:val="00A57BA3"/>
    <w:rsid w:val="00A57C23"/>
    <w:rsid w:val="00A57DB2"/>
    <w:rsid w:val="00A57E47"/>
    <w:rsid w:val="00A6003D"/>
    <w:rsid w:val="00A60056"/>
    <w:rsid w:val="00A6008A"/>
    <w:rsid w:val="00A60177"/>
    <w:rsid w:val="00A6026A"/>
    <w:rsid w:val="00A6029C"/>
    <w:rsid w:val="00A602A0"/>
    <w:rsid w:val="00A60367"/>
    <w:rsid w:val="00A60490"/>
    <w:rsid w:val="00A60539"/>
    <w:rsid w:val="00A605E7"/>
    <w:rsid w:val="00A60607"/>
    <w:rsid w:val="00A6068E"/>
    <w:rsid w:val="00A606D7"/>
    <w:rsid w:val="00A606DB"/>
    <w:rsid w:val="00A60773"/>
    <w:rsid w:val="00A60792"/>
    <w:rsid w:val="00A607F5"/>
    <w:rsid w:val="00A608E8"/>
    <w:rsid w:val="00A60909"/>
    <w:rsid w:val="00A60913"/>
    <w:rsid w:val="00A60997"/>
    <w:rsid w:val="00A60ADD"/>
    <w:rsid w:val="00A60ADE"/>
    <w:rsid w:val="00A60B63"/>
    <w:rsid w:val="00A60C95"/>
    <w:rsid w:val="00A60CF4"/>
    <w:rsid w:val="00A60D0E"/>
    <w:rsid w:val="00A60DA1"/>
    <w:rsid w:val="00A60EF5"/>
    <w:rsid w:val="00A60F52"/>
    <w:rsid w:val="00A611F5"/>
    <w:rsid w:val="00A61239"/>
    <w:rsid w:val="00A61301"/>
    <w:rsid w:val="00A61395"/>
    <w:rsid w:val="00A614BA"/>
    <w:rsid w:val="00A615C7"/>
    <w:rsid w:val="00A6161E"/>
    <w:rsid w:val="00A6164D"/>
    <w:rsid w:val="00A61736"/>
    <w:rsid w:val="00A618E3"/>
    <w:rsid w:val="00A61A2C"/>
    <w:rsid w:val="00A61A54"/>
    <w:rsid w:val="00A61ABB"/>
    <w:rsid w:val="00A61BBD"/>
    <w:rsid w:val="00A61C89"/>
    <w:rsid w:val="00A61CE6"/>
    <w:rsid w:val="00A61D32"/>
    <w:rsid w:val="00A61D99"/>
    <w:rsid w:val="00A61DD7"/>
    <w:rsid w:val="00A61DE3"/>
    <w:rsid w:val="00A61DFE"/>
    <w:rsid w:val="00A61E67"/>
    <w:rsid w:val="00A61EC9"/>
    <w:rsid w:val="00A61F79"/>
    <w:rsid w:val="00A61FE9"/>
    <w:rsid w:val="00A62002"/>
    <w:rsid w:val="00A6200B"/>
    <w:rsid w:val="00A62022"/>
    <w:rsid w:val="00A62062"/>
    <w:rsid w:val="00A621B1"/>
    <w:rsid w:val="00A622A1"/>
    <w:rsid w:val="00A6230A"/>
    <w:rsid w:val="00A62425"/>
    <w:rsid w:val="00A62479"/>
    <w:rsid w:val="00A62526"/>
    <w:rsid w:val="00A6286E"/>
    <w:rsid w:val="00A628E7"/>
    <w:rsid w:val="00A6291F"/>
    <w:rsid w:val="00A62A06"/>
    <w:rsid w:val="00A62B92"/>
    <w:rsid w:val="00A62C7D"/>
    <w:rsid w:val="00A62D31"/>
    <w:rsid w:val="00A62D54"/>
    <w:rsid w:val="00A62E1F"/>
    <w:rsid w:val="00A62F9C"/>
    <w:rsid w:val="00A631A4"/>
    <w:rsid w:val="00A63239"/>
    <w:rsid w:val="00A6333F"/>
    <w:rsid w:val="00A63588"/>
    <w:rsid w:val="00A6359D"/>
    <w:rsid w:val="00A635D9"/>
    <w:rsid w:val="00A63643"/>
    <w:rsid w:val="00A636C5"/>
    <w:rsid w:val="00A6378A"/>
    <w:rsid w:val="00A63798"/>
    <w:rsid w:val="00A637BF"/>
    <w:rsid w:val="00A6396C"/>
    <w:rsid w:val="00A63970"/>
    <w:rsid w:val="00A639DE"/>
    <w:rsid w:val="00A63A5F"/>
    <w:rsid w:val="00A63B7D"/>
    <w:rsid w:val="00A63CBE"/>
    <w:rsid w:val="00A63CE9"/>
    <w:rsid w:val="00A63D37"/>
    <w:rsid w:val="00A63E83"/>
    <w:rsid w:val="00A63EE3"/>
    <w:rsid w:val="00A63EF6"/>
    <w:rsid w:val="00A63EFA"/>
    <w:rsid w:val="00A63FC9"/>
    <w:rsid w:val="00A63FE4"/>
    <w:rsid w:val="00A64024"/>
    <w:rsid w:val="00A641DA"/>
    <w:rsid w:val="00A642A6"/>
    <w:rsid w:val="00A64334"/>
    <w:rsid w:val="00A643DD"/>
    <w:rsid w:val="00A644D6"/>
    <w:rsid w:val="00A64501"/>
    <w:rsid w:val="00A645BA"/>
    <w:rsid w:val="00A64810"/>
    <w:rsid w:val="00A64B52"/>
    <w:rsid w:val="00A64BF0"/>
    <w:rsid w:val="00A64C4C"/>
    <w:rsid w:val="00A64D57"/>
    <w:rsid w:val="00A64D8D"/>
    <w:rsid w:val="00A64E66"/>
    <w:rsid w:val="00A65023"/>
    <w:rsid w:val="00A65065"/>
    <w:rsid w:val="00A650C7"/>
    <w:rsid w:val="00A65141"/>
    <w:rsid w:val="00A6515F"/>
    <w:rsid w:val="00A6517C"/>
    <w:rsid w:val="00A651B9"/>
    <w:rsid w:val="00A6521C"/>
    <w:rsid w:val="00A65236"/>
    <w:rsid w:val="00A6527E"/>
    <w:rsid w:val="00A65371"/>
    <w:rsid w:val="00A6546A"/>
    <w:rsid w:val="00A6548B"/>
    <w:rsid w:val="00A654AF"/>
    <w:rsid w:val="00A654B0"/>
    <w:rsid w:val="00A65543"/>
    <w:rsid w:val="00A656B4"/>
    <w:rsid w:val="00A6572B"/>
    <w:rsid w:val="00A65766"/>
    <w:rsid w:val="00A65856"/>
    <w:rsid w:val="00A65A4B"/>
    <w:rsid w:val="00A65A4C"/>
    <w:rsid w:val="00A65C51"/>
    <w:rsid w:val="00A65CCF"/>
    <w:rsid w:val="00A65CDB"/>
    <w:rsid w:val="00A65D9F"/>
    <w:rsid w:val="00A65E58"/>
    <w:rsid w:val="00A65E71"/>
    <w:rsid w:val="00A65F04"/>
    <w:rsid w:val="00A65F8A"/>
    <w:rsid w:val="00A65FD6"/>
    <w:rsid w:val="00A65FEA"/>
    <w:rsid w:val="00A66048"/>
    <w:rsid w:val="00A660E7"/>
    <w:rsid w:val="00A6616F"/>
    <w:rsid w:val="00A66183"/>
    <w:rsid w:val="00A661A9"/>
    <w:rsid w:val="00A661AA"/>
    <w:rsid w:val="00A661D0"/>
    <w:rsid w:val="00A664C3"/>
    <w:rsid w:val="00A66569"/>
    <w:rsid w:val="00A665F2"/>
    <w:rsid w:val="00A66662"/>
    <w:rsid w:val="00A66667"/>
    <w:rsid w:val="00A66675"/>
    <w:rsid w:val="00A666B8"/>
    <w:rsid w:val="00A666D3"/>
    <w:rsid w:val="00A66733"/>
    <w:rsid w:val="00A667A2"/>
    <w:rsid w:val="00A66858"/>
    <w:rsid w:val="00A66864"/>
    <w:rsid w:val="00A668C0"/>
    <w:rsid w:val="00A66923"/>
    <w:rsid w:val="00A66945"/>
    <w:rsid w:val="00A66BD6"/>
    <w:rsid w:val="00A66C3D"/>
    <w:rsid w:val="00A66E41"/>
    <w:rsid w:val="00A66F49"/>
    <w:rsid w:val="00A67017"/>
    <w:rsid w:val="00A6706C"/>
    <w:rsid w:val="00A6709E"/>
    <w:rsid w:val="00A670EC"/>
    <w:rsid w:val="00A67162"/>
    <w:rsid w:val="00A671A1"/>
    <w:rsid w:val="00A671B9"/>
    <w:rsid w:val="00A6721B"/>
    <w:rsid w:val="00A672B9"/>
    <w:rsid w:val="00A672E2"/>
    <w:rsid w:val="00A67481"/>
    <w:rsid w:val="00A6756A"/>
    <w:rsid w:val="00A67588"/>
    <w:rsid w:val="00A675B7"/>
    <w:rsid w:val="00A675B9"/>
    <w:rsid w:val="00A675E8"/>
    <w:rsid w:val="00A675F4"/>
    <w:rsid w:val="00A677D8"/>
    <w:rsid w:val="00A6783B"/>
    <w:rsid w:val="00A678CE"/>
    <w:rsid w:val="00A678DB"/>
    <w:rsid w:val="00A679DE"/>
    <w:rsid w:val="00A67AB9"/>
    <w:rsid w:val="00A67AC7"/>
    <w:rsid w:val="00A67B5C"/>
    <w:rsid w:val="00A67B8D"/>
    <w:rsid w:val="00A67DB0"/>
    <w:rsid w:val="00A67DC9"/>
    <w:rsid w:val="00A67ECD"/>
    <w:rsid w:val="00A67F14"/>
    <w:rsid w:val="00A67FC1"/>
    <w:rsid w:val="00A67FD9"/>
    <w:rsid w:val="00A700F9"/>
    <w:rsid w:val="00A7015C"/>
    <w:rsid w:val="00A701AB"/>
    <w:rsid w:val="00A701C8"/>
    <w:rsid w:val="00A7022F"/>
    <w:rsid w:val="00A703B8"/>
    <w:rsid w:val="00A703DD"/>
    <w:rsid w:val="00A70506"/>
    <w:rsid w:val="00A70507"/>
    <w:rsid w:val="00A7051E"/>
    <w:rsid w:val="00A70665"/>
    <w:rsid w:val="00A706E6"/>
    <w:rsid w:val="00A7076B"/>
    <w:rsid w:val="00A7079C"/>
    <w:rsid w:val="00A707FB"/>
    <w:rsid w:val="00A7091B"/>
    <w:rsid w:val="00A70961"/>
    <w:rsid w:val="00A709E3"/>
    <w:rsid w:val="00A70A56"/>
    <w:rsid w:val="00A70B8A"/>
    <w:rsid w:val="00A70BFF"/>
    <w:rsid w:val="00A70DA0"/>
    <w:rsid w:val="00A70F40"/>
    <w:rsid w:val="00A70F7D"/>
    <w:rsid w:val="00A70F9B"/>
    <w:rsid w:val="00A71111"/>
    <w:rsid w:val="00A71127"/>
    <w:rsid w:val="00A711E8"/>
    <w:rsid w:val="00A71200"/>
    <w:rsid w:val="00A71214"/>
    <w:rsid w:val="00A71327"/>
    <w:rsid w:val="00A71383"/>
    <w:rsid w:val="00A713B0"/>
    <w:rsid w:val="00A713D7"/>
    <w:rsid w:val="00A713DC"/>
    <w:rsid w:val="00A713F8"/>
    <w:rsid w:val="00A714A0"/>
    <w:rsid w:val="00A715BD"/>
    <w:rsid w:val="00A715EE"/>
    <w:rsid w:val="00A71697"/>
    <w:rsid w:val="00A716F1"/>
    <w:rsid w:val="00A71874"/>
    <w:rsid w:val="00A719DF"/>
    <w:rsid w:val="00A71B43"/>
    <w:rsid w:val="00A71B74"/>
    <w:rsid w:val="00A71B84"/>
    <w:rsid w:val="00A71CBE"/>
    <w:rsid w:val="00A71CCA"/>
    <w:rsid w:val="00A71D3D"/>
    <w:rsid w:val="00A71DAE"/>
    <w:rsid w:val="00A71E11"/>
    <w:rsid w:val="00A71E1F"/>
    <w:rsid w:val="00A71E52"/>
    <w:rsid w:val="00A71E6C"/>
    <w:rsid w:val="00A71E76"/>
    <w:rsid w:val="00A71F15"/>
    <w:rsid w:val="00A71F2F"/>
    <w:rsid w:val="00A71F71"/>
    <w:rsid w:val="00A71FAC"/>
    <w:rsid w:val="00A7209B"/>
    <w:rsid w:val="00A72386"/>
    <w:rsid w:val="00A724EF"/>
    <w:rsid w:val="00A7254C"/>
    <w:rsid w:val="00A725FF"/>
    <w:rsid w:val="00A726D4"/>
    <w:rsid w:val="00A72853"/>
    <w:rsid w:val="00A72888"/>
    <w:rsid w:val="00A728D6"/>
    <w:rsid w:val="00A728FC"/>
    <w:rsid w:val="00A72960"/>
    <w:rsid w:val="00A72A6F"/>
    <w:rsid w:val="00A72A7D"/>
    <w:rsid w:val="00A72AB0"/>
    <w:rsid w:val="00A72B0B"/>
    <w:rsid w:val="00A72B4A"/>
    <w:rsid w:val="00A72BFB"/>
    <w:rsid w:val="00A72C7E"/>
    <w:rsid w:val="00A72CBC"/>
    <w:rsid w:val="00A72CDD"/>
    <w:rsid w:val="00A72D0A"/>
    <w:rsid w:val="00A72E1D"/>
    <w:rsid w:val="00A72E3B"/>
    <w:rsid w:val="00A72E4B"/>
    <w:rsid w:val="00A72EBB"/>
    <w:rsid w:val="00A72EE1"/>
    <w:rsid w:val="00A72F22"/>
    <w:rsid w:val="00A73122"/>
    <w:rsid w:val="00A73359"/>
    <w:rsid w:val="00A7343F"/>
    <w:rsid w:val="00A73529"/>
    <w:rsid w:val="00A7358E"/>
    <w:rsid w:val="00A735D1"/>
    <w:rsid w:val="00A73635"/>
    <w:rsid w:val="00A736AA"/>
    <w:rsid w:val="00A736DC"/>
    <w:rsid w:val="00A7373C"/>
    <w:rsid w:val="00A73785"/>
    <w:rsid w:val="00A7383B"/>
    <w:rsid w:val="00A738AB"/>
    <w:rsid w:val="00A738E6"/>
    <w:rsid w:val="00A738F8"/>
    <w:rsid w:val="00A73A57"/>
    <w:rsid w:val="00A73A8D"/>
    <w:rsid w:val="00A73AB2"/>
    <w:rsid w:val="00A73B95"/>
    <w:rsid w:val="00A73CBE"/>
    <w:rsid w:val="00A73D63"/>
    <w:rsid w:val="00A73E6F"/>
    <w:rsid w:val="00A73E73"/>
    <w:rsid w:val="00A73F06"/>
    <w:rsid w:val="00A74021"/>
    <w:rsid w:val="00A74134"/>
    <w:rsid w:val="00A74150"/>
    <w:rsid w:val="00A74184"/>
    <w:rsid w:val="00A7420E"/>
    <w:rsid w:val="00A74239"/>
    <w:rsid w:val="00A7423C"/>
    <w:rsid w:val="00A742B0"/>
    <w:rsid w:val="00A743E8"/>
    <w:rsid w:val="00A7453F"/>
    <w:rsid w:val="00A74545"/>
    <w:rsid w:val="00A745A8"/>
    <w:rsid w:val="00A747F5"/>
    <w:rsid w:val="00A748CE"/>
    <w:rsid w:val="00A74911"/>
    <w:rsid w:val="00A7495E"/>
    <w:rsid w:val="00A749DF"/>
    <w:rsid w:val="00A749E5"/>
    <w:rsid w:val="00A74A1E"/>
    <w:rsid w:val="00A74B0A"/>
    <w:rsid w:val="00A74B11"/>
    <w:rsid w:val="00A74C94"/>
    <w:rsid w:val="00A74CA2"/>
    <w:rsid w:val="00A74FEE"/>
    <w:rsid w:val="00A750A3"/>
    <w:rsid w:val="00A750AC"/>
    <w:rsid w:val="00A75136"/>
    <w:rsid w:val="00A75147"/>
    <w:rsid w:val="00A751E6"/>
    <w:rsid w:val="00A7521E"/>
    <w:rsid w:val="00A7526C"/>
    <w:rsid w:val="00A75318"/>
    <w:rsid w:val="00A75419"/>
    <w:rsid w:val="00A7549B"/>
    <w:rsid w:val="00A75562"/>
    <w:rsid w:val="00A75600"/>
    <w:rsid w:val="00A75757"/>
    <w:rsid w:val="00A75764"/>
    <w:rsid w:val="00A75790"/>
    <w:rsid w:val="00A75811"/>
    <w:rsid w:val="00A7581D"/>
    <w:rsid w:val="00A758F0"/>
    <w:rsid w:val="00A75A88"/>
    <w:rsid w:val="00A75B18"/>
    <w:rsid w:val="00A75C15"/>
    <w:rsid w:val="00A75D6E"/>
    <w:rsid w:val="00A75DD9"/>
    <w:rsid w:val="00A75E86"/>
    <w:rsid w:val="00A75ED9"/>
    <w:rsid w:val="00A75F38"/>
    <w:rsid w:val="00A75F65"/>
    <w:rsid w:val="00A76059"/>
    <w:rsid w:val="00A7606F"/>
    <w:rsid w:val="00A760C5"/>
    <w:rsid w:val="00A760DA"/>
    <w:rsid w:val="00A762A2"/>
    <w:rsid w:val="00A76328"/>
    <w:rsid w:val="00A7639E"/>
    <w:rsid w:val="00A76421"/>
    <w:rsid w:val="00A76579"/>
    <w:rsid w:val="00A765F2"/>
    <w:rsid w:val="00A766E3"/>
    <w:rsid w:val="00A76701"/>
    <w:rsid w:val="00A7679A"/>
    <w:rsid w:val="00A767AF"/>
    <w:rsid w:val="00A767F9"/>
    <w:rsid w:val="00A76A42"/>
    <w:rsid w:val="00A76A4E"/>
    <w:rsid w:val="00A76C2F"/>
    <w:rsid w:val="00A76DCD"/>
    <w:rsid w:val="00A76DDA"/>
    <w:rsid w:val="00A76E1E"/>
    <w:rsid w:val="00A76E72"/>
    <w:rsid w:val="00A76EB6"/>
    <w:rsid w:val="00A76EFC"/>
    <w:rsid w:val="00A76F36"/>
    <w:rsid w:val="00A76FE8"/>
    <w:rsid w:val="00A76FED"/>
    <w:rsid w:val="00A770E2"/>
    <w:rsid w:val="00A7711A"/>
    <w:rsid w:val="00A77149"/>
    <w:rsid w:val="00A77210"/>
    <w:rsid w:val="00A772E4"/>
    <w:rsid w:val="00A772F4"/>
    <w:rsid w:val="00A77368"/>
    <w:rsid w:val="00A7738E"/>
    <w:rsid w:val="00A773A7"/>
    <w:rsid w:val="00A773C3"/>
    <w:rsid w:val="00A7744C"/>
    <w:rsid w:val="00A774EF"/>
    <w:rsid w:val="00A77547"/>
    <w:rsid w:val="00A77716"/>
    <w:rsid w:val="00A77741"/>
    <w:rsid w:val="00A77763"/>
    <w:rsid w:val="00A7776E"/>
    <w:rsid w:val="00A7784D"/>
    <w:rsid w:val="00A7796C"/>
    <w:rsid w:val="00A77B34"/>
    <w:rsid w:val="00A77B3E"/>
    <w:rsid w:val="00A77C35"/>
    <w:rsid w:val="00A77C3D"/>
    <w:rsid w:val="00A77C83"/>
    <w:rsid w:val="00A77CC5"/>
    <w:rsid w:val="00A77E54"/>
    <w:rsid w:val="00A77EB9"/>
    <w:rsid w:val="00A77FC2"/>
    <w:rsid w:val="00A8044F"/>
    <w:rsid w:val="00A804B2"/>
    <w:rsid w:val="00A805A4"/>
    <w:rsid w:val="00A806FF"/>
    <w:rsid w:val="00A807A3"/>
    <w:rsid w:val="00A8083C"/>
    <w:rsid w:val="00A8088F"/>
    <w:rsid w:val="00A808D1"/>
    <w:rsid w:val="00A808E1"/>
    <w:rsid w:val="00A80935"/>
    <w:rsid w:val="00A8093A"/>
    <w:rsid w:val="00A809F1"/>
    <w:rsid w:val="00A809FF"/>
    <w:rsid w:val="00A80A63"/>
    <w:rsid w:val="00A80AD8"/>
    <w:rsid w:val="00A80B03"/>
    <w:rsid w:val="00A80B90"/>
    <w:rsid w:val="00A80C1F"/>
    <w:rsid w:val="00A80C55"/>
    <w:rsid w:val="00A80D83"/>
    <w:rsid w:val="00A80E61"/>
    <w:rsid w:val="00A80E82"/>
    <w:rsid w:val="00A80EDD"/>
    <w:rsid w:val="00A81079"/>
    <w:rsid w:val="00A81127"/>
    <w:rsid w:val="00A8136D"/>
    <w:rsid w:val="00A813C4"/>
    <w:rsid w:val="00A8149B"/>
    <w:rsid w:val="00A815A0"/>
    <w:rsid w:val="00A815E4"/>
    <w:rsid w:val="00A81701"/>
    <w:rsid w:val="00A817D1"/>
    <w:rsid w:val="00A81A1B"/>
    <w:rsid w:val="00A81A3E"/>
    <w:rsid w:val="00A81A4C"/>
    <w:rsid w:val="00A81A68"/>
    <w:rsid w:val="00A81B18"/>
    <w:rsid w:val="00A81BFB"/>
    <w:rsid w:val="00A81C0F"/>
    <w:rsid w:val="00A81D11"/>
    <w:rsid w:val="00A81E72"/>
    <w:rsid w:val="00A81FD6"/>
    <w:rsid w:val="00A8209A"/>
    <w:rsid w:val="00A821D3"/>
    <w:rsid w:val="00A822F7"/>
    <w:rsid w:val="00A825D8"/>
    <w:rsid w:val="00A82747"/>
    <w:rsid w:val="00A827DE"/>
    <w:rsid w:val="00A8288F"/>
    <w:rsid w:val="00A82893"/>
    <w:rsid w:val="00A829A0"/>
    <w:rsid w:val="00A829CD"/>
    <w:rsid w:val="00A82B8A"/>
    <w:rsid w:val="00A82BA2"/>
    <w:rsid w:val="00A82BCB"/>
    <w:rsid w:val="00A82CD2"/>
    <w:rsid w:val="00A83124"/>
    <w:rsid w:val="00A831E4"/>
    <w:rsid w:val="00A83213"/>
    <w:rsid w:val="00A83279"/>
    <w:rsid w:val="00A832DC"/>
    <w:rsid w:val="00A832E7"/>
    <w:rsid w:val="00A8343A"/>
    <w:rsid w:val="00A83445"/>
    <w:rsid w:val="00A8350E"/>
    <w:rsid w:val="00A8356E"/>
    <w:rsid w:val="00A835F0"/>
    <w:rsid w:val="00A83606"/>
    <w:rsid w:val="00A836AD"/>
    <w:rsid w:val="00A83892"/>
    <w:rsid w:val="00A83922"/>
    <w:rsid w:val="00A83A15"/>
    <w:rsid w:val="00A83A69"/>
    <w:rsid w:val="00A83A9E"/>
    <w:rsid w:val="00A83AA6"/>
    <w:rsid w:val="00A83AD9"/>
    <w:rsid w:val="00A83C65"/>
    <w:rsid w:val="00A83C7B"/>
    <w:rsid w:val="00A83C94"/>
    <w:rsid w:val="00A83CCD"/>
    <w:rsid w:val="00A83E1B"/>
    <w:rsid w:val="00A83F40"/>
    <w:rsid w:val="00A83F48"/>
    <w:rsid w:val="00A841F4"/>
    <w:rsid w:val="00A841F6"/>
    <w:rsid w:val="00A8424C"/>
    <w:rsid w:val="00A8436F"/>
    <w:rsid w:val="00A8438B"/>
    <w:rsid w:val="00A843CC"/>
    <w:rsid w:val="00A8448B"/>
    <w:rsid w:val="00A844A3"/>
    <w:rsid w:val="00A8464A"/>
    <w:rsid w:val="00A84782"/>
    <w:rsid w:val="00A8486C"/>
    <w:rsid w:val="00A848C5"/>
    <w:rsid w:val="00A84A96"/>
    <w:rsid w:val="00A84AB5"/>
    <w:rsid w:val="00A84BA9"/>
    <w:rsid w:val="00A84BED"/>
    <w:rsid w:val="00A84C25"/>
    <w:rsid w:val="00A84DA1"/>
    <w:rsid w:val="00A84DA5"/>
    <w:rsid w:val="00A84F0E"/>
    <w:rsid w:val="00A84F20"/>
    <w:rsid w:val="00A84F84"/>
    <w:rsid w:val="00A850A3"/>
    <w:rsid w:val="00A8529C"/>
    <w:rsid w:val="00A852DB"/>
    <w:rsid w:val="00A85344"/>
    <w:rsid w:val="00A8540C"/>
    <w:rsid w:val="00A85458"/>
    <w:rsid w:val="00A8548C"/>
    <w:rsid w:val="00A85494"/>
    <w:rsid w:val="00A857ED"/>
    <w:rsid w:val="00A8596C"/>
    <w:rsid w:val="00A859FA"/>
    <w:rsid w:val="00A859FB"/>
    <w:rsid w:val="00A85A5A"/>
    <w:rsid w:val="00A85AFE"/>
    <w:rsid w:val="00A85B3A"/>
    <w:rsid w:val="00A85C8F"/>
    <w:rsid w:val="00A85D53"/>
    <w:rsid w:val="00A85D8C"/>
    <w:rsid w:val="00A85E70"/>
    <w:rsid w:val="00A85E7B"/>
    <w:rsid w:val="00A85EF9"/>
    <w:rsid w:val="00A85F5D"/>
    <w:rsid w:val="00A85F6D"/>
    <w:rsid w:val="00A86069"/>
    <w:rsid w:val="00A86166"/>
    <w:rsid w:val="00A862B3"/>
    <w:rsid w:val="00A86506"/>
    <w:rsid w:val="00A865B1"/>
    <w:rsid w:val="00A866A7"/>
    <w:rsid w:val="00A86757"/>
    <w:rsid w:val="00A86774"/>
    <w:rsid w:val="00A867A4"/>
    <w:rsid w:val="00A867EF"/>
    <w:rsid w:val="00A86AFC"/>
    <w:rsid w:val="00A86BA2"/>
    <w:rsid w:val="00A86C2C"/>
    <w:rsid w:val="00A86C88"/>
    <w:rsid w:val="00A86DD4"/>
    <w:rsid w:val="00A86E1F"/>
    <w:rsid w:val="00A86EE3"/>
    <w:rsid w:val="00A86EE5"/>
    <w:rsid w:val="00A86F32"/>
    <w:rsid w:val="00A86F8B"/>
    <w:rsid w:val="00A870BD"/>
    <w:rsid w:val="00A8715B"/>
    <w:rsid w:val="00A87214"/>
    <w:rsid w:val="00A87287"/>
    <w:rsid w:val="00A87336"/>
    <w:rsid w:val="00A8734F"/>
    <w:rsid w:val="00A873D0"/>
    <w:rsid w:val="00A87469"/>
    <w:rsid w:val="00A874EE"/>
    <w:rsid w:val="00A87572"/>
    <w:rsid w:val="00A87595"/>
    <w:rsid w:val="00A875DF"/>
    <w:rsid w:val="00A87630"/>
    <w:rsid w:val="00A8766D"/>
    <w:rsid w:val="00A87816"/>
    <w:rsid w:val="00A87967"/>
    <w:rsid w:val="00A87978"/>
    <w:rsid w:val="00A8799C"/>
    <w:rsid w:val="00A87A6D"/>
    <w:rsid w:val="00A87B44"/>
    <w:rsid w:val="00A87CA0"/>
    <w:rsid w:val="00A87CD5"/>
    <w:rsid w:val="00A87E63"/>
    <w:rsid w:val="00A87F4A"/>
    <w:rsid w:val="00A87FFC"/>
    <w:rsid w:val="00A90029"/>
    <w:rsid w:val="00A90041"/>
    <w:rsid w:val="00A90279"/>
    <w:rsid w:val="00A90291"/>
    <w:rsid w:val="00A902C3"/>
    <w:rsid w:val="00A903BB"/>
    <w:rsid w:val="00A904BC"/>
    <w:rsid w:val="00A904F5"/>
    <w:rsid w:val="00A90506"/>
    <w:rsid w:val="00A90536"/>
    <w:rsid w:val="00A90540"/>
    <w:rsid w:val="00A9072E"/>
    <w:rsid w:val="00A90A12"/>
    <w:rsid w:val="00A90A14"/>
    <w:rsid w:val="00A90A28"/>
    <w:rsid w:val="00A90A39"/>
    <w:rsid w:val="00A90BA7"/>
    <w:rsid w:val="00A90C0B"/>
    <w:rsid w:val="00A90D49"/>
    <w:rsid w:val="00A90DDD"/>
    <w:rsid w:val="00A90EE6"/>
    <w:rsid w:val="00A910B3"/>
    <w:rsid w:val="00A91160"/>
    <w:rsid w:val="00A911A2"/>
    <w:rsid w:val="00A911AF"/>
    <w:rsid w:val="00A912AA"/>
    <w:rsid w:val="00A9136B"/>
    <w:rsid w:val="00A913F0"/>
    <w:rsid w:val="00A9153D"/>
    <w:rsid w:val="00A91778"/>
    <w:rsid w:val="00A9177C"/>
    <w:rsid w:val="00A91805"/>
    <w:rsid w:val="00A918B5"/>
    <w:rsid w:val="00A91901"/>
    <w:rsid w:val="00A919D7"/>
    <w:rsid w:val="00A91A58"/>
    <w:rsid w:val="00A91AC3"/>
    <w:rsid w:val="00A91BCB"/>
    <w:rsid w:val="00A91C43"/>
    <w:rsid w:val="00A91DFA"/>
    <w:rsid w:val="00A91E31"/>
    <w:rsid w:val="00A91E96"/>
    <w:rsid w:val="00A91F13"/>
    <w:rsid w:val="00A91F64"/>
    <w:rsid w:val="00A91FAF"/>
    <w:rsid w:val="00A92021"/>
    <w:rsid w:val="00A92026"/>
    <w:rsid w:val="00A9202F"/>
    <w:rsid w:val="00A920A1"/>
    <w:rsid w:val="00A920BD"/>
    <w:rsid w:val="00A92123"/>
    <w:rsid w:val="00A921F1"/>
    <w:rsid w:val="00A92275"/>
    <w:rsid w:val="00A922BA"/>
    <w:rsid w:val="00A92307"/>
    <w:rsid w:val="00A923AE"/>
    <w:rsid w:val="00A923F4"/>
    <w:rsid w:val="00A924E2"/>
    <w:rsid w:val="00A92598"/>
    <w:rsid w:val="00A92962"/>
    <w:rsid w:val="00A92A44"/>
    <w:rsid w:val="00A92B62"/>
    <w:rsid w:val="00A92BAA"/>
    <w:rsid w:val="00A92C02"/>
    <w:rsid w:val="00A92CB7"/>
    <w:rsid w:val="00A92DE5"/>
    <w:rsid w:val="00A92F84"/>
    <w:rsid w:val="00A92FC0"/>
    <w:rsid w:val="00A9302A"/>
    <w:rsid w:val="00A930F3"/>
    <w:rsid w:val="00A93149"/>
    <w:rsid w:val="00A9317C"/>
    <w:rsid w:val="00A931E7"/>
    <w:rsid w:val="00A93236"/>
    <w:rsid w:val="00A932BB"/>
    <w:rsid w:val="00A9350A"/>
    <w:rsid w:val="00A937D6"/>
    <w:rsid w:val="00A93943"/>
    <w:rsid w:val="00A93A43"/>
    <w:rsid w:val="00A93B70"/>
    <w:rsid w:val="00A93C92"/>
    <w:rsid w:val="00A93DDD"/>
    <w:rsid w:val="00A93EEE"/>
    <w:rsid w:val="00A93FA3"/>
    <w:rsid w:val="00A940C4"/>
    <w:rsid w:val="00A940C6"/>
    <w:rsid w:val="00A940D2"/>
    <w:rsid w:val="00A941E6"/>
    <w:rsid w:val="00A9430C"/>
    <w:rsid w:val="00A9433F"/>
    <w:rsid w:val="00A94378"/>
    <w:rsid w:val="00A943D1"/>
    <w:rsid w:val="00A9442F"/>
    <w:rsid w:val="00A945EF"/>
    <w:rsid w:val="00A9461D"/>
    <w:rsid w:val="00A946D1"/>
    <w:rsid w:val="00A9490E"/>
    <w:rsid w:val="00A94A86"/>
    <w:rsid w:val="00A94B93"/>
    <w:rsid w:val="00A94C14"/>
    <w:rsid w:val="00A94C24"/>
    <w:rsid w:val="00A94C7A"/>
    <w:rsid w:val="00A94D30"/>
    <w:rsid w:val="00A94D62"/>
    <w:rsid w:val="00A94DDD"/>
    <w:rsid w:val="00A94EC4"/>
    <w:rsid w:val="00A94F30"/>
    <w:rsid w:val="00A94FEF"/>
    <w:rsid w:val="00A9505B"/>
    <w:rsid w:val="00A9506F"/>
    <w:rsid w:val="00A9512D"/>
    <w:rsid w:val="00A952DF"/>
    <w:rsid w:val="00A95390"/>
    <w:rsid w:val="00A953D4"/>
    <w:rsid w:val="00A955F8"/>
    <w:rsid w:val="00A9561B"/>
    <w:rsid w:val="00A95652"/>
    <w:rsid w:val="00A95673"/>
    <w:rsid w:val="00A956A7"/>
    <w:rsid w:val="00A956AC"/>
    <w:rsid w:val="00A956D9"/>
    <w:rsid w:val="00A957F5"/>
    <w:rsid w:val="00A95868"/>
    <w:rsid w:val="00A9589E"/>
    <w:rsid w:val="00A95991"/>
    <w:rsid w:val="00A959A2"/>
    <w:rsid w:val="00A959F4"/>
    <w:rsid w:val="00A95BE6"/>
    <w:rsid w:val="00A95C93"/>
    <w:rsid w:val="00A95D8C"/>
    <w:rsid w:val="00A95DBC"/>
    <w:rsid w:val="00A95DEC"/>
    <w:rsid w:val="00A95E1F"/>
    <w:rsid w:val="00A95F6E"/>
    <w:rsid w:val="00A95FD1"/>
    <w:rsid w:val="00A9616D"/>
    <w:rsid w:val="00A962E2"/>
    <w:rsid w:val="00A9663F"/>
    <w:rsid w:val="00A9667E"/>
    <w:rsid w:val="00A966C5"/>
    <w:rsid w:val="00A966C7"/>
    <w:rsid w:val="00A9671B"/>
    <w:rsid w:val="00A96771"/>
    <w:rsid w:val="00A968C7"/>
    <w:rsid w:val="00A96962"/>
    <w:rsid w:val="00A96A05"/>
    <w:rsid w:val="00A96C78"/>
    <w:rsid w:val="00A96DB4"/>
    <w:rsid w:val="00A96E4A"/>
    <w:rsid w:val="00A96EF4"/>
    <w:rsid w:val="00A96F7B"/>
    <w:rsid w:val="00A96F90"/>
    <w:rsid w:val="00A9705B"/>
    <w:rsid w:val="00A971B0"/>
    <w:rsid w:val="00A97258"/>
    <w:rsid w:val="00A97308"/>
    <w:rsid w:val="00A97344"/>
    <w:rsid w:val="00A97372"/>
    <w:rsid w:val="00A97397"/>
    <w:rsid w:val="00A9756E"/>
    <w:rsid w:val="00A9766F"/>
    <w:rsid w:val="00A9793E"/>
    <w:rsid w:val="00A979DC"/>
    <w:rsid w:val="00A97A1C"/>
    <w:rsid w:val="00A97C44"/>
    <w:rsid w:val="00A97CFB"/>
    <w:rsid w:val="00A97D0F"/>
    <w:rsid w:val="00A97E4B"/>
    <w:rsid w:val="00A97F65"/>
    <w:rsid w:val="00AA0052"/>
    <w:rsid w:val="00AA0083"/>
    <w:rsid w:val="00AA0231"/>
    <w:rsid w:val="00AA0232"/>
    <w:rsid w:val="00AA0318"/>
    <w:rsid w:val="00AA03A3"/>
    <w:rsid w:val="00AA0466"/>
    <w:rsid w:val="00AA06DA"/>
    <w:rsid w:val="00AA09D3"/>
    <w:rsid w:val="00AA0AA0"/>
    <w:rsid w:val="00AA0AFB"/>
    <w:rsid w:val="00AA0B6E"/>
    <w:rsid w:val="00AA0BC6"/>
    <w:rsid w:val="00AA0BE2"/>
    <w:rsid w:val="00AA0C68"/>
    <w:rsid w:val="00AA0C93"/>
    <w:rsid w:val="00AA0CA7"/>
    <w:rsid w:val="00AA0CC1"/>
    <w:rsid w:val="00AA0CC4"/>
    <w:rsid w:val="00AA0D41"/>
    <w:rsid w:val="00AA0ED2"/>
    <w:rsid w:val="00AA0FA7"/>
    <w:rsid w:val="00AA111C"/>
    <w:rsid w:val="00AA1149"/>
    <w:rsid w:val="00AA11B5"/>
    <w:rsid w:val="00AA12F3"/>
    <w:rsid w:val="00AA13EA"/>
    <w:rsid w:val="00AA13F6"/>
    <w:rsid w:val="00AA1456"/>
    <w:rsid w:val="00AA1483"/>
    <w:rsid w:val="00AA163B"/>
    <w:rsid w:val="00AA16EB"/>
    <w:rsid w:val="00AA1731"/>
    <w:rsid w:val="00AA1754"/>
    <w:rsid w:val="00AA177E"/>
    <w:rsid w:val="00AA17CB"/>
    <w:rsid w:val="00AA188E"/>
    <w:rsid w:val="00AA18FA"/>
    <w:rsid w:val="00AA1941"/>
    <w:rsid w:val="00AA19B7"/>
    <w:rsid w:val="00AA1A13"/>
    <w:rsid w:val="00AA1AE8"/>
    <w:rsid w:val="00AA1B1A"/>
    <w:rsid w:val="00AA1CD7"/>
    <w:rsid w:val="00AA1CF6"/>
    <w:rsid w:val="00AA1D1E"/>
    <w:rsid w:val="00AA1D6E"/>
    <w:rsid w:val="00AA1E3A"/>
    <w:rsid w:val="00AA1E60"/>
    <w:rsid w:val="00AA1EC9"/>
    <w:rsid w:val="00AA1EDA"/>
    <w:rsid w:val="00AA1EF2"/>
    <w:rsid w:val="00AA1F34"/>
    <w:rsid w:val="00AA1FC3"/>
    <w:rsid w:val="00AA2067"/>
    <w:rsid w:val="00AA20C2"/>
    <w:rsid w:val="00AA219D"/>
    <w:rsid w:val="00AA21B2"/>
    <w:rsid w:val="00AA21C0"/>
    <w:rsid w:val="00AA2253"/>
    <w:rsid w:val="00AA23DE"/>
    <w:rsid w:val="00AA23E3"/>
    <w:rsid w:val="00AA2422"/>
    <w:rsid w:val="00AA249E"/>
    <w:rsid w:val="00AA24B5"/>
    <w:rsid w:val="00AA24F0"/>
    <w:rsid w:val="00AA2534"/>
    <w:rsid w:val="00AA25B4"/>
    <w:rsid w:val="00AA266E"/>
    <w:rsid w:val="00AA2814"/>
    <w:rsid w:val="00AA2824"/>
    <w:rsid w:val="00AA2865"/>
    <w:rsid w:val="00AA2874"/>
    <w:rsid w:val="00AA2991"/>
    <w:rsid w:val="00AA29DA"/>
    <w:rsid w:val="00AA29EA"/>
    <w:rsid w:val="00AA2A98"/>
    <w:rsid w:val="00AA2B8F"/>
    <w:rsid w:val="00AA2BA4"/>
    <w:rsid w:val="00AA2C33"/>
    <w:rsid w:val="00AA2C5B"/>
    <w:rsid w:val="00AA2C6D"/>
    <w:rsid w:val="00AA2D65"/>
    <w:rsid w:val="00AA2E45"/>
    <w:rsid w:val="00AA2EE0"/>
    <w:rsid w:val="00AA2FF8"/>
    <w:rsid w:val="00AA30A6"/>
    <w:rsid w:val="00AA30BE"/>
    <w:rsid w:val="00AA3141"/>
    <w:rsid w:val="00AA320F"/>
    <w:rsid w:val="00AA3210"/>
    <w:rsid w:val="00AA3213"/>
    <w:rsid w:val="00AA322D"/>
    <w:rsid w:val="00AA32A7"/>
    <w:rsid w:val="00AA3419"/>
    <w:rsid w:val="00AA353D"/>
    <w:rsid w:val="00AA367B"/>
    <w:rsid w:val="00AA36B2"/>
    <w:rsid w:val="00AA3805"/>
    <w:rsid w:val="00AA3956"/>
    <w:rsid w:val="00AA39B3"/>
    <w:rsid w:val="00AA3A40"/>
    <w:rsid w:val="00AA3B07"/>
    <w:rsid w:val="00AA3B3D"/>
    <w:rsid w:val="00AA3D12"/>
    <w:rsid w:val="00AA3D73"/>
    <w:rsid w:val="00AA3DDA"/>
    <w:rsid w:val="00AA3F72"/>
    <w:rsid w:val="00AA4164"/>
    <w:rsid w:val="00AA418F"/>
    <w:rsid w:val="00AA42DA"/>
    <w:rsid w:val="00AA4365"/>
    <w:rsid w:val="00AA43E7"/>
    <w:rsid w:val="00AA4407"/>
    <w:rsid w:val="00AA443D"/>
    <w:rsid w:val="00AA44B1"/>
    <w:rsid w:val="00AA4527"/>
    <w:rsid w:val="00AA452B"/>
    <w:rsid w:val="00AA45C5"/>
    <w:rsid w:val="00AA4688"/>
    <w:rsid w:val="00AA481F"/>
    <w:rsid w:val="00AA490B"/>
    <w:rsid w:val="00AA496F"/>
    <w:rsid w:val="00AA4996"/>
    <w:rsid w:val="00AA49CB"/>
    <w:rsid w:val="00AA4B16"/>
    <w:rsid w:val="00AA4B90"/>
    <w:rsid w:val="00AA4C8E"/>
    <w:rsid w:val="00AA4C9A"/>
    <w:rsid w:val="00AA4CDE"/>
    <w:rsid w:val="00AA4D19"/>
    <w:rsid w:val="00AA4DDD"/>
    <w:rsid w:val="00AA4E8C"/>
    <w:rsid w:val="00AA4EAF"/>
    <w:rsid w:val="00AA4EC2"/>
    <w:rsid w:val="00AA4EEF"/>
    <w:rsid w:val="00AA4F2D"/>
    <w:rsid w:val="00AA4F41"/>
    <w:rsid w:val="00AA5003"/>
    <w:rsid w:val="00AA51EA"/>
    <w:rsid w:val="00AA5265"/>
    <w:rsid w:val="00AA527E"/>
    <w:rsid w:val="00AA529F"/>
    <w:rsid w:val="00AA53DD"/>
    <w:rsid w:val="00AA5458"/>
    <w:rsid w:val="00AA54E9"/>
    <w:rsid w:val="00AA56BA"/>
    <w:rsid w:val="00AA57CC"/>
    <w:rsid w:val="00AA58C2"/>
    <w:rsid w:val="00AA58FC"/>
    <w:rsid w:val="00AA5AFD"/>
    <w:rsid w:val="00AA5C4A"/>
    <w:rsid w:val="00AA5CA4"/>
    <w:rsid w:val="00AA5CDC"/>
    <w:rsid w:val="00AA5D17"/>
    <w:rsid w:val="00AA5D78"/>
    <w:rsid w:val="00AA5E23"/>
    <w:rsid w:val="00AA5E98"/>
    <w:rsid w:val="00AA5EAB"/>
    <w:rsid w:val="00AA5F12"/>
    <w:rsid w:val="00AA5FC9"/>
    <w:rsid w:val="00AA6026"/>
    <w:rsid w:val="00AA612D"/>
    <w:rsid w:val="00AA6166"/>
    <w:rsid w:val="00AA619E"/>
    <w:rsid w:val="00AA61DE"/>
    <w:rsid w:val="00AA6211"/>
    <w:rsid w:val="00AA6274"/>
    <w:rsid w:val="00AA6361"/>
    <w:rsid w:val="00AA63A2"/>
    <w:rsid w:val="00AA6403"/>
    <w:rsid w:val="00AA65D7"/>
    <w:rsid w:val="00AA66E6"/>
    <w:rsid w:val="00AA6736"/>
    <w:rsid w:val="00AA673E"/>
    <w:rsid w:val="00AA676F"/>
    <w:rsid w:val="00AA67FC"/>
    <w:rsid w:val="00AA6856"/>
    <w:rsid w:val="00AA6931"/>
    <w:rsid w:val="00AA69A0"/>
    <w:rsid w:val="00AA69E2"/>
    <w:rsid w:val="00AA6A03"/>
    <w:rsid w:val="00AA6B6F"/>
    <w:rsid w:val="00AA6BB2"/>
    <w:rsid w:val="00AA6CD8"/>
    <w:rsid w:val="00AA6D0B"/>
    <w:rsid w:val="00AA6D1D"/>
    <w:rsid w:val="00AA6D3B"/>
    <w:rsid w:val="00AA6DA6"/>
    <w:rsid w:val="00AA6DBC"/>
    <w:rsid w:val="00AA6ED3"/>
    <w:rsid w:val="00AA7048"/>
    <w:rsid w:val="00AA70D9"/>
    <w:rsid w:val="00AA7120"/>
    <w:rsid w:val="00AA7190"/>
    <w:rsid w:val="00AA7223"/>
    <w:rsid w:val="00AA723A"/>
    <w:rsid w:val="00AA7271"/>
    <w:rsid w:val="00AA7278"/>
    <w:rsid w:val="00AA72EF"/>
    <w:rsid w:val="00AA7367"/>
    <w:rsid w:val="00AA736A"/>
    <w:rsid w:val="00AA73DF"/>
    <w:rsid w:val="00AA740D"/>
    <w:rsid w:val="00AA7426"/>
    <w:rsid w:val="00AA744E"/>
    <w:rsid w:val="00AA74B1"/>
    <w:rsid w:val="00AA74B3"/>
    <w:rsid w:val="00AA750E"/>
    <w:rsid w:val="00AA7529"/>
    <w:rsid w:val="00AA752C"/>
    <w:rsid w:val="00AA755E"/>
    <w:rsid w:val="00AA7736"/>
    <w:rsid w:val="00AA781B"/>
    <w:rsid w:val="00AA7839"/>
    <w:rsid w:val="00AA78AD"/>
    <w:rsid w:val="00AA7A2C"/>
    <w:rsid w:val="00AA7ABE"/>
    <w:rsid w:val="00AA7AF4"/>
    <w:rsid w:val="00AA7B2B"/>
    <w:rsid w:val="00AA7BFE"/>
    <w:rsid w:val="00AA7C8B"/>
    <w:rsid w:val="00AA7DCB"/>
    <w:rsid w:val="00AA7E26"/>
    <w:rsid w:val="00AA7F3C"/>
    <w:rsid w:val="00AB0029"/>
    <w:rsid w:val="00AB009B"/>
    <w:rsid w:val="00AB009E"/>
    <w:rsid w:val="00AB00CF"/>
    <w:rsid w:val="00AB024B"/>
    <w:rsid w:val="00AB0275"/>
    <w:rsid w:val="00AB0346"/>
    <w:rsid w:val="00AB039D"/>
    <w:rsid w:val="00AB03F7"/>
    <w:rsid w:val="00AB0447"/>
    <w:rsid w:val="00AB0458"/>
    <w:rsid w:val="00AB0468"/>
    <w:rsid w:val="00AB0493"/>
    <w:rsid w:val="00AB04BF"/>
    <w:rsid w:val="00AB04CE"/>
    <w:rsid w:val="00AB0619"/>
    <w:rsid w:val="00AB06D3"/>
    <w:rsid w:val="00AB0809"/>
    <w:rsid w:val="00AB08EC"/>
    <w:rsid w:val="00AB08F3"/>
    <w:rsid w:val="00AB0935"/>
    <w:rsid w:val="00AB09DB"/>
    <w:rsid w:val="00AB09EB"/>
    <w:rsid w:val="00AB09F1"/>
    <w:rsid w:val="00AB0AA6"/>
    <w:rsid w:val="00AB0B65"/>
    <w:rsid w:val="00AB0B89"/>
    <w:rsid w:val="00AB0CF2"/>
    <w:rsid w:val="00AB0D03"/>
    <w:rsid w:val="00AB0E0F"/>
    <w:rsid w:val="00AB0EF9"/>
    <w:rsid w:val="00AB0F29"/>
    <w:rsid w:val="00AB0F49"/>
    <w:rsid w:val="00AB0F78"/>
    <w:rsid w:val="00AB0FC1"/>
    <w:rsid w:val="00AB106F"/>
    <w:rsid w:val="00AB1070"/>
    <w:rsid w:val="00AB1096"/>
    <w:rsid w:val="00AB10A4"/>
    <w:rsid w:val="00AB10BB"/>
    <w:rsid w:val="00AB1145"/>
    <w:rsid w:val="00AB1155"/>
    <w:rsid w:val="00AB11A1"/>
    <w:rsid w:val="00AB11C3"/>
    <w:rsid w:val="00AB11F8"/>
    <w:rsid w:val="00AB126B"/>
    <w:rsid w:val="00AB127A"/>
    <w:rsid w:val="00AB1448"/>
    <w:rsid w:val="00AB14B3"/>
    <w:rsid w:val="00AB14BF"/>
    <w:rsid w:val="00AB1613"/>
    <w:rsid w:val="00AB170F"/>
    <w:rsid w:val="00AB172B"/>
    <w:rsid w:val="00AB18FF"/>
    <w:rsid w:val="00AB1932"/>
    <w:rsid w:val="00AB19D5"/>
    <w:rsid w:val="00AB1A68"/>
    <w:rsid w:val="00AB1B60"/>
    <w:rsid w:val="00AB1BD2"/>
    <w:rsid w:val="00AB1C28"/>
    <w:rsid w:val="00AB1C6C"/>
    <w:rsid w:val="00AB1C73"/>
    <w:rsid w:val="00AB1CBA"/>
    <w:rsid w:val="00AB1D25"/>
    <w:rsid w:val="00AB1E31"/>
    <w:rsid w:val="00AB1E56"/>
    <w:rsid w:val="00AB1E85"/>
    <w:rsid w:val="00AB1EEC"/>
    <w:rsid w:val="00AB1F14"/>
    <w:rsid w:val="00AB20C6"/>
    <w:rsid w:val="00AB2186"/>
    <w:rsid w:val="00AB2389"/>
    <w:rsid w:val="00AB2510"/>
    <w:rsid w:val="00AB25D1"/>
    <w:rsid w:val="00AB29C7"/>
    <w:rsid w:val="00AB29E8"/>
    <w:rsid w:val="00AB29FF"/>
    <w:rsid w:val="00AB2A39"/>
    <w:rsid w:val="00AB2B91"/>
    <w:rsid w:val="00AB2C00"/>
    <w:rsid w:val="00AB2C7B"/>
    <w:rsid w:val="00AB2CE7"/>
    <w:rsid w:val="00AB2D17"/>
    <w:rsid w:val="00AB2D26"/>
    <w:rsid w:val="00AB2DE4"/>
    <w:rsid w:val="00AB2DFD"/>
    <w:rsid w:val="00AB2E0D"/>
    <w:rsid w:val="00AB2F1A"/>
    <w:rsid w:val="00AB2FB1"/>
    <w:rsid w:val="00AB308C"/>
    <w:rsid w:val="00AB3317"/>
    <w:rsid w:val="00AB33F5"/>
    <w:rsid w:val="00AB3414"/>
    <w:rsid w:val="00AB343B"/>
    <w:rsid w:val="00AB3463"/>
    <w:rsid w:val="00AB3548"/>
    <w:rsid w:val="00AB35C1"/>
    <w:rsid w:val="00AB369C"/>
    <w:rsid w:val="00AB36C6"/>
    <w:rsid w:val="00AB36CA"/>
    <w:rsid w:val="00AB379D"/>
    <w:rsid w:val="00AB38E4"/>
    <w:rsid w:val="00AB38E9"/>
    <w:rsid w:val="00AB38FA"/>
    <w:rsid w:val="00AB39E6"/>
    <w:rsid w:val="00AB3AA1"/>
    <w:rsid w:val="00AB3BCF"/>
    <w:rsid w:val="00AB3CE9"/>
    <w:rsid w:val="00AB3D5E"/>
    <w:rsid w:val="00AB3F66"/>
    <w:rsid w:val="00AB403E"/>
    <w:rsid w:val="00AB4179"/>
    <w:rsid w:val="00AB4211"/>
    <w:rsid w:val="00AB4242"/>
    <w:rsid w:val="00AB4332"/>
    <w:rsid w:val="00AB43DB"/>
    <w:rsid w:val="00AB43F1"/>
    <w:rsid w:val="00AB4400"/>
    <w:rsid w:val="00AB4492"/>
    <w:rsid w:val="00AB4584"/>
    <w:rsid w:val="00AB45A9"/>
    <w:rsid w:val="00AB463E"/>
    <w:rsid w:val="00AB4761"/>
    <w:rsid w:val="00AB478F"/>
    <w:rsid w:val="00AB487B"/>
    <w:rsid w:val="00AB496D"/>
    <w:rsid w:val="00AB49AA"/>
    <w:rsid w:val="00AB4A59"/>
    <w:rsid w:val="00AB4A66"/>
    <w:rsid w:val="00AB4AEB"/>
    <w:rsid w:val="00AB4B98"/>
    <w:rsid w:val="00AB4D13"/>
    <w:rsid w:val="00AB4DDE"/>
    <w:rsid w:val="00AB4E49"/>
    <w:rsid w:val="00AB4FAC"/>
    <w:rsid w:val="00AB4FAF"/>
    <w:rsid w:val="00AB4FB1"/>
    <w:rsid w:val="00AB516F"/>
    <w:rsid w:val="00AB5225"/>
    <w:rsid w:val="00AB524C"/>
    <w:rsid w:val="00AB52CB"/>
    <w:rsid w:val="00AB5347"/>
    <w:rsid w:val="00AB556A"/>
    <w:rsid w:val="00AB55F8"/>
    <w:rsid w:val="00AB5662"/>
    <w:rsid w:val="00AB57EB"/>
    <w:rsid w:val="00AB58BC"/>
    <w:rsid w:val="00AB58E1"/>
    <w:rsid w:val="00AB5CDD"/>
    <w:rsid w:val="00AB5CF9"/>
    <w:rsid w:val="00AB5D6F"/>
    <w:rsid w:val="00AB5DE5"/>
    <w:rsid w:val="00AB5EC8"/>
    <w:rsid w:val="00AB5F2E"/>
    <w:rsid w:val="00AB5FB8"/>
    <w:rsid w:val="00AB600A"/>
    <w:rsid w:val="00AB6037"/>
    <w:rsid w:val="00AB606E"/>
    <w:rsid w:val="00AB6098"/>
    <w:rsid w:val="00AB60A6"/>
    <w:rsid w:val="00AB60D8"/>
    <w:rsid w:val="00AB6140"/>
    <w:rsid w:val="00AB6194"/>
    <w:rsid w:val="00AB61F6"/>
    <w:rsid w:val="00AB625C"/>
    <w:rsid w:val="00AB6283"/>
    <w:rsid w:val="00AB6319"/>
    <w:rsid w:val="00AB63CA"/>
    <w:rsid w:val="00AB6708"/>
    <w:rsid w:val="00AB675D"/>
    <w:rsid w:val="00AB6764"/>
    <w:rsid w:val="00AB6867"/>
    <w:rsid w:val="00AB68CC"/>
    <w:rsid w:val="00AB697F"/>
    <w:rsid w:val="00AB6A50"/>
    <w:rsid w:val="00AB6AC1"/>
    <w:rsid w:val="00AB6C08"/>
    <w:rsid w:val="00AB6C2E"/>
    <w:rsid w:val="00AB6C94"/>
    <w:rsid w:val="00AB6CDA"/>
    <w:rsid w:val="00AB6CFE"/>
    <w:rsid w:val="00AB6DB0"/>
    <w:rsid w:val="00AB6DCB"/>
    <w:rsid w:val="00AB6E3B"/>
    <w:rsid w:val="00AB6F8F"/>
    <w:rsid w:val="00AB7073"/>
    <w:rsid w:val="00AB7184"/>
    <w:rsid w:val="00AB729F"/>
    <w:rsid w:val="00AB7504"/>
    <w:rsid w:val="00AB75FE"/>
    <w:rsid w:val="00AB7612"/>
    <w:rsid w:val="00AB762A"/>
    <w:rsid w:val="00AB767E"/>
    <w:rsid w:val="00AB770D"/>
    <w:rsid w:val="00AB7716"/>
    <w:rsid w:val="00AB7737"/>
    <w:rsid w:val="00AB777B"/>
    <w:rsid w:val="00AB77EF"/>
    <w:rsid w:val="00AB78CE"/>
    <w:rsid w:val="00AB78F0"/>
    <w:rsid w:val="00AB79A2"/>
    <w:rsid w:val="00AB7A5E"/>
    <w:rsid w:val="00AB7D7D"/>
    <w:rsid w:val="00AB7DCF"/>
    <w:rsid w:val="00AB7E01"/>
    <w:rsid w:val="00AB7ED5"/>
    <w:rsid w:val="00AB7F42"/>
    <w:rsid w:val="00AB7F52"/>
    <w:rsid w:val="00AC006A"/>
    <w:rsid w:val="00AC011B"/>
    <w:rsid w:val="00AC0211"/>
    <w:rsid w:val="00AC02C6"/>
    <w:rsid w:val="00AC02E6"/>
    <w:rsid w:val="00AC03A5"/>
    <w:rsid w:val="00AC03E2"/>
    <w:rsid w:val="00AC045F"/>
    <w:rsid w:val="00AC04E0"/>
    <w:rsid w:val="00AC0536"/>
    <w:rsid w:val="00AC0568"/>
    <w:rsid w:val="00AC05A1"/>
    <w:rsid w:val="00AC0617"/>
    <w:rsid w:val="00AC07D6"/>
    <w:rsid w:val="00AC0884"/>
    <w:rsid w:val="00AC098A"/>
    <w:rsid w:val="00AC0AB3"/>
    <w:rsid w:val="00AC0B1F"/>
    <w:rsid w:val="00AC0BFB"/>
    <w:rsid w:val="00AC0C88"/>
    <w:rsid w:val="00AC0CC0"/>
    <w:rsid w:val="00AC0CC8"/>
    <w:rsid w:val="00AC0E89"/>
    <w:rsid w:val="00AC0EEF"/>
    <w:rsid w:val="00AC0F32"/>
    <w:rsid w:val="00AC0F44"/>
    <w:rsid w:val="00AC0F55"/>
    <w:rsid w:val="00AC0F89"/>
    <w:rsid w:val="00AC0FBA"/>
    <w:rsid w:val="00AC0FBF"/>
    <w:rsid w:val="00AC102E"/>
    <w:rsid w:val="00AC10F9"/>
    <w:rsid w:val="00AC1222"/>
    <w:rsid w:val="00AC147E"/>
    <w:rsid w:val="00AC155E"/>
    <w:rsid w:val="00AC157C"/>
    <w:rsid w:val="00AC164A"/>
    <w:rsid w:val="00AC1747"/>
    <w:rsid w:val="00AC1772"/>
    <w:rsid w:val="00AC1802"/>
    <w:rsid w:val="00AC1A44"/>
    <w:rsid w:val="00AC1B02"/>
    <w:rsid w:val="00AC1B7A"/>
    <w:rsid w:val="00AC1C02"/>
    <w:rsid w:val="00AC1CC7"/>
    <w:rsid w:val="00AC1CFA"/>
    <w:rsid w:val="00AC1D95"/>
    <w:rsid w:val="00AC1E34"/>
    <w:rsid w:val="00AC206A"/>
    <w:rsid w:val="00AC20C5"/>
    <w:rsid w:val="00AC221E"/>
    <w:rsid w:val="00AC2237"/>
    <w:rsid w:val="00AC2268"/>
    <w:rsid w:val="00AC2295"/>
    <w:rsid w:val="00AC231A"/>
    <w:rsid w:val="00AC23A1"/>
    <w:rsid w:val="00AC23C6"/>
    <w:rsid w:val="00AC24DD"/>
    <w:rsid w:val="00AC25CC"/>
    <w:rsid w:val="00AC26EB"/>
    <w:rsid w:val="00AC27ED"/>
    <w:rsid w:val="00AC2800"/>
    <w:rsid w:val="00AC2863"/>
    <w:rsid w:val="00AC2A42"/>
    <w:rsid w:val="00AC2B0C"/>
    <w:rsid w:val="00AC2C03"/>
    <w:rsid w:val="00AC2C59"/>
    <w:rsid w:val="00AC2C90"/>
    <w:rsid w:val="00AC2D42"/>
    <w:rsid w:val="00AC2D44"/>
    <w:rsid w:val="00AC2ED7"/>
    <w:rsid w:val="00AC2EF6"/>
    <w:rsid w:val="00AC2F5A"/>
    <w:rsid w:val="00AC3051"/>
    <w:rsid w:val="00AC308E"/>
    <w:rsid w:val="00AC3159"/>
    <w:rsid w:val="00AC324D"/>
    <w:rsid w:val="00AC33CA"/>
    <w:rsid w:val="00AC3467"/>
    <w:rsid w:val="00AC34B2"/>
    <w:rsid w:val="00AC361A"/>
    <w:rsid w:val="00AC3663"/>
    <w:rsid w:val="00AC37F1"/>
    <w:rsid w:val="00AC3933"/>
    <w:rsid w:val="00AC3946"/>
    <w:rsid w:val="00AC3960"/>
    <w:rsid w:val="00AC397E"/>
    <w:rsid w:val="00AC39B5"/>
    <w:rsid w:val="00AC3BD0"/>
    <w:rsid w:val="00AC3C39"/>
    <w:rsid w:val="00AC3CAC"/>
    <w:rsid w:val="00AC3D62"/>
    <w:rsid w:val="00AC3E5C"/>
    <w:rsid w:val="00AC3E8E"/>
    <w:rsid w:val="00AC3EA8"/>
    <w:rsid w:val="00AC3EB4"/>
    <w:rsid w:val="00AC3FAD"/>
    <w:rsid w:val="00AC4099"/>
    <w:rsid w:val="00AC40EE"/>
    <w:rsid w:val="00AC4138"/>
    <w:rsid w:val="00AC41EF"/>
    <w:rsid w:val="00AC423A"/>
    <w:rsid w:val="00AC425E"/>
    <w:rsid w:val="00AC42A9"/>
    <w:rsid w:val="00AC42F9"/>
    <w:rsid w:val="00AC4316"/>
    <w:rsid w:val="00AC4384"/>
    <w:rsid w:val="00AC444C"/>
    <w:rsid w:val="00AC44C6"/>
    <w:rsid w:val="00AC4571"/>
    <w:rsid w:val="00AC4615"/>
    <w:rsid w:val="00AC4632"/>
    <w:rsid w:val="00AC4851"/>
    <w:rsid w:val="00AC48F3"/>
    <w:rsid w:val="00AC4A26"/>
    <w:rsid w:val="00AC4A61"/>
    <w:rsid w:val="00AC4ADB"/>
    <w:rsid w:val="00AC4B39"/>
    <w:rsid w:val="00AC4B8B"/>
    <w:rsid w:val="00AC4B9D"/>
    <w:rsid w:val="00AC4BE4"/>
    <w:rsid w:val="00AC4C59"/>
    <w:rsid w:val="00AC4C93"/>
    <w:rsid w:val="00AC4D2A"/>
    <w:rsid w:val="00AC4DB4"/>
    <w:rsid w:val="00AC4DF1"/>
    <w:rsid w:val="00AC4E98"/>
    <w:rsid w:val="00AC4EC4"/>
    <w:rsid w:val="00AC4FF7"/>
    <w:rsid w:val="00AC5041"/>
    <w:rsid w:val="00AC50ED"/>
    <w:rsid w:val="00AC520F"/>
    <w:rsid w:val="00AC5285"/>
    <w:rsid w:val="00AC52C7"/>
    <w:rsid w:val="00AC52C9"/>
    <w:rsid w:val="00AC52F7"/>
    <w:rsid w:val="00AC5302"/>
    <w:rsid w:val="00AC5317"/>
    <w:rsid w:val="00AC5327"/>
    <w:rsid w:val="00AC5363"/>
    <w:rsid w:val="00AC5372"/>
    <w:rsid w:val="00AC5417"/>
    <w:rsid w:val="00AC550D"/>
    <w:rsid w:val="00AC55AF"/>
    <w:rsid w:val="00AC56D0"/>
    <w:rsid w:val="00AC570D"/>
    <w:rsid w:val="00AC5751"/>
    <w:rsid w:val="00AC5808"/>
    <w:rsid w:val="00AC585D"/>
    <w:rsid w:val="00AC5864"/>
    <w:rsid w:val="00AC5913"/>
    <w:rsid w:val="00AC597C"/>
    <w:rsid w:val="00AC5ABC"/>
    <w:rsid w:val="00AC5AC6"/>
    <w:rsid w:val="00AC5C17"/>
    <w:rsid w:val="00AC5C40"/>
    <w:rsid w:val="00AC5C7B"/>
    <w:rsid w:val="00AC5CC2"/>
    <w:rsid w:val="00AC5D8B"/>
    <w:rsid w:val="00AC5E51"/>
    <w:rsid w:val="00AC5EA6"/>
    <w:rsid w:val="00AC5F47"/>
    <w:rsid w:val="00AC6056"/>
    <w:rsid w:val="00AC6129"/>
    <w:rsid w:val="00AC6260"/>
    <w:rsid w:val="00AC6267"/>
    <w:rsid w:val="00AC629B"/>
    <w:rsid w:val="00AC62B8"/>
    <w:rsid w:val="00AC6352"/>
    <w:rsid w:val="00AC6421"/>
    <w:rsid w:val="00AC64D6"/>
    <w:rsid w:val="00AC6508"/>
    <w:rsid w:val="00AC650B"/>
    <w:rsid w:val="00AC668C"/>
    <w:rsid w:val="00AC672F"/>
    <w:rsid w:val="00AC6772"/>
    <w:rsid w:val="00AC679C"/>
    <w:rsid w:val="00AC6895"/>
    <w:rsid w:val="00AC68D3"/>
    <w:rsid w:val="00AC68ED"/>
    <w:rsid w:val="00AC6901"/>
    <w:rsid w:val="00AC6928"/>
    <w:rsid w:val="00AC69C0"/>
    <w:rsid w:val="00AC6ADE"/>
    <w:rsid w:val="00AC6B38"/>
    <w:rsid w:val="00AC6B76"/>
    <w:rsid w:val="00AC6C34"/>
    <w:rsid w:val="00AC6CAF"/>
    <w:rsid w:val="00AC6EFB"/>
    <w:rsid w:val="00AC6F7B"/>
    <w:rsid w:val="00AC7018"/>
    <w:rsid w:val="00AC703B"/>
    <w:rsid w:val="00AC706D"/>
    <w:rsid w:val="00AC70B4"/>
    <w:rsid w:val="00AC70FC"/>
    <w:rsid w:val="00AC7195"/>
    <w:rsid w:val="00AC71D7"/>
    <w:rsid w:val="00AC7250"/>
    <w:rsid w:val="00AC7320"/>
    <w:rsid w:val="00AC75EF"/>
    <w:rsid w:val="00AC76FE"/>
    <w:rsid w:val="00AC77A6"/>
    <w:rsid w:val="00AC77E6"/>
    <w:rsid w:val="00AC796C"/>
    <w:rsid w:val="00AC7983"/>
    <w:rsid w:val="00AC7A3B"/>
    <w:rsid w:val="00AC7A55"/>
    <w:rsid w:val="00AC7B38"/>
    <w:rsid w:val="00AC7B84"/>
    <w:rsid w:val="00AC7BC1"/>
    <w:rsid w:val="00AC7C12"/>
    <w:rsid w:val="00AC7C20"/>
    <w:rsid w:val="00AC7C45"/>
    <w:rsid w:val="00AC7D05"/>
    <w:rsid w:val="00AC7D87"/>
    <w:rsid w:val="00AC7DB1"/>
    <w:rsid w:val="00AC7F01"/>
    <w:rsid w:val="00AC7F9B"/>
    <w:rsid w:val="00AD0170"/>
    <w:rsid w:val="00AD01E4"/>
    <w:rsid w:val="00AD04D1"/>
    <w:rsid w:val="00AD04E6"/>
    <w:rsid w:val="00AD06C0"/>
    <w:rsid w:val="00AD06D7"/>
    <w:rsid w:val="00AD074B"/>
    <w:rsid w:val="00AD07DE"/>
    <w:rsid w:val="00AD09FE"/>
    <w:rsid w:val="00AD0BE7"/>
    <w:rsid w:val="00AD0C59"/>
    <w:rsid w:val="00AD0C67"/>
    <w:rsid w:val="00AD0D42"/>
    <w:rsid w:val="00AD0F77"/>
    <w:rsid w:val="00AD1088"/>
    <w:rsid w:val="00AD10B6"/>
    <w:rsid w:val="00AD1171"/>
    <w:rsid w:val="00AD11BE"/>
    <w:rsid w:val="00AD11ED"/>
    <w:rsid w:val="00AD123E"/>
    <w:rsid w:val="00AD12C8"/>
    <w:rsid w:val="00AD12F4"/>
    <w:rsid w:val="00AD139B"/>
    <w:rsid w:val="00AD13EE"/>
    <w:rsid w:val="00AD1405"/>
    <w:rsid w:val="00AD1443"/>
    <w:rsid w:val="00AD14E4"/>
    <w:rsid w:val="00AD1610"/>
    <w:rsid w:val="00AD16FB"/>
    <w:rsid w:val="00AD1744"/>
    <w:rsid w:val="00AD17CB"/>
    <w:rsid w:val="00AD1869"/>
    <w:rsid w:val="00AD186C"/>
    <w:rsid w:val="00AD188A"/>
    <w:rsid w:val="00AD18D9"/>
    <w:rsid w:val="00AD196C"/>
    <w:rsid w:val="00AD198B"/>
    <w:rsid w:val="00AD1BA3"/>
    <w:rsid w:val="00AD1C2C"/>
    <w:rsid w:val="00AD1CD6"/>
    <w:rsid w:val="00AD1D2B"/>
    <w:rsid w:val="00AD1DE7"/>
    <w:rsid w:val="00AD1E3A"/>
    <w:rsid w:val="00AD1E92"/>
    <w:rsid w:val="00AD1EB5"/>
    <w:rsid w:val="00AD1F30"/>
    <w:rsid w:val="00AD1F6B"/>
    <w:rsid w:val="00AD1FAC"/>
    <w:rsid w:val="00AD1FE9"/>
    <w:rsid w:val="00AD205D"/>
    <w:rsid w:val="00AD20E1"/>
    <w:rsid w:val="00AD230A"/>
    <w:rsid w:val="00AD2456"/>
    <w:rsid w:val="00AD24AD"/>
    <w:rsid w:val="00AD24CF"/>
    <w:rsid w:val="00AD24E6"/>
    <w:rsid w:val="00AD2573"/>
    <w:rsid w:val="00AD26EF"/>
    <w:rsid w:val="00AD26F6"/>
    <w:rsid w:val="00AD26FA"/>
    <w:rsid w:val="00AD29D6"/>
    <w:rsid w:val="00AD2A7B"/>
    <w:rsid w:val="00AD2B16"/>
    <w:rsid w:val="00AD2F25"/>
    <w:rsid w:val="00AD2FE5"/>
    <w:rsid w:val="00AD30D5"/>
    <w:rsid w:val="00AD30E8"/>
    <w:rsid w:val="00AD31CE"/>
    <w:rsid w:val="00AD324F"/>
    <w:rsid w:val="00AD32FE"/>
    <w:rsid w:val="00AD3467"/>
    <w:rsid w:val="00AD3612"/>
    <w:rsid w:val="00AD3624"/>
    <w:rsid w:val="00AD3793"/>
    <w:rsid w:val="00AD38BF"/>
    <w:rsid w:val="00AD3907"/>
    <w:rsid w:val="00AD3B00"/>
    <w:rsid w:val="00AD3B19"/>
    <w:rsid w:val="00AD3B24"/>
    <w:rsid w:val="00AD3CD3"/>
    <w:rsid w:val="00AD3D09"/>
    <w:rsid w:val="00AD3D0E"/>
    <w:rsid w:val="00AD3DB5"/>
    <w:rsid w:val="00AD3DE9"/>
    <w:rsid w:val="00AD3E1B"/>
    <w:rsid w:val="00AD3EB7"/>
    <w:rsid w:val="00AD3FB3"/>
    <w:rsid w:val="00AD4076"/>
    <w:rsid w:val="00AD40B1"/>
    <w:rsid w:val="00AD411A"/>
    <w:rsid w:val="00AD413B"/>
    <w:rsid w:val="00AD4275"/>
    <w:rsid w:val="00AD4306"/>
    <w:rsid w:val="00AD4372"/>
    <w:rsid w:val="00AD4458"/>
    <w:rsid w:val="00AD44FE"/>
    <w:rsid w:val="00AD454B"/>
    <w:rsid w:val="00AD46C5"/>
    <w:rsid w:val="00AD4989"/>
    <w:rsid w:val="00AD49E8"/>
    <w:rsid w:val="00AD4A3D"/>
    <w:rsid w:val="00AD4AEB"/>
    <w:rsid w:val="00AD4B82"/>
    <w:rsid w:val="00AD4CE1"/>
    <w:rsid w:val="00AD4D38"/>
    <w:rsid w:val="00AD4DED"/>
    <w:rsid w:val="00AD4EB3"/>
    <w:rsid w:val="00AD4EC9"/>
    <w:rsid w:val="00AD5072"/>
    <w:rsid w:val="00AD5128"/>
    <w:rsid w:val="00AD51DE"/>
    <w:rsid w:val="00AD52D8"/>
    <w:rsid w:val="00AD5303"/>
    <w:rsid w:val="00AD5354"/>
    <w:rsid w:val="00AD53AB"/>
    <w:rsid w:val="00AD5476"/>
    <w:rsid w:val="00AD547C"/>
    <w:rsid w:val="00AD5483"/>
    <w:rsid w:val="00AD548A"/>
    <w:rsid w:val="00AD54D2"/>
    <w:rsid w:val="00AD564A"/>
    <w:rsid w:val="00AD56B6"/>
    <w:rsid w:val="00AD5788"/>
    <w:rsid w:val="00AD5863"/>
    <w:rsid w:val="00AD59BD"/>
    <w:rsid w:val="00AD59E7"/>
    <w:rsid w:val="00AD5C4F"/>
    <w:rsid w:val="00AD5CC6"/>
    <w:rsid w:val="00AD5DA6"/>
    <w:rsid w:val="00AD5E0C"/>
    <w:rsid w:val="00AD5F05"/>
    <w:rsid w:val="00AD5F94"/>
    <w:rsid w:val="00AD5FDF"/>
    <w:rsid w:val="00AD6142"/>
    <w:rsid w:val="00AD6162"/>
    <w:rsid w:val="00AD6170"/>
    <w:rsid w:val="00AD62A7"/>
    <w:rsid w:val="00AD62C0"/>
    <w:rsid w:val="00AD6342"/>
    <w:rsid w:val="00AD634E"/>
    <w:rsid w:val="00AD63AC"/>
    <w:rsid w:val="00AD657E"/>
    <w:rsid w:val="00AD65BC"/>
    <w:rsid w:val="00AD65FC"/>
    <w:rsid w:val="00AD662F"/>
    <w:rsid w:val="00AD6695"/>
    <w:rsid w:val="00AD66E1"/>
    <w:rsid w:val="00AD66E9"/>
    <w:rsid w:val="00AD66EB"/>
    <w:rsid w:val="00AD6755"/>
    <w:rsid w:val="00AD67D3"/>
    <w:rsid w:val="00AD6880"/>
    <w:rsid w:val="00AD6890"/>
    <w:rsid w:val="00AD68C1"/>
    <w:rsid w:val="00AD68E1"/>
    <w:rsid w:val="00AD6961"/>
    <w:rsid w:val="00AD6A05"/>
    <w:rsid w:val="00AD6A3C"/>
    <w:rsid w:val="00AD6B10"/>
    <w:rsid w:val="00AD6C08"/>
    <w:rsid w:val="00AD6C79"/>
    <w:rsid w:val="00AD6CEF"/>
    <w:rsid w:val="00AD6EBF"/>
    <w:rsid w:val="00AD6F2E"/>
    <w:rsid w:val="00AD6F42"/>
    <w:rsid w:val="00AD6FE3"/>
    <w:rsid w:val="00AD6FF2"/>
    <w:rsid w:val="00AD7013"/>
    <w:rsid w:val="00AD703A"/>
    <w:rsid w:val="00AD709C"/>
    <w:rsid w:val="00AD70BC"/>
    <w:rsid w:val="00AD71F4"/>
    <w:rsid w:val="00AD737B"/>
    <w:rsid w:val="00AD7450"/>
    <w:rsid w:val="00AD745E"/>
    <w:rsid w:val="00AD7497"/>
    <w:rsid w:val="00AD74A7"/>
    <w:rsid w:val="00AD753C"/>
    <w:rsid w:val="00AD7692"/>
    <w:rsid w:val="00AD7697"/>
    <w:rsid w:val="00AD784E"/>
    <w:rsid w:val="00AD7874"/>
    <w:rsid w:val="00AD78BF"/>
    <w:rsid w:val="00AD7987"/>
    <w:rsid w:val="00AD79CE"/>
    <w:rsid w:val="00AD7A1A"/>
    <w:rsid w:val="00AD7BE1"/>
    <w:rsid w:val="00AD7C16"/>
    <w:rsid w:val="00AD7C75"/>
    <w:rsid w:val="00AD7D18"/>
    <w:rsid w:val="00AD7F65"/>
    <w:rsid w:val="00AE0085"/>
    <w:rsid w:val="00AE00DA"/>
    <w:rsid w:val="00AE01C3"/>
    <w:rsid w:val="00AE0215"/>
    <w:rsid w:val="00AE0276"/>
    <w:rsid w:val="00AE034D"/>
    <w:rsid w:val="00AE0494"/>
    <w:rsid w:val="00AE0656"/>
    <w:rsid w:val="00AE06FD"/>
    <w:rsid w:val="00AE07A0"/>
    <w:rsid w:val="00AE081D"/>
    <w:rsid w:val="00AE08D4"/>
    <w:rsid w:val="00AE08FC"/>
    <w:rsid w:val="00AE0944"/>
    <w:rsid w:val="00AE09A2"/>
    <w:rsid w:val="00AE0A18"/>
    <w:rsid w:val="00AE0A9E"/>
    <w:rsid w:val="00AE0AB3"/>
    <w:rsid w:val="00AE0B24"/>
    <w:rsid w:val="00AE0B2B"/>
    <w:rsid w:val="00AE0CC3"/>
    <w:rsid w:val="00AE0CC6"/>
    <w:rsid w:val="00AE0CEC"/>
    <w:rsid w:val="00AE0D4D"/>
    <w:rsid w:val="00AE0D58"/>
    <w:rsid w:val="00AE0DAC"/>
    <w:rsid w:val="00AE0DE1"/>
    <w:rsid w:val="00AE0E79"/>
    <w:rsid w:val="00AE0EA2"/>
    <w:rsid w:val="00AE0F37"/>
    <w:rsid w:val="00AE0F90"/>
    <w:rsid w:val="00AE11BD"/>
    <w:rsid w:val="00AE1364"/>
    <w:rsid w:val="00AE13E4"/>
    <w:rsid w:val="00AE15D1"/>
    <w:rsid w:val="00AE15DF"/>
    <w:rsid w:val="00AE16B3"/>
    <w:rsid w:val="00AE1744"/>
    <w:rsid w:val="00AE183F"/>
    <w:rsid w:val="00AE18B5"/>
    <w:rsid w:val="00AE1B3B"/>
    <w:rsid w:val="00AE1C7A"/>
    <w:rsid w:val="00AE1C9E"/>
    <w:rsid w:val="00AE1CC1"/>
    <w:rsid w:val="00AE2146"/>
    <w:rsid w:val="00AE2183"/>
    <w:rsid w:val="00AE21B5"/>
    <w:rsid w:val="00AE2242"/>
    <w:rsid w:val="00AE2334"/>
    <w:rsid w:val="00AE24B0"/>
    <w:rsid w:val="00AE24CE"/>
    <w:rsid w:val="00AE2522"/>
    <w:rsid w:val="00AE263C"/>
    <w:rsid w:val="00AE2691"/>
    <w:rsid w:val="00AE28AB"/>
    <w:rsid w:val="00AE2A0D"/>
    <w:rsid w:val="00AE2AAC"/>
    <w:rsid w:val="00AE2AD1"/>
    <w:rsid w:val="00AE2B54"/>
    <w:rsid w:val="00AE2CE2"/>
    <w:rsid w:val="00AE2E65"/>
    <w:rsid w:val="00AE2EB6"/>
    <w:rsid w:val="00AE2F10"/>
    <w:rsid w:val="00AE2F1E"/>
    <w:rsid w:val="00AE2F83"/>
    <w:rsid w:val="00AE309B"/>
    <w:rsid w:val="00AE30E6"/>
    <w:rsid w:val="00AE3100"/>
    <w:rsid w:val="00AE334B"/>
    <w:rsid w:val="00AE3449"/>
    <w:rsid w:val="00AE3670"/>
    <w:rsid w:val="00AE36D1"/>
    <w:rsid w:val="00AE3758"/>
    <w:rsid w:val="00AE37A4"/>
    <w:rsid w:val="00AE3813"/>
    <w:rsid w:val="00AE3827"/>
    <w:rsid w:val="00AE385B"/>
    <w:rsid w:val="00AE39E9"/>
    <w:rsid w:val="00AE3A6C"/>
    <w:rsid w:val="00AE3A78"/>
    <w:rsid w:val="00AE3A79"/>
    <w:rsid w:val="00AE3ADB"/>
    <w:rsid w:val="00AE3C62"/>
    <w:rsid w:val="00AE3C72"/>
    <w:rsid w:val="00AE3CE4"/>
    <w:rsid w:val="00AE3D27"/>
    <w:rsid w:val="00AE3D45"/>
    <w:rsid w:val="00AE3D6E"/>
    <w:rsid w:val="00AE3D8D"/>
    <w:rsid w:val="00AE3DC0"/>
    <w:rsid w:val="00AE3DF1"/>
    <w:rsid w:val="00AE3E00"/>
    <w:rsid w:val="00AE3EEA"/>
    <w:rsid w:val="00AE3FE0"/>
    <w:rsid w:val="00AE4081"/>
    <w:rsid w:val="00AE40E0"/>
    <w:rsid w:val="00AE42D0"/>
    <w:rsid w:val="00AE440C"/>
    <w:rsid w:val="00AE449B"/>
    <w:rsid w:val="00AE4529"/>
    <w:rsid w:val="00AE45BD"/>
    <w:rsid w:val="00AE45DD"/>
    <w:rsid w:val="00AE465B"/>
    <w:rsid w:val="00AE4761"/>
    <w:rsid w:val="00AE4792"/>
    <w:rsid w:val="00AE48EB"/>
    <w:rsid w:val="00AE4998"/>
    <w:rsid w:val="00AE499B"/>
    <w:rsid w:val="00AE4A5D"/>
    <w:rsid w:val="00AE4AA0"/>
    <w:rsid w:val="00AE4ABA"/>
    <w:rsid w:val="00AE4B05"/>
    <w:rsid w:val="00AE4B9F"/>
    <w:rsid w:val="00AE4C61"/>
    <w:rsid w:val="00AE4C69"/>
    <w:rsid w:val="00AE4DE4"/>
    <w:rsid w:val="00AE4E3C"/>
    <w:rsid w:val="00AE4E77"/>
    <w:rsid w:val="00AE4E89"/>
    <w:rsid w:val="00AE4F3D"/>
    <w:rsid w:val="00AE4F4E"/>
    <w:rsid w:val="00AE4FBB"/>
    <w:rsid w:val="00AE5030"/>
    <w:rsid w:val="00AE503A"/>
    <w:rsid w:val="00AE512F"/>
    <w:rsid w:val="00AE51F9"/>
    <w:rsid w:val="00AE5226"/>
    <w:rsid w:val="00AE5366"/>
    <w:rsid w:val="00AE539F"/>
    <w:rsid w:val="00AE540B"/>
    <w:rsid w:val="00AE540E"/>
    <w:rsid w:val="00AE563C"/>
    <w:rsid w:val="00AE56F3"/>
    <w:rsid w:val="00AE5724"/>
    <w:rsid w:val="00AE57A0"/>
    <w:rsid w:val="00AE57E0"/>
    <w:rsid w:val="00AE581E"/>
    <w:rsid w:val="00AE5861"/>
    <w:rsid w:val="00AE588F"/>
    <w:rsid w:val="00AE592E"/>
    <w:rsid w:val="00AE5983"/>
    <w:rsid w:val="00AE5993"/>
    <w:rsid w:val="00AE59D1"/>
    <w:rsid w:val="00AE5A2C"/>
    <w:rsid w:val="00AE5A39"/>
    <w:rsid w:val="00AE5A5C"/>
    <w:rsid w:val="00AE5BFD"/>
    <w:rsid w:val="00AE5D3F"/>
    <w:rsid w:val="00AE5DC9"/>
    <w:rsid w:val="00AE5E12"/>
    <w:rsid w:val="00AE5E36"/>
    <w:rsid w:val="00AE5E56"/>
    <w:rsid w:val="00AE6027"/>
    <w:rsid w:val="00AE6145"/>
    <w:rsid w:val="00AE61C6"/>
    <w:rsid w:val="00AE61D6"/>
    <w:rsid w:val="00AE61E4"/>
    <w:rsid w:val="00AE61EB"/>
    <w:rsid w:val="00AE6259"/>
    <w:rsid w:val="00AE62FB"/>
    <w:rsid w:val="00AE6321"/>
    <w:rsid w:val="00AE645F"/>
    <w:rsid w:val="00AE64E4"/>
    <w:rsid w:val="00AE6506"/>
    <w:rsid w:val="00AE6509"/>
    <w:rsid w:val="00AE6554"/>
    <w:rsid w:val="00AE65C7"/>
    <w:rsid w:val="00AE65D3"/>
    <w:rsid w:val="00AE6618"/>
    <w:rsid w:val="00AE661D"/>
    <w:rsid w:val="00AE6976"/>
    <w:rsid w:val="00AE6978"/>
    <w:rsid w:val="00AE6A01"/>
    <w:rsid w:val="00AE6B8A"/>
    <w:rsid w:val="00AE6BAB"/>
    <w:rsid w:val="00AE6CAE"/>
    <w:rsid w:val="00AE6DA1"/>
    <w:rsid w:val="00AE6E5D"/>
    <w:rsid w:val="00AE6EB9"/>
    <w:rsid w:val="00AE6F34"/>
    <w:rsid w:val="00AE6F53"/>
    <w:rsid w:val="00AE6F66"/>
    <w:rsid w:val="00AE6F79"/>
    <w:rsid w:val="00AE6FA3"/>
    <w:rsid w:val="00AE712B"/>
    <w:rsid w:val="00AE7158"/>
    <w:rsid w:val="00AE721F"/>
    <w:rsid w:val="00AE72E5"/>
    <w:rsid w:val="00AE73FD"/>
    <w:rsid w:val="00AE74B8"/>
    <w:rsid w:val="00AE7570"/>
    <w:rsid w:val="00AE757D"/>
    <w:rsid w:val="00AE78FC"/>
    <w:rsid w:val="00AE7A53"/>
    <w:rsid w:val="00AE7B00"/>
    <w:rsid w:val="00AE7B46"/>
    <w:rsid w:val="00AE7B9D"/>
    <w:rsid w:val="00AE7CC8"/>
    <w:rsid w:val="00AE7DB7"/>
    <w:rsid w:val="00AE7E95"/>
    <w:rsid w:val="00AE7F08"/>
    <w:rsid w:val="00AE7FF5"/>
    <w:rsid w:val="00AF001B"/>
    <w:rsid w:val="00AF00B9"/>
    <w:rsid w:val="00AF0260"/>
    <w:rsid w:val="00AF034B"/>
    <w:rsid w:val="00AF0367"/>
    <w:rsid w:val="00AF039C"/>
    <w:rsid w:val="00AF040E"/>
    <w:rsid w:val="00AF04E4"/>
    <w:rsid w:val="00AF04FA"/>
    <w:rsid w:val="00AF05CC"/>
    <w:rsid w:val="00AF072C"/>
    <w:rsid w:val="00AF072D"/>
    <w:rsid w:val="00AF0776"/>
    <w:rsid w:val="00AF080C"/>
    <w:rsid w:val="00AF0812"/>
    <w:rsid w:val="00AF0861"/>
    <w:rsid w:val="00AF0879"/>
    <w:rsid w:val="00AF090D"/>
    <w:rsid w:val="00AF0947"/>
    <w:rsid w:val="00AF09EE"/>
    <w:rsid w:val="00AF0C66"/>
    <w:rsid w:val="00AF0CA1"/>
    <w:rsid w:val="00AF0CDD"/>
    <w:rsid w:val="00AF0D08"/>
    <w:rsid w:val="00AF0ED9"/>
    <w:rsid w:val="00AF1251"/>
    <w:rsid w:val="00AF12FD"/>
    <w:rsid w:val="00AF1396"/>
    <w:rsid w:val="00AF13C6"/>
    <w:rsid w:val="00AF145D"/>
    <w:rsid w:val="00AF153C"/>
    <w:rsid w:val="00AF1661"/>
    <w:rsid w:val="00AF16F5"/>
    <w:rsid w:val="00AF179B"/>
    <w:rsid w:val="00AF1891"/>
    <w:rsid w:val="00AF19CD"/>
    <w:rsid w:val="00AF19D3"/>
    <w:rsid w:val="00AF1A10"/>
    <w:rsid w:val="00AF1A8A"/>
    <w:rsid w:val="00AF1A94"/>
    <w:rsid w:val="00AF1B11"/>
    <w:rsid w:val="00AF1B18"/>
    <w:rsid w:val="00AF1BBA"/>
    <w:rsid w:val="00AF1BF4"/>
    <w:rsid w:val="00AF1C40"/>
    <w:rsid w:val="00AF1CBF"/>
    <w:rsid w:val="00AF1E76"/>
    <w:rsid w:val="00AF2010"/>
    <w:rsid w:val="00AF2022"/>
    <w:rsid w:val="00AF202C"/>
    <w:rsid w:val="00AF209C"/>
    <w:rsid w:val="00AF20D4"/>
    <w:rsid w:val="00AF20FD"/>
    <w:rsid w:val="00AF216E"/>
    <w:rsid w:val="00AF21C1"/>
    <w:rsid w:val="00AF21C7"/>
    <w:rsid w:val="00AF2314"/>
    <w:rsid w:val="00AF235D"/>
    <w:rsid w:val="00AF2425"/>
    <w:rsid w:val="00AF256D"/>
    <w:rsid w:val="00AF25F9"/>
    <w:rsid w:val="00AF261A"/>
    <w:rsid w:val="00AF2680"/>
    <w:rsid w:val="00AF2765"/>
    <w:rsid w:val="00AF2944"/>
    <w:rsid w:val="00AF2A70"/>
    <w:rsid w:val="00AF2AF6"/>
    <w:rsid w:val="00AF2B74"/>
    <w:rsid w:val="00AF2D71"/>
    <w:rsid w:val="00AF2DA3"/>
    <w:rsid w:val="00AF2E14"/>
    <w:rsid w:val="00AF3108"/>
    <w:rsid w:val="00AF3363"/>
    <w:rsid w:val="00AF33D9"/>
    <w:rsid w:val="00AF3426"/>
    <w:rsid w:val="00AF34BF"/>
    <w:rsid w:val="00AF3526"/>
    <w:rsid w:val="00AF3557"/>
    <w:rsid w:val="00AF3595"/>
    <w:rsid w:val="00AF35DB"/>
    <w:rsid w:val="00AF35E6"/>
    <w:rsid w:val="00AF35F7"/>
    <w:rsid w:val="00AF366D"/>
    <w:rsid w:val="00AF37AC"/>
    <w:rsid w:val="00AF37BD"/>
    <w:rsid w:val="00AF37D1"/>
    <w:rsid w:val="00AF3AFA"/>
    <w:rsid w:val="00AF3B93"/>
    <w:rsid w:val="00AF3C54"/>
    <w:rsid w:val="00AF3C7F"/>
    <w:rsid w:val="00AF3C89"/>
    <w:rsid w:val="00AF3D19"/>
    <w:rsid w:val="00AF3D8B"/>
    <w:rsid w:val="00AF3EB1"/>
    <w:rsid w:val="00AF3ECE"/>
    <w:rsid w:val="00AF3EDA"/>
    <w:rsid w:val="00AF3F44"/>
    <w:rsid w:val="00AF3FF7"/>
    <w:rsid w:val="00AF4148"/>
    <w:rsid w:val="00AF41EE"/>
    <w:rsid w:val="00AF4249"/>
    <w:rsid w:val="00AF431C"/>
    <w:rsid w:val="00AF4854"/>
    <w:rsid w:val="00AF48BF"/>
    <w:rsid w:val="00AF493B"/>
    <w:rsid w:val="00AF494C"/>
    <w:rsid w:val="00AF4A30"/>
    <w:rsid w:val="00AF4A8A"/>
    <w:rsid w:val="00AF4AD8"/>
    <w:rsid w:val="00AF4B3F"/>
    <w:rsid w:val="00AF4B53"/>
    <w:rsid w:val="00AF4B65"/>
    <w:rsid w:val="00AF4C40"/>
    <w:rsid w:val="00AF4C7C"/>
    <w:rsid w:val="00AF4DD0"/>
    <w:rsid w:val="00AF4E05"/>
    <w:rsid w:val="00AF4E0D"/>
    <w:rsid w:val="00AF4E79"/>
    <w:rsid w:val="00AF4FA7"/>
    <w:rsid w:val="00AF502A"/>
    <w:rsid w:val="00AF5038"/>
    <w:rsid w:val="00AF50F3"/>
    <w:rsid w:val="00AF5125"/>
    <w:rsid w:val="00AF51D8"/>
    <w:rsid w:val="00AF5219"/>
    <w:rsid w:val="00AF531B"/>
    <w:rsid w:val="00AF5445"/>
    <w:rsid w:val="00AF54E1"/>
    <w:rsid w:val="00AF567C"/>
    <w:rsid w:val="00AF575B"/>
    <w:rsid w:val="00AF590A"/>
    <w:rsid w:val="00AF59C6"/>
    <w:rsid w:val="00AF5B8D"/>
    <w:rsid w:val="00AF5BE3"/>
    <w:rsid w:val="00AF5D91"/>
    <w:rsid w:val="00AF5E5A"/>
    <w:rsid w:val="00AF5EA9"/>
    <w:rsid w:val="00AF5F1B"/>
    <w:rsid w:val="00AF5FB1"/>
    <w:rsid w:val="00AF605C"/>
    <w:rsid w:val="00AF6091"/>
    <w:rsid w:val="00AF60C9"/>
    <w:rsid w:val="00AF613A"/>
    <w:rsid w:val="00AF62DE"/>
    <w:rsid w:val="00AF63C2"/>
    <w:rsid w:val="00AF646B"/>
    <w:rsid w:val="00AF6513"/>
    <w:rsid w:val="00AF65E7"/>
    <w:rsid w:val="00AF6696"/>
    <w:rsid w:val="00AF67FD"/>
    <w:rsid w:val="00AF6836"/>
    <w:rsid w:val="00AF69D6"/>
    <w:rsid w:val="00AF69D8"/>
    <w:rsid w:val="00AF6A37"/>
    <w:rsid w:val="00AF6A7A"/>
    <w:rsid w:val="00AF6A90"/>
    <w:rsid w:val="00AF6B01"/>
    <w:rsid w:val="00AF6B54"/>
    <w:rsid w:val="00AF6B7E"/>
    <w:rsid w:val="00AF6C2B"/>
    <w:rsid w:val="00AF6CB5"/>
    <w:rsid w:val="00AF6DDB"/>
    <w:rsid w:val="00AF6E4B"/>
    <w:rsid w:val="00AF6E80"/>
    <w:rsid w:val="00AF6F37"/>
    <w:rsid w:val="00AF6F57"/>
    <w:rsid w:val="00AF70A9"/>
    <w:rsid w:val="00AF713A"/>
    <w:rsid w:val="00AF713C"/>
    <w:rsid w:val="00AF7180"/>
    <w:rsid w:val="00AF71BF"/>
    <w:rsid w:val="00AF733D"/>
    <w:rsid w:val="00AF7353"/>
    <w:rsid w:val="00AF74D9"/>
    <w:rsid w:val="00AF7576"/>
    <w:rsid w:val="00AF7647"/>
    <w:rsid w:val="00AF76A6"/>
    <w:rsid w:val="00AF76E5"/>
    <w:rsid w:val="00AF771A"/>
    <w:rsid w:val="00AF77B8"/>
    <w:rsid w:val="00AF7835"/>
    <w:rsid w:val="00AF7884"/>
    <w:rsid w:val="00AF7889"/>
    <w:rsid w:val="00AF7920"/>
    <w:rsid w:val="00AF7A01"/>
    <w:rsid w:val="00AF7A0A"/>
    <w:rsid w:val="00AF7B0F"/>
    <w:rsid w:val="00AF7B74"/>
    <w:rsid w:val="00AF7CA0"/>
    <w:rsid w:val="00AF7E10"/>
    <w:rsid w:val="00AF7E74"/>
    <w:rsid w:val="00AF7EB3"/>
    <w:rsid w:val="00B00174"/>
    <w:rsid w:val="00B0017B"/>
    <w:rsid w:val="00B001F7"/>
    <w:rsid w:val="00B0020D"/>
    <w:rsid w:val="00B002A7"/>
    <w:rsid w:val="00B003B0"/>
    <w:rsid w:val="00B00637"/>
    <w:rsid w:val="00B0071E"/>
    <w:rsid w:val="00B00748"/>
    <w:rsid w:val="00B00995"/>
    <w:rsid w:val="00B0099D"/>
    <w:rsid w:val="00B00A40"/>
    <w:rsid w:val="00B00BA9"/>
    <w:rsid w:val="00B00C09"/>
    <w:rsid w:val="00B00CAC"/>
    <w:rsid w:val="00B00DE0"/>
    <w:rsid w:val="00B00DE5"/>
    <w:rsid w:val="00B00E09"/>
    <w:rsid w:val="00B00EA0"/>
    <w:rsid w:val="00B00F18"/>
    <w:rsid w:val="00B00F3D"/>
    <w:rsid w:val="00B00F58"/>
    <w:rsid w:val="00B00F60"/>
    <w:rsid w:val="00B00FDE"/>
    <w:rsid w:val="00B010BE"/>
    <w:rsid w:val="00B012BC"/>
    <w:rsid w:val="00B01422"/>
    <w:rsid w:val="00B015E2"/>
    <w:rsid w:val="00B01615"/>
    <w:rsid w:val="00B016A9"/>
    <w:rsid w:val="00B0172F"/>
    <w:rsid w:val="00B0176A"/>
    <w:rsid w:val="00B01803"/>
    <w:rsid w:val="00B01842"/>
    <w:rsid w:val="00B0186D"/>
    <w:rsid w:val="00B01888"/>
    <w:rsid w:val="00B018A4"/>
    <w:rsid w:val="00B01923"/>
    <w:rsid w:val="00B01977"/>
    <w:rsid w:val="00B019F4"/>
    <w:rsid w:val="00B01AFC"/>
    <w:rsid w:val="00B01B08"/>
    <w:rsid w:val="00B01B9F"/>
    <w:rsid w:val="00B01C48"/>
    <w:rsid w:val="00B01C63"/>
    <w:rsid w:val="00B01CD3"/>
    <w:rsid w:val="00B01DFD"/>
    <w:rsid w:val="00B01E6D"/>
    <w:rsid w:val="00B01F7D"/>
    <w:rsid w:val="00B01F9E"/>
    <w:rsid w:val="00B01FB2"/>
    <w:rsid w:val="00B02028"/>
    <w:rsid w:val="00B02062"/>
    <w:rsid w:val="00B02124"/>
    <w:rsid w:val="00B0214B"/>
    <w:rsid w:val="00B024A8"/>
    <w:rsid w:val="00B024BA"/>
    <w:rsid w:val="00B026BF"/>
    <w:rsid w:val="00B0284A"/>
    <w:rsid w:val="00B0290C"/>
    <w:rsid w:val="00B02920"/>
    <w:rsid w:val="00B02B16"/>
    <w:rsid w:val="00B02C24"/>
    <w:rsid w:val="00B02D05"/>
    <w:rsid w:val="00B02F09"/>
    <w:rsid w:val="00B02F0F"/>
    <w:rsid w:val="00B02F1C"/>
    <w:rsid w:val="00B02FFA"/>
    <w:rsid w:val="00B03051"/>
    <w:rsid w:val="00B0306F"/>
    <w:rsid w:val="00B03161"/>
    <w:rsid w:val="00B0329C"/>
    <w:rsid w:val="00B0344A"/>
    <w:rsid w:val="00B03596"/>
    <w:rsid w:val="00B035CB"/>
    <w:rsid w:val="00B03700"/>
    <w:rsid w:val="00B03778"/>
    <w:rsid w:val="00B037A1"/>
    <w:rsid w:val="00B037AF"/>
    <w:rsid w:val="00B037E4"/>
    <w:rsid w:val="00B037EF"/>
    <w:rsid w:val="00B038B9"/>
    <w:rsid w:val="00B038F2"/>
    <w:rsid w:val="00B03982"/>
    <w:rsid w:val="00B039A7"/>
    <w:rsid w:val="00B03A7B"/>
    <w:rsid w:val="00B03ACF"/>
    <w:rsid w:val="00B03AF7"/>
    <w:rsid w:val="00B03B04"/>
    <w:rsid w:val="00B03BD0"/>
    <w:rsid w:val="00B03D4C"/>
    <w:rsid w:val="00B03DD7"/>
    <w:rsid w:val="00B03E7D"/>
    <w:rsid w:val="00B03E9E"/>
    <w:rsid w:val="00B04002"/>
    <w:rsid w:val="00B042A4"/>
    <w:rsid w:val="00B04412"/>
    <w:rsid w:val="00B04469"/>
    <w:rsid w:val="00B044D8"/>
    <w:rsid w:val="00B044F2"/>
    <w:rsid w:val="00B045B1"/>
    <w:rsid w:val="00B046B2"/>
    <w:rsid w:val="00B04734"/>
    <w:rsid w:val="00B047C5"/>
    <w:rsid w:val="00B0481C"/>
    <w:rsid w:val="00B04879"/>
    <w:rsid w:val="00B049E5"/>
    <w:rsid w:val="00B04A43"/>
    <w:rsid w:val="00B04BE5"/>
    <w:rsid w:val="00B04C38"/>
    <w:rsid w:val="00B04EFD"/>
    <w:rsid w:val="00B05175"/>
    <w:rsid w:val="00B051E1"/>
    <w:rsid w:val="00B05212"/>
    <w:rsid w:val="00B053A7"/>
    <w:rsid w:val="00B05404"/>
    <w:rsid w:val="00B0542A"/>
    <w:rsid w:val="00B0545B"/>
    <w:rsid w:val="00B054E0"/>
    <w:rsid w:val="00B055C3"/>
    <w:rsid w:val="00B0561D"/>
    <w:rsid w:val="00B0578E"/>
    <w:rsid w:val="00B0580C"/>
    <w:rsid w:val="00B058F4"/>
    <w:rsid w:val="00B0592E"/>
    <w:rsid w:val="00B05988"/>
    <w:rsid w:val="00B0599B"/>
    <w:rsid w:val="00B05A65"/>
    <w:rsid w:val="00B05ADB"/>
    <w:rsid w:val="00B05D32"/>
    <w:rsid w:val="00B05D33"/>
    <w:rsid w:val="00B05D49"/>
    <w:rsid w:val="00B05D63"/>
    <w:rsid w:val="00B05DDB"/>
    <w:rsid w:val="00B05E05"/>
    <w:rsid w:val="00B05E08"/>
    <w:rsid w:val="00B05E0D"/>
    <w:rsid w:val="00B05EA0"/>
    <w:rsid w:val="00B05F9B"/>
    <w:rsid w:val="00B060D6"/>
    <w:rsid w:val="00B06127"/>
    <w:rsid w:val="00B0612D"/>
    <w:rsid w:val="00B06165"/>
    <w:rsid w:val="00B061A6"/>
    <w:rsid w:val="00B061AB"/>
    <w:rsid w:val="00B0629B"/>
    <w:rsid w:val="00B062D2"/>
    <w:rsid w:val="00B063CF"/>
    <w:rsid w:val="00B06691"/>
    <w:rsid w:val="00B066CB"/>
    <w:rsid w:val="00B06705"/>
    <w:rsid w:val="00B0676C"/>
    <w:rsid w:val="00B067C2"/>
    <w:rsid w:val="00B06AB8"/>
    <w:rsid w:val="00B06AE7"/>
    <w:rsid w:val="00B06CE2"/>
    <w:rsid w:val="00B06DD7"/>
    <w:rsid w:val="00B06EB4"/>
    <w:rsid w:val="00B06FB5"/>
    <w:rsid w:val="00B07072"/>
    <w:rsid w:val="00B07087"/>
    <w:rsid w:val="00B07297"/>
    <w:rsid w:val="00B07380"/>
    <w:rsid w:val="00B073DF"/>
    <w:rsid w:val="00B07464"/>
    <w:rsid w:val="00B07532"/>
    <w:rsid w:val="00B0754F"/>
    <w:rsid w:val="00B0756C"/>
    <w:rsid w:val="00B077F4"/>
    <w:rsid w:val="00B07855"/>
    <w:rsid w:val="00B07863"/>
    <w:rsid w:val="00B07946"/>
    <w:rsid w:val="00B079AC"/>
    <w:rsid w:val="00B07B0C"/>
    <w:rsid w:val="00B07B8C"/>
    <w:rsid w:val="00B07CF0"/>
    <w:rsid w:val="00B07D65"/>
    <w:rsid w:val="00B07DC2"/>
    <w:rsid w:val="00B07DCD"/>
    <w:rsid w:val="00B07FAB"/>
    <w:rsid w:val="00B10087"/>
    <w:rsid w:val="00B10120"/>
    <w:rsid w:val="00B10172"/>
    <w:rsid w:val="00B10253"/>
    <w:rsid w:val="00B1026D"/>
    <w:rsid w:val="00B1039D"/>
    <w:rsid w:val="00B10425"/>
    <w:rsid w:val="00B1048D"/>
    <w:rsid w:val="00B104CB"/>
    <w:rsid w:val="00B10558"/>
    <w:rsid w:val="00B1057A"/>
    <w:rsid w:val="00B10629"/>
    <w:rsid w:val="00B10694"/>
    <w:rsid w:val="00B106EE"/>
    <w:rsid w:val="00B10714"/>
    <w:rsid w:val="00B107CC"/>
    <w:rsid w:val="00B107F8"/>
    <w:rsid w:val="00B10823"/>
    <w:rsid w:val="00B10832"/>
    <w:rsid w:val="00B10836"/>
    <w:rsid w:val="00B10855"/>
    <w:rsid w:val="00B10927"/>
    <w:rsid w:val="00B10990"/>
    <w:rsid w:val="00B109A0"/>
    <w:rsid w:val="00B10BD1"/>
    <w:rsid w:val="00B10D55"/>
    <w:rsid w:val="00B10D68"/>
    <w:rsid w:val="00B10D93"/>
    <w:rsid w:val="00B10E44"/>
    <w:rsid w:val="00B10F23"/>
    <w:rsid w:val="00B10F63"/>
    <w:rsid w:val="00B10FA5"/>
    <w:rsid w:val="00B10FED"/>
    <w:rsid w:val="00B1108D"/>
    <w:rsid w:val="00B112A7"/>
    <w:rsid w:val="00B11401"/>
    <w:rsid w:val="00B115A0"/>
    <w:rsid w:val="00B116CA"/>
    <w:rsid w:val="00B11727"/>
    <w:rsid w:val="00B118DE"/>
    <w:rsid w:val="00B119D6"/>
    <w:rsid w:val="00B119D8"/>
    <w:rsid w:val="00B11A53"/>
    <w:rsid w:val="00B11AB9"/>
    <w:rsid w:val="00B11BD7"/>
    <w:rsid w:val="00B11D09"/>
    <w:rsid w:val="00B11D11"/>
    <w:rsid w:val="00B11D17"/>
    <w:rsid w:val="00B11D6F"/>
    <w:rsid w:val="00B11E87"/>
    <w:rsid w:val="00B11F6C"/>
    <w:rsid w:val="00B11FFB"/>
    <w:rsid w:val="00B12040"/>
    <w:rsid w:val="00B12081"/>
    <w:rsid w:val="00B12110"/>
    <w:rsid w:val="00B12285"/>
    <w:rsid w:val="00B1236E"/>
    <w:rsid w:val="00B123E3"/>
    <w:rsid w:val="00B12401"/>
    <w:rsid w:val="00B1249C"/>
    <w:rsid w:val="00B12545"/>
    <w:rsid w:val="00B12612"/>
    <w:rsid w:val="00B126CE"/>
    <w:rsid w:val="00B126D3"/>
    <w:rsid w:val="00B12745"/>
    <w:rsid w:val="00B1276A"/>
    <w:rsid w:val="00B12867"/>
    <w:rsid w:val="00B128FB"/>
    <w:rsid w:val="00B12977"/>
    <w:rsid w:val="00B129CD"/>
    <w:rsid w:val="00B12A5C"/>
    <w:rsid w:val="00B12A6B"/>
    <w:rsid w:val="00B12B9E"/>
    <w:rsid w:val="00B12C1C"/>
    <w:rsid w:val="00B12E1A"/>
    <w:rsid w:val="00B12E61"/>
    <w:rsid w:val="00B12F5C"/>
    <w:rsid w:val="00B12F95"/>
    <w:rsid w:val="00B13009"/>
    <w:rsid w:val="00B1322B"/>
    <w:rsid w:val="00B1330A"/>
    <w:rsid w:val="00B13352"/>
    <w:rsid w:val="00B133F1"/>
    <w:rsid w:val="00B13434"/>
    <w:rsid w:val="00B1350B"/>
    <w:rsid w:val="00B13575"/>
    <w:rsid w:val="00B135D0"/>
    <w:rsid w:val="00B135FF"/>
    <w:rsid w:val="00B13728"/>
    <w:rsid w:val="00B13796"/>
    <w:rsid w:val="00B137A4"/>
    <w:rsid w:val="00B137FF"/>
    <w:rsid w:val="00B1382F"/>
    <w:rsid w:val="00B13891"/>
    <w:rsid w:val="00B138B2"/>
    <w:rsid w:val="00B13929"/>
    <w:rsid w:val="00B1393F"/>
    <w:rsid w:val="00B13A13"/>
    <w:rsid w:val="00B13B1A"/>
    <w:rsid w:val="00B13B7F"/>
    <w:rsid w:val="00B13BD3"/>
    <w:rsid w:val="00B13BFB"/>
    <w:rsid w:val="00B13C1A"/>
    <w:rsid w:val="00B13C7A"/>
    <w:rsid w:val="00B13CFE"/>
    <w:rsid w:val="00B13D62"/>
    <w:rsid w:val="00B13D6E"/>
    <w:rsid w:val="00B13EDF"/>
    <w:rsid w:val="00B13F5C"/>
    <w:rsid w:val="00B13F7B"/>
    <w:rsid w:val="00B14023"/>
    <w:rsid w:val="00B1405E"/>
    <w:rsid w:val="00B140A5"/>
    <w:rsid w:val="00B142E6"/>
    <w:rsid w:val="00B14305"/>
    <w:rsid w:val="00B1436A"/>
    <w:rsid w:val="00B14481"/>
    <w:rsid w:val="00B1449A"/>
    <w:rsid w:val="00B1453B"/>
    <w:rsid w:val="00B14563"/>
    <w:rsid w:val="00B14578"/>
    <w:rsid w:val="00B145FE"/>
    <w:rsid w:val="00B146E6"/>
    <w:rsid w:val="00B1477E"/>
    <w:rsid w:val="00B14895"/>
    <w:rsid w:val="00B148C9"/>
    <w:rsid w:val="00B148E9"/>
    <w:rsid w:val="00B1496A"/>
    <w:rsid w:val="00B14B10"/>
    <w:rsid w:val="00B14B52"/>
    <w:rsid w:val="00B14B7C"/>
    <w:rsid w:val="00B14BAC"/>
    <w:rsid w:val="00B14BDF"/>
    <w:rsid w:val="00B14C1A"/>
    <w:rsid w:val="00B14D59"/>
    <w:rsid w:val="00B14DF9"/>
    <w:rsid w:val="00B14E0E"/>
    <w:rsid w:val="00B14E9C"/>
    <w:rsid w:val="00B14EE7"/>
    <w:rsid w:val="00B14F40"/>
    <w:rsid w:val="00B14F63"/>
    <w:rsid w:val="00B1522E"/>
    <w:rsid w:val="00B1523B"/>
    <w:rsid w:val="00B1525B"/>
    <w:rsid w:val="00B15298"/>
    <w:rsid w:val="00B15340"/>
    <w:rsid w:val="00B15470"/>
    <w:rsid w:val="00B15491"/>
    <w:rsid w:val="00B1550B"/>
    <w:rsid w:val="00B15541"/>
    <w:rsid w:val="00B1556C"/>
    <w:rsid w:val="00B15611"/>
    <w:rsid w:val="00B1563B"/>
    <w:rsid w:val="00B156D5"/>
    <w:rsid w:val="00B157EA"/>
    <w:rsid w:val="00B15873"/>
    <w:rsid w:val="00B159D6"/>
    <w:rsid w:val="00B15A68"/>
    <w:rsid w:val="00B15A88"/>
    <w:rsid w:val="00B15B80"/>
    <w:rsid w:val="00B15C6E"/>
    <w:rsid w:val="00B15C93"/>
    <w:rsid w:val="00B15D6B"/>
    <w:rsid w:val="00B15D8F"/>
    <w:rsid w:val="00B15DD3"/>
    <w:rsid w:val="00B15E71"/>
    <w:rsid w:val="00B15E81"/>
    <w:rsid w:val="00B15F1F"/>
    <w:rsid w:val="00B15F24"/>
    <w:rsid w:val="00B15FDC"/>
    <w:rsid w:val="00B15FF6"/>
    <w:rsid w:val="00B16079"/>
    <w:rsid w:val="00B160DC"/>
    <w:rsid w:val="00B16129"/>
    <w:rsid w:val="00B16137"/>
    <w:rsid w:val="00B1616B"/>
    <w:rsid w:val="00B1618A"/>
    <w:rsid w:val="00B16240"/>
    <w:rsid w:val="00B16358"/>
    <w:rsid w:val="00B16363"/>
    <w:rsid w:val="00B163E0"/>
    <w:rsid w:val="00B16451"/>
    <w:rsid w:val="00B164EA"/>
    <w:rsid w:val="00B16518"/>
    <w:rsid w:val="00B16579"/>
    <w:rsid w:val="00B16594"/>
    <w:rsid w:val="00B166BE"/>
    <w:rsid w:val="00B16769"/>
    <w:rsid w:val="00B16775"/>
    <w:rsid w:val="00B16784"/>
    <w:rsid w:val="00B1680B"/>
    <w:rsid w:val="00B168D4"/>
    <w:rsid w:val="00B16960"/>
    <w:rsid w:val="00B169A3"/>
    <w:rsid w:val="00B16BCC"/>
    <w:rsid w:val="00B16EF3"/>
    <w:rsid w:val="00B17077"/>
    <w:rsid w:val="00B170EB"/>
    <w:rsid w:val="00B17167"/>
    <w:rsid w:val="00B1719D"/>
    <w:rsid w:val="00B172C8"/>
    <w:rsid w:val="00B17460"/>
    <w:rsid w:val="00B175F4"/>
    <w:rsid w:val="00B17657"/>
    <w:rsid w:val="00B176E0"/>
    <w:rsid w:val="00B17741"/>
    <w:rsid w:val="00B1781E"/>
    <w:rsid w:val="00B17A32"/>
    <w:rsid w:val="00B17A4C"/>
    <w:rsid w:val="00B17A6E"/>
    <w:rsid w:val="00B17AC6"/>
    <w:rsid w:val="00B17BDA"/>
    <w:rsid w:val="00B17CA6"/>
    <w:rsid w:val="00B17D5A"/>
    <w:rsid w:val="00B17D8E"/>
    <w:rsid w:val="00B17E8D"/>
    <w:rsid w:val="00B17EAD"/>
    <w:rsid w:val="00B17ECF"/>
    <w:rsid w:val="00B17ED1"/>
    <w:rsid w:val="00B17FA2"/>
    <w:rsid w:val="00B20178"/>
    <w:rsid w:val="00B2022A"/>
    <w:rsid w:val="00B203B1"/>
    <w:rsid w:val="00B20418"/>
    <w:rsid w:val="00B20452"/>
    <w:rsid w:val="00B2045D"/>
    <w:rsid w:val="00B20727"/>
    <w:rsid w:val="00B2076E"/>
    <w:rsid w:val="00B207A1"/>
    <w:rsid w:val="00B20841"/>
    <w:rsid w:val="00B20847"/>
    <w:rsid w:val="00B20869"/>
    <w:rsid w:val="00B209BE"/>
    <w:rsid w:val="00B20A0C"/>
    <w:rsid w:val="00B20B59"/>
    <w:rsid w:val="00B20BC2"/>
    <w:rsid w:val="00B20BC4"/>
    <w:rsid w:val="00B20C78"/>
    <w:rsid w:val="00B20CD8"/>
    <w:rsid w:val="00B20D46"/>
    <w:rsid w:val="00B20DE8"/>
    <w:rsid w:val="00B20E85"/>
    <w:rsid w:val="00B20E88"/>
    <w:rsid w:val="00B20EDE"/>
    <w:rsid w:val="00B20F45"/>
    <w:rsid w:val="00B2100B"/>
    <w:rsid w:val="00B2119F"/>
    <w:rsid w:val="00B211BB"/>
    <w:rsid w:val="00B211E1"/>
    <w:rsid w:val="00B21290"/>
    <w:rsid w:val="00B214FF"/>
    <w:rsid w:val="00B215DB"/>
    <w:rsid w:val="00B21699"/>
    <w:rsid w:val="00B2184B"/>
    <w:rsid w:val="00B21A3C"/>
    <w:rsid w:val="00B21B1A"/>
    <w:rsid w:val="00B21B91"/>
    <w:rsid w:val="00B21BF4"/>
    <w:rsid w:val="00B21C04"/>
    <w:rsid w:val="00B21C46"/>
    <w:rsid w:val="00B21CA3"/>
    <w:rsid w:val="00B21D8D"/>
    <w:rsid w:val="00B21DBB"/>
    <w:rsid w:val="00B21DEC"/>
    <w:rsid w:val="00B21DF8"/>
    <w:rsid w:val="00B21E0D"/>
    <w:rsid w:val="00B21F18"/>
    <w:rsid w:val="00B21F92"/>
    <w:rsid w:val="00B21FBB"/>
    <w:rsid w:val="00B21FC3"/>
    <w:rsid w:val="00B2203E"/>
    <w:rsid w:val="00B2209E"/>
    <w:rsid w:val="00B22261"/>
    <w:rsid w:val="00B22475"/>
    <w:rsid w:val="00B224FC"/>
    <w:rsid w:val="00B225E9"/>
    <w:rsid w:val="00B22609"/>
    <w:rsid w:val="00B22641"/>
    <w:rsid w:val="00B22649"/>
    <w:rsid w:val="00B22699"/>
    <w:rsid w:val="00B226A7"/>
    <w:rsid w:val="00B226B5"/>
    <w:rsid w:val="00B2270C"/>
    <w:rsid w:val="00B22775"/>
    <w:rsid w:val="00B227BF"/>
    <w:rsid w:val="00B2289E"/>
    <w:rsid w:val="00B228F7"/>
    <w:rsid w:val="00B229EB"/>
    <w:rsid w:val="00B22A64"/>
    <w:rsid w:val="00B22AD8"/>
    <w:rsid w:val="00B22B84"/>
    <w:rsid w:val="00B22BB6"/>
    <w:rsid w:val="00B22BD4"/>
    <w:rsid w:val="00B22BDB"/>
    <w:rsid w:val="00B22BEE"/>
    <w:rsid w:val="00B22BF3"/>
    <w:rsid w:val="00B22D70"/>
    <w:rsid w:val="00B22ED7"/>
    <w:rsid w:val="00B22EFC"/>
    <w:rsid w:val="00B22F81"/>
    <w:rsid w:val="00B22FED"/>
    <w:rsid w:val="00B23052"/>
    <w:rsid w:val="00B230E7"/>
    <w:rsid w:val="00B230F9"/>
    <w:rsid w:val="00B231EF"/>
    <w:rsid w:val="00B232B1"/>
    <w:rsid w:val="00B2332D"/>
    <w:rsid w:val="00B233A8"/>
    <w:rsid w:val="00B233B9"/>
    <w:rsid w:val="00B233E2"/>
    <w:rsid w:val="00B2347D"/>
    <w:rsid w:val="00B234C6"/>
    <w:rsid w:val="00B234EF"/>
    <w:rsid w:val="00B23564"/>
    <w:rsid w:val="00B23602"/>
    <w:rsid w:val="00B236DA"/>
    <w:rsid w:val="00B237EC"/>
    <w:rsid w:val="00B23892"/>
    <w:rsid w:val="00B2390B"/>
    <w:rsid w:val="00B23947"/>
    <w:rsid w:val="00B2399B"/>
    <w:rsid w:val="00B23A90"/>
    <w:rsid w:val="00B23B5B"/>
    <w:rsid w:val="00B23C06"/>
    <w:rsid w:val="00B23D9D"/>
    <w:rsid w:val="00B23DFF"/>
    <w:rsid w:val="00B23EED"/>
    <w:rsid w:val="00B23F67"/>
    <w:rsid w:val="00B240CF"/>
    <w:rsid w:val="00B24267"/>
    <w:rsid w:val="00B242D4"/>
    <w:rsid w:val="00B24357"/>
    <w:rsid w:val="00B2435B"/>
    <w:rsid w:val="00B24425"/>
    <w:rsid w:val="00B244B3"/>
    <w:rsid w:val="00B24534"/>
    <w:rsid w:val="00B2454F"/>
    <w:rsid w:val="00B24580"/>
    <w:rsid w:val="00B2464F"/>
    <w:rsid w:val="00B2466B"/>
    <w:rsid w:val="00B24704"/>
    <w:rsid w:val="00B24831"/>
    <w:rsid w:val="00B24906"/>
    <w:rsid w:val="00B24A36"/>
    <w:rsid w:val="00B24CF1"/>
    <w:rsid w:val="00B24D32"/>
    <w:rsid w:val="00B24DA0"/>
    <w:rsid w:val="00B24E9F"/>
    <w:rsid w:val="00B24EFD"/>
    <w:rsid w:val="00B24F2F"/>
    <w:rsid w:val="00B24F66"/>
    <w:rsid w:val="00B2508B"/>
    <w:rsid w:val="00B251ED"/>
    <w:rsid w:val="00B25224"/>
    <w:rsid w:val="00B25303"/>
    <w:rsid w:val="00B253D1"/>
    <w:rsid w:val="00B254D8"/>
    <w:rsid w:val="00B2561D"/>
    <w:rsid w:val="00B25643"/>
    <w:rsid w:val="00B25789"/>
    <w:rsid w:val="00B257AE"/>
    <w:rsid w:val="00B257B9"/>
    <w:rsid w:val="00B25821"/>
    <w:rsid w:val="00B258DD"/>
    <w:rsid w:val="00B25913"/>
    <w:rsid w:val="00B25969"/>
    <w:rsid w:val="00B25A0C"/>
    <w:rsid w:val="00B25A6A"/>
    <w:rsid w:val="00B25B1E"/>
    <w:rsid w:val="00B25CA7"/>
    <w:rsid w:val="00B25D7F"/>
    <w:rsid w:val="00B25E05"/>
    <w:rsid w:val="00B25E4B"/>
    <w:rsid w:val="00B25F3C"/>
    <w:rsid w:val="00B25F51"/>
    <w:rsid w:val="00B25F69"/>
    <w:rsid w:val="00B26001"/>
    <w:rsid w:val="00B260BB"/>
    <w:rsid w:val="00B2619B"/>
    <w:rsid w:val="00B261EC"/>
    <w:rsid w:val="00B261F3"/>
    <w:rsid w:val="00B26364"/>
    <w:rsid w:val="00B263C7"/>
    <w:rsid w:val="00B26420"/>
    <w:rsid w:val="00B264D2"/>
    <w:rsid w:val="00B2658F"/>
    <w:rsid w:val="00B2669A"/>
    <w:rsid w:val="00B268E0"/>
    <w:rsid w:val="00B2690B"/>
    <w:rsid w:val="00B269E3"/>
    <w:rsid w:val="00B26BD7"/>
    <w:rsid w:val="00B26C2A"/>
    <w:rsid w:val="00B26C69"/>
    <w:rsid w:val="00B26C6D"/>
    <w:rsid w:val="00B26CAF"/>
    <w:rsid w:val="00B26CCF"/>
    <w:rsid w:val="00B26D13"/>
    <w:rsid w:val="00B26E15"/>
    <w:rsid w:val="00B26E51"/>
    <w:rsid w:val="00B26E99"/>
    <w:rsid w:val="00B26EC2"/>
    <w:rsid w:val="00B26EC7"/>
    <w:rsid w:val="00B26ECF"/>
    <w:rsid w:val="00B26ED3"/>
    <w:rsid w:val="00B26EEE"/>
    <w:rsid w:val="00B27052"/>
    <w:rsid w:val="00B2720F"/>
    <w:rsid w:val="00B272FD"/>
    <w:rsid w:val="00B27385"/>
    <w:rsid w:val="00B27591"/>
    <w:rsid w:val="00B275EA"/>
    <w:rsid w:val="00B276CD"/>
    <w:rsid w:val="00B2770F"/>
    <w:rsid w:val="00B277EC"/>
    <w:rsid w:val="00B27872"/>
    <w:rsid w:val="00B27992"/>
    <w:rsid w:val="00B27996"/>
    <w:rsid w:val="00B27998"/>
    <w:rsid w:val="00B2799D"/>
    <w:rsid w:val="00B279C1"/>
    <w:rsid w:val="00B27A85"/>
    <w:rsid w:val="00B27C58"/>
    <w:rsid w:val="00B27C7B"/>
    <w:rsid w:val="00B27C94"/>
    <w:rsid w:val="00B27D05"/>
    <w:rsid w:val="00B27D0A"/>
    <w:rsid w:val="00B27D1D"/>
    <w:rsid w:val="00B27D2E"/>
    <w:rsid w:val="00B27DC1"/>
    <w:rsid w:val="00B27E72"/>
    <w:rsid w:val="00B27E82"/>
    <w:rsid w:val="00B27EC0"/>
    <w:rsid w:val="00B27F10"/>
    <w:rsid w:val="00B27F13"/>
    <w:rsid w:val="00B27F61"/>
    <w:rsid w:val="00B30082"/>
    <w:rsid w:val="00B300AB"/>
    <w:rsid w:val="00B300DC"/>
    <w:rsid w:val="00B30149"/>
    <w:rsid w:val="00B30244"/>
    <w:rsid w:val="00B302F6"/>
    <w:rsid w:val="00B3031E"/>
    <w:rsid w:val="00B3048E"/>
    <w:rsid w:val="00B304C1"/>
    <w:rsid w:val="00B305C3"/>
    <w:rsid w:val="00B306B1"/>
    <w:rsid w:val="00B306E3"/>
    <w:rsid w:val="00B307D1"/>
    <w:rsid w:val="00B30833"/>
    <w:rsid w:val="00B30879"/>
    <w:rsid w:val="00B308C9"/>
    <w:rsid w:val="00B30904"/>
    <w:rsid w:val="00B30A4B"/>
    <w:rsid w:val="00B30A76"/>
    <w:rsid w:val="00B30C2E"/>
    <w:rsid w:val="00B30C98"/>
    <w:rsid w:val="00B30CB4"/>
    <w:rsid w:val="00B30E10"/>
    <w:rsid w:val="00B30E9B"/>
    <w:rsid w:val="00B30EB6"/>
    <w:rsid w:val="00B30F45"/>
    <w:rsid w:val="00B30F81"/>
    <w:rsid w:val="00B30FE5"/>
    <w:rsid w:val="00B31082"/>
    <w:rsid w:val="00B310A9"/>
    <w:rsid w:val="00B310AF"/>
    <w:rsid w:val="00B3112B"/>
    <w:rsid w:val="00B3113B"/>
    <w:rsid w:val="00B31153"/>
    <w:rsid w:val="00B311E9"/>
    <w:rsid w:val="00B311F8"/>
    <w:rsid w:val="00B31247"/>
    <w:rsid w:val="00B31298"/>
    <w:rsid w:val="00B31349"/>
    <w:rsid w:val="00B31376"/>
    <w:rsid w:val="00B314BC"/>
    <w:rsid w:val="00B31631"/>
    <w:rsid w:val="00B3163B"/>
    <w:rsid w:val="00B31710"/>
    <w:rsid w:val="00B31778"/>
    <w:rsid w:val="00B318FB"/>
    <w:rsid w:val="00B31A77"/>
    <w:rsid w:val="00B31ADC"/>
    <w:rsid w:val="00B31AED"/>
    <w:rsid w:val="00B31BE0"/>
    <w:rsid w:val="00B31C11"/>
    <w:rsid w:val="00B31C6C"/>
    <w:rsid w:val="00B31D7A"/>
    <w:rsid w:val="00B31DE1"/>
    <w:rsid w:val="00B31EA9"/>
    <w:rsid w:val="00B31EAF"/>
    <w:rsid w:val="00B31F3A"/>
    <w:rsid w:val="00B31F8B"/>
    <w:rsid w:val="00B31FEA"/>
    <w:rsid w:val="00B3200B"/>
    <w:rsid w:val="00B32041"/>
    <w:rsid w:val="00B32110"/>
    <w:rsid w:val="00B3221D"/>
    <w:rsid w:val="00B32315"/>
    <w:rsid w:val="00B32409"/>
    <w:rsid w:val="00B32416"/>
    <w:rsid w:val="00B325FB"/>
    <w:rsid w:val="00B32655"/>
    <w:rsid w:val="00B32683"/>
    <w:rsid w:val="00B327F7"/>
    <w:rsid w:val="00B32845"/>
    <w:rsid w:val="00B3293A"/>
    <w:rsid w:val="00B32952"/>
    <w:rsid w:val="00B3298B"/>
    <w:rsid w:val="00B329CA"/>
    <w:rsid w:val="00B329DE"/>
    <w:rsid w:val="00B329F9"/>
    <w:rsid w:val="00B32A37"/>
    <w:rsid w:val="00B32C8B"/>
    <w:rsid w:val="00B32DFA"/>
    <w:rsid w:val="00B32DFC"/>
    <w:rsid w:val="00B32E4E"/>
    <w:rsid w:val="00B32EA0"/>
    <w:rsid w:val="00B32F93"/>
    <w:rsid w:val="00B330EE"/>
    <w:rsid w:val="00B33142"/>
    <w:rsid w:val="00B331DD"/>
    <w:rsid w:val="00B3329A"/>
    <w:rsid w:val="00B332AE"/>
    <w:rsid w:val="00B33387"/>
    <w:rsid w:val="00B333B4"/>
    <w:rsid w:val="00B3354D"/>
    <w:rsid w:val="00B33571"/>
    <w:rsid w:val="00B33595"/>
    <w:rsid w:val="00B33687"/>
    <w:rsid w:val="00B33720"/>
    <w:rsid w:val="00B3378A"/>
    <w:rsid w:val="00B3382E"/>
    <w:rsid w:val="00B3392F"/>
    <w:rsid w:val="00B3398A"/>
    <w:rsid w:val="00B33A4D"/>
    <w:rsid w:val="00B33B0B"/>
    <w:rsid w:val="00B33C29"/>
    <w:rsid w:val="00B33D47"/>
    <w:rsid w:val="00B33DFF"/>
    <w:rsid w:val="00B33E08"/>
    <w:rsid w:val="00B33EA4"/>
    <w:rsid w:val="00B33F3E"/>
    <w:rsid w:val="00B33FC1"/>
    <w:rsid w:val="00B34078"/>
    <w:rsid w:val="00B34192"/>
    <w:rsid w:val="00B34424"/>
    <w:rsid w:val="00B34426"/>
    <w:rsid w:val="00B3443F"/>
    <w:rsid w:val="00B3444A"/>
    <w:rsid w:val="00B34546"/>
    <w:rsid w:val="00B34598"/>
    <w:rsid w:val="00B345F0"/>
    <w:rsid w:val="00B34684"/>
    <w:rsid w:val="00B346B2"/>
    <w:rsid w:val="00B346E2"/>
    <w:rsid w:val="00B3476D"/>
    <w:rsid w:val="00B347AB"/>
    <w:rsid w:val="00B34811"/>
    <w:rsid w:val="00B3491A"/>
    <w:rsid w:val="00B349C4"/>
    <w:rsid w:val="00B34A9D"/>
    <w:rsid w:val="00B34B12"/>
    <w:rsid w:val="00B34B32"/>
    <w:rsid w:val="00B34BAE"/>
    <w:rsid w:val="00B34BC2"/>
    <w:rsid w:val="00B34C0A"/>
    <w:rsid w:val="00B34C38"/>
    <w:rsid w:val="00B34C75"/>
    <w:rsid w:val="00B34DC6"/>
    <w:rsid w:val="00B34E59"/>
    <w:rsid w:val="00B34EE8"/>
    <w:rsid w:val="00B34F7D"/>
    <w:rsid w:val="00B3517A"/>
    <w:rsid w:val="00B351DE"/>
    <w:rsid w:val="00B351E2"/>
    <w:rsid w:val="00B3535C"/>
    <w:rsid w:val="00B35393"/>
    <w:rsid w:val="00B354B1"/>
    <w:rsid w:val="00B3559E"/>
    <w:rsid w:val="00B3565E"/>
    <w:rsid w:val="00B3567F"/>
    <w:rsid w:val="00B3570E"/>
    <w:rsid w:val="00B357C1"/>
    <w:rsid w:val="00B35988"/>
    <w:rsid w:val="00B359A0"/>
    <w:rsid w:val="00B359E0"/>
    <w:rsid w:val="00B359E3"/>
    <w:rsid w:val="00B359E9"/>
    <w:rsid w:val="00B35A71"/>
    <w:rsid w:val="00B35A98"/>
    <w:rsid w:val="00B35D2A"/>
    <w:rsid w:val="00B35DD1"/>
    <w:rsid w:val="00B35E08"/>
    <w:rsid w:val="00B35F13"/>
    <w:rsid w:val="00B36085"/>
    <w:rsid w:val="00B361B2"/>
    <w:rsid w:val="00B362F3"/>
    <w:rsid w:val="00B36308"/>
    <w:rsid w:val="00B3638E"/>
    <w:rsid w:val="00B363B5"/>
    <w:rsid w:val="00B3649C"/>
    <w:rsid w:val="00B3650C"/>
    <w:rsid w:val="00B36519"/>
    <w:rsid w:val="00B36598"/>
    <w:rsid w:val="00B36710"/>
    <w:rsid w:val="00B3672E"/>
    <w:rsid w:val="00B3675C"/>
    <w:rsid w:val="00B3678B"/>
    <w:rsid w:val="00B36923"/>
    <w:rsid w:val="00B36A40"/>
    <w:rsid w:val="00B36AED"/>
    <w:rsid w:val="00B36B00"/>
    <w:rsid w:val="00B36B4E"/>
    <w:rsid w:val="00B36BA2"/>
    <w:rsid w:val="00B36BE9"/>
    <w:rsid w:val="00B36C75"/>
    <w:rsid w:val="00B36CB1"/>
    <w:rsid w:val="00B36E88"/>
    <w:rsid w:val="00B36EEC"/>
    <w:rsid w:val="00B36F61"/>
    <w:rsid w:val="00B36FA1"/>
    <w:rsid w:val="00B36FEF"/>
    <w:rsid w:val="00B3702A"/>
    <w:rsid w:val="00B37137"/>
    <w:rsid w:val="00B3724F"/>
    <w:rsid w:val="00B37328"/>
    <w:rsid w:val="00B37334"/>
    <w:rsid w:val="00B373A1"/>
    <w:rsid w:val="00B3742D"/>
    <w:rsid w:val="00B376A7"/>
    <w:rsid w:val="00B376BF"/>
    <w:rsid w:val="00B3771A"/>
    <w:rsid w:val="00B3774D"/>
    <w:rsid w:val="00B37874"/>
    <w:rsid w:val="00B3799B"/>
    <w:rsid w:val="00B37A3D"/>
    <w:rsid w:val="00B37ABF"/>
    <w:rsid w:val="00B37ACB"/>
    <w:rsid w:val="00B37B3F"/>
    <w:rsid w:val="00B37B75"/>
    <w:rsid w:val="00B37C0A"/>
    <w:rsid w:val="00B37C6B"/>
    <w:rsid w:val="00B37C8C"/>
    <w:rsid w:val="00B37D99"/>
    <w:rsid w:val="00B37DF3"/>
    <w:rsid w:val="00B37E73"/>
    <w:rsid w:val="00B37E81"/>
    <w:rsid w:val="00B37F31"/>
    <w:rsid w:val="00B37F72"/>
    <w:rsid w:val="00B37F94"/>
    <w:rsid w:val="00B37FB2"/>
    <w:rsid w:val="00B40096"/>
    <w:rsid w:val="00B400C9"/>
    <w:rsid w:val="00B4012D"/>
    <w:rsid w:val="00B40357"/>
    <w:rsid w:val="00B40431"/>
    <w:rsid w:val="00B404F7"/>
    <w:rsid w:val="00B405C7"/>
    <w:rsid w:val="00B4062B"/>
    <w:rsid w:val="00B40915"/>
    <w:rsid w:val="00B409AB"/>
    <w:rsid w:val="00B40A03"/>
    <w:rsid w:val="00B40AD9"/>
    <w:rsid w:val="00B40AF7"/>
    <w:rsid w:val="00B40B0E"/>
    <w:rsid w:val="00B40BA1"/>
    <w:rsid w:val="00B40C01"/>
    <w:rsid w:val="00B40C35"/>
    <w:rsid w:val="00B40C6F"/>
    <w:rsid w:val="00B40CF2"/>
    <w:rsid w:val="00B40D7B"/>
    <w:rsid w:val="00B40DE2"/>
    <w:rsid w:val="00B40E4B"/>
    <w:rsid w:val="00B40EB6"/>
    <w:rsid w:val="00B40F68"/>
    <w:rsid w:val="00B40FB8"/>
    <w:rsid w:val="00B41009"/>
    <w:rsid w:val="00B4104F"/>
    <w:rsid w:val="00B41083"/>
    <w:rsid w:val="00B410F4"/>
    <w:rsid w:val="00B41101"/>
    <w:rsid w:val="00B41175"/>
    <w:rsid w:val="00B4121B"/>
    <w:rsid w:val="00B412F2"/>
    <w:rsid w:val="00B41322"/>
    <w:rsid w:val="00B41473"/>
    <w:rsid w:val="00B415CC"/>
    <w:rsid w:val="00B4163C"/>
    <w:rsid w:val="00B4172C"/>
    <w:rsid w:val="00B41747"/>
    <w:rsid w:val="00B4178E"/>
    <w:rsid w:val="00B41805"/>
    <w:rsid w:val="00B41881"/>
    <w:rsid w:val="00B4191B"/>
    <w:rsid w:val="00B41A2D"/>
    <w:rsid w:val="00B41AAD"/>
    <w:rsid w:val="00B41BEA"/>
    <w:rsid w:val="00B41BF8"/>
    <w:rsid w:val="00B41C08"/>
    <w:rsid w:val="00B41C7F"/>
    <w:rsid w:val="00B41C8A"/>
    <w:rsid w:val="00B41D36"/>
    <w:rsid w:val="00B41DD5"/>
    <w:rsid w:val="00B41F03"/>
    <w:rsid w:val="00B41FB3"/>
    <w:rsid w:val="00B41FF5"/>
    <w:rsid w:val="00B4202B"/>
    <w:rsid w:val="00B42113"/>
    <w:rsid w:val="00B421B5"/>
    <w:rsid w:val="00B421C9"/>
    <w:rsid w:val="00B421F3"/>
    <w:rsid w:val="00B42235"/>
    <w:rsid w:val="00B4223C"/>
    <w:rsid w:val="00B422CB"/>
    <w:rsid w:val="00B42354"/>
    <w:rsid w:val="00B4238A"/>
    <w:rsid w:val="00B423D3"/>
    <w:rsid w:val="00B42620"/>
    <w:rsid w:val="00B42628"/>
    <w:rsid w:val="00B42687"/>
    <w:rsid w:val="00B4276D"/>
    <w:rsid w:val="00B42820"/>
    <w:rsid w:val="00B428CE"/>
    <w:rsid w:val="00B428D9"/>
    <w:rsid w:val="00B428E5"/>
    <w:rsid w:val="00B42964"/>
    <w:rsid w:val="00B4297E"/>
    <w:rsid w:val="00B42993"/>
    <w:rsid w:val="00B42A33"/>
    <w:rsid w:val="00B42B01"/>
    <w:rsid w:val="00B42BE6"/>
    <w:rsid w:val="00B42C94"/>
    <w:rsid w:val="00B42E98"/>
    <w:rsid w:val="00B42F03"/>
    <w:rsid w:val="00B42F49"/>
    <w:rsid w:val="00B4306C"/>
    <w:rsid w:val="00B430C9"/>
    <w:rsid w:val="00B430CD"/>
    <w:rsid w:val="00B43158"/>
    <w:rsid w:val="00B4322D"/>
    <w:rsid w:val="00B4323C"/>
    <w:rsid w:val="00B432A6"/>
    <w:rsid w:val="00B432A9"/>
    <w:rsid w:val="00B43314"/>
    <w:rsid w:val="00B434E8"/>
    <w:rsid w:val="00B43639"/>
    <w:rsid w:val="00B43656"/>
    <w:rsid w:val="00B4368C"/>
    <w:rsid w:val="00B436D9"/>
    <w:rsid w:val="00B4383B"/>
    <w:rsid w:val="00B438DE"/>
    <w:rsid w:val="00B43955"/>
    <w:rsid w:val="00B43AE2"/>
    <w:rsid w:val="00B43B36"/>
    <w:rsid w:val="00B43C03"/>
    <w:rsid w:val="00B43C74"/>
    <w:rsid w:val="00B43CC5"/>
    <w:rsid w:val="00B43CCA"/>
    <w:rsid w:val="00B43D3F"/>
    <w:rsid w:val="00B43DE6"/>
    <w:rsid w:val="00B43ED7"/>
    <w:rsid w:val="00B43EDA"/>
    <w:rsid w:val="00B43F40"/>
    <w:rsid w:val="00B43FB3"/>
    <w:rsid w:val="00B4402F"/>
    <w:rsid w:val="00B441E6"/>
    <w:rsid w:val="00B44236"/>
    <w:rsid w:val="00B44295"/>
    <w:rsid w:val="00B442C3"/>
    <w:rsid w:val="00B442FA"/>
    <w:rsid w:val="00B4452E"/>
    <w:rsid w:val="00B4462E"/>
    <w:rsid w:val="00B4478B"/>
    <w:rsid w:val="00B447A0"/>
    <w:rsid w:val="00B4480D"/>
    <w:rsid w:val="00B4486E"/>
    <w:rsid w:val="00B44985"/>
    <w:rsid w:val="00B449E6"/>
    <w:rsid w:val="00B44BC6"/>
    <w:rsid w:val="00B44BDB"/>
    <w:rsid w:val="00B44BE2"/>
    <w:rsid w:val="00B44C1E"/>
    <w:rsid w:val="00B44C5F"/>
    <w:rsid w:val="00B44D30"/>
    <w:rsid w:val="00B44E4F"/>
    <w:rsid w:val="00B44F7A"/>
    <w:rsid w:val="00B4500C"/>
    <w:rsid w:val="00B4505B"/>
    <w:rsid w:val="00B45099"/>
    <w:rsid w:val="00B450A8"/>
    <w:rsid w:val="00B4513A"/>
    <w:rsid w:val="00B45207"/>
    <w:rsid w:val="00B454E6"/>
    <w:rsid w:val="00B45534"/>
    <w:rsid w:val="00B45647"/>
    <w:rsid w:val="00B4564D"/>
    <w:rsid w:val="00B457C2"/>
    <w:rsid w:val="00B45908"/>
    <w:rsid w:val="00B45A1A"/>
    <w:rsid w:val="00B45A20"/>
    <w:rsid w:val="00B45A5F"/>
    <w:rsid w:val="00B45B00"/>
    <w:rsid w:val="00B45B95"/>
    <w:rsid w:val="00B45BE6"/>
    <w:rsid w:val="00B45F42"/>
    <w:rsid w:val="00B45F5C"/>
    <w:rsid w:val="00B45FB4"/>
    <w:rsid w:val="00B45FF1"/>
    <w:rsid w:val="00B460E8"/>
    <w:rsid w:val="00B4610C"/>
    <w:rsid w:val="00B46241"/>
    <w:rsid w:val="00B46269"/>
    <w:rsid w:val="00B4626B"/>
    <w:rsid w:val="00B46572"/>
    <w:rsid w:val="00B46697"/>
    <w:rsid w:val="00B4676B"/>
    <w:rsid w:val="00B46875"/>
    <w:rsid w:val="00B46AB2"/>
    <w:rsid w:val="00B46ADC"/>
    <w:rsid w:val="00B46B2D"/>
    <w:rsid w:val="00B46B32"/>
    <w:rsid w:val="00B46BCA"/>
    <w:rsid w:val="00B46D14"/>
    <w:rsid w:val="00B46D29"/>
    <w:rsid w:val="00B46E05"/>
    <w:rsid w:val="00B46E42"/>
    <w:rsid w:val="00B46EA1"/>
    <w:rsid w:val="00B46FD2"/>
    <w:rsid w:val="00B4704F"/>
    <w:rsid w:val="00B4707B"/>
    <w:rsid w:val="00B47120"/>
    <w:rsid w:val="00B4730D"/>
    <w:rsid w:val="00B47316"/>
    <w:rsid w:val="00B473B6"/>
    <w:rsid w:val="00B4743F"/>
    <w:rsid w:val="00B4755A"/>
    <w:rsid w:val="00B4758D"/>
    <w:rsid w:val="00B476C7"/>
    <w:rsid w:val="00B4776C"/>
    <w:rsid w:val="00B47771"/>
    <w:rsid w:val="00B477EC"/>
    <w:rsid w:val="00B4790C"/>
    <w:rsid w:val="00B4792E"/>
    <w:rsid w:val="00B47979"/>
    <w:rsid w:val="00B47A50"/>
    <w:rsid w:val="00B47B53"/>
    <w:rsid w:val="00B47CBA"/>
    <w:rsid w:val="00B47D18"/>
    <w:rsid w:val="00B47D1A"/>
    <w:rsid w:val="00B47DBF"/>
    <w:rsid w:val="00B47E08"/>
    <w:rsid w:val="00B47E5B"/>
    <w:rsid w:val="00B47E97"/>
    <w:rsid w:val="00B47F1D"/>
    <w:rsid w:val="00B47F59"/>
    <w:rsid w:val="00B50141"/>
    <w:rsid w:val="00B50154"/>
    <w:rsid w:val="00B50258"/>
    <w:rsid w:val="00B50273"/>
    <w:rsid w:val="00B503CE"/>
    <w:rsid w:val="00B50404"/>
    <w:rsid w:val="00B50422"/>
    <w:rsid w:val="00B504F1"/>
    <w:rsid w:val="00B50512"/>
    <w:rsid w:val="00B505F8"/>
    <w:rsid w:val="00B50686"/>
    <w:rsid w:val="00B506DC"/>
    <w:rsid w:val="00B5073E"/>
    <w:rsid w:val="00B507C9"/>
    <w:rsid w:val="00B50843"/>
    <w:rsid w:val="00B50863"/>
    <w:rsid w:val="00B50897"/>
    <w:rsid w:val="00B508BB"/>
    <w:rsid w:val="00B508DB"/>
    <w:rsid w:val="00B509AE"/>
    <w:rsid w:val="00B50A37"/>
    <w:rsid w:val="00B50C43"/>
    <w:rsid w:val="00B50CA4"/>
    <w:rsid w:val="00B50CD8"/>
    <w:rsid w:val="00B50DAB"/>
    <w:rsid w:val="00B50E7B"/>
    <w:rsid w:val="00B50E97"/>
    <w:rsid w:val="00B50F46"/>
    <w:rsid w:val="00B50FF2"/>
    <w:rsid w:val="00B510D5"/>
    <w:rsid w:val="00B511FB"/>
    <w:rsid w:val="00B51269"/>
    <w:rsid w:val="00B512B8"/>
    <w:rsid w:val="00B5134E"/>
    <w:rsid w:val="00B5135E"/>
    <w:rsid w:val="00B5136C"/>
    <w:rsid w:val="00B513C7"/>
    <w:rsid w:val="00B5161C"/>
    <w:rsid w:val="00B5164C"/>
    <w:rsid w:val="00B5178C"/>
    <w:rsid w:val="00B517D6"/>
    <w:rsid w:val="00B519D6"/>
    <w:rsid w:val="00B51A07"/>
    <w:rsid w:val="00B51ABC"/>
    <w:rsid w:val="00B51B4F"/>
    <w:rsid w:val="00B51BA1"/>
    <w:rsid w:val="00B51CC5"/>
    <w:rsid w:val="00B51D11"/>
    <w:rsid w:val="00B51D12"/>
    <w:rsid w:val="00B51D42"/>
    <w:rsid w:val="00B51D45"/>
    <w:rsid w:val="00B51E9F"/>
    <w:rsid w:val="00B51FBC"/>
    <w:rsid w:val="00B5200F"/>
    <w:rsid w:val="00B5206B"/>
    <w:rsid w:val="00B52121"/>
    <w:rsid w:val="00B521DD"/>
    <w:rsid w:val="00B521E2"/>
    <w:rsid w:val="00B52414"/>
    <w:rsid w:val="00B5243A"/>
    <w:rsid w:val="00B524C2"/>
    <w:rsid w:val="00B524E4"/>
    <w:rsid w:val="00B525EC"/>
    <w:rsid w:val="00B52641"/>
    <w:rsid w:val="00B52695"/>
    <w:rsid w:val="00B52868"/>
    <w:rsid w:val="00B5290E"/>
    <w:rsid w:val="00B52AAC"/>
    <w:rsid w:val="00B52AB2"/>
    <w:rsid w:val="00B52C41"/>
    <w:rsid w:val="00B52C74"/>
    <w:rsid w:val="00B52D1F"/>
    <w:rsid w:val="00B52D28"/>
    <w:rsid w:val="00B52D83"/>
    <w:rsid w:val="00B52E5C"/>
    <w:rsid w:val="00B52E94"/>
    <w:rsid w:val="00B52E96"/>
    <w:rsid w:val="00B52F9F"/>
    <w:rsid w:val="00B52FE5"/>
    <w:rsid w:val="00B530D7"/>
    <w:rsid w:val="00B530EA"/>
    <w:rsid w:val="00B5315A"/>
    <w:rsid w:val="00B53177"/>
    <w:rsid w:val="00B53215"/>
    <w:rsid w:val="00B5327A"/>
    <w:rsid w:val="00B5329F"/>
    <w:rsid w:val="00B53305"/>
    <w:rsid w:val="00B5342A"/>
    <w:rsid w:val="00B534D4"/>
    <w:rsid w:val="00B53502"/>
    <w:rsid w:val="00B53507"/>
    <w:rsid w:val="00B5351A"/>
    <w:rsid w:val="00B53647"/>
    <w:rsid w:val="00B5370B"/>
    <w:rsid w:val="00B53728"/>
    <w:rsid w:val="00B537CF"/>
    <w:rsid w:val="00B53A48"/>
    <w:rsid w:val="00B53A64"/>
    <w:rsid w:val="00B53B0C"/>
    <w:rsid w:val="00B53BCB"/>
    <w:rsid w:val="00B53C71"/>
    <w:rsid w:val="00B53D31"/>
    <w:rsid w:val="00B53D3F"/>
    <w:rsid w:val="00B53DC7"/>
    <w:rsid w:val="00B53DF9"/>
    <w:rsid w:val="00B53E15"/>
    <w:rsid w:val="00B540A7"/>
    <w:rsid w:val="00B54282"/>
    <w:rsid w:val="00B542E7"/>
    <w:rsid w:val="00B5446A"/>
    <w:rsid w:val="00B544F6"/>
    <w:rsid w:val="00B5462D"/>
    <w:rsid w:val="00B5464E"/>
    <w:rsid w:val="00B5468B"/>
    <w:rsid w:val="00B546BA"/>
    <w:rsid w:val="00B5471D"/>
    <w:rsid w:val="00B5472F"/>
    <w:rsid w:val="00B547ED"/>
    <w:rsid w:val="00B54932"/>
    <w:rsid w:val="00B54BD1"/>
    <w:rsid w:val="00B54C90"/>
    <w:rsid w:val="00B54D27"/>
    <w:rsid w:val="00B54D6F"/>
    <w:rsid w:val="00B54E60"/>
    <w:rsid w:val="00B54F65"/>
    <w:rsid w:val="00B5500D"/>
    <w:rsid w:val="00B55102"/>
    <w:rsid w:val="00B552A0"/>
    <w:rsid w:val="00B55335"/>
    <w:rsid w:val="00B554CA"/>
    <w:rsid w:val="00B554FD"/>
    <w:rsid w:val="00B5558C"/>
    <w:rsid w:val="00B55677"/>
    <w:rsid w:val="00B55922"/>
    <w:rsid w:val="00B5598B"/>
    <w:rsid w:val="00B55A69"/>
    <w:rsid w:val="00B55AB8"/>
    <w:rsid w:val="00B55B83"/>
    <w:rsid w:val="00B55BC7"/>
    <w:rsid w:val="00B55C39"/>
    <w:rsid w:val="00B55D4B"/>
    <w:rsid w:val="00B55D7F"/>
    <w:rsid w:val="00B55E57"/>
    <w:rsid w:val="00B55EFE"/>
    <w:rsid w:val="00B55F26"/>
    <w:rsid w:val="00B55F59"/>
    <w:rsid w:val="00B55FA8"/>
    <w:rsid w:val="00B560C3"/>
    <w:rsid w:val="00B5612B"/>
    <w:rsid w:val="00B562FE"/>
    <w:rsid w:val="00B56317"/>
    <w:rsid w:val="00B56323"/>
    <w:rsid w:val="00B5634D"/>
    <w:rsid w:val="00B563EF"/>
    <w:rsid w:val="00B5646B"/>
    <w:rsid w:val="00B5648D"/>
    <w:rsid w:val="00B564D6"/>
    <w:rsid w:val="00B56599"/>
    <w:rsid w:val="00B56837"/>
    <w:rsid w:val="00B5687E"/>
    <w:rsid w:val="00B56937"/>
    <w:rsid w:val="00B56941"/>
    <w:rsid w:val="00B569B8"/>
    <w:rsid w:val="00B56A1A"/>
    <w:rsid w:val="00B56B89"/>
    <w:rsid w:val="00B56CD7"/>
    <w:rsid w:val="00B56D4E"/>
    <w:rsid w:val="00B56DE5"/>
    <w:rsid w:val="00B56E79"/>
    <w:rsid w:val="00B56EBC"/>
    <w:rsid w:val="00B56EE1"/>
    <w:rsid w:val="00B570EC"/>
    <w:rsid w:val="00B571B0"/>
    <w:rsid w:val="00B571D4"/>
    <w:rsid w:val="00B5729A"/>
    <w:rsid w:val="00B572CA"/>
    <w:rsid w:val="00B572DD"/>
    <w:rsid w:val="00B57344"/>
    <w:rsid w:val="00B5736F"/>
    <w:rsid w:val="00B57461"/>
    <w:rsid w:val="00B576C0"/>
    <w:rsid w:val="00B576CD"/>
    <w:rsid w:val="00B5770F"/>
    <w:rsid w:val="00B5777A"/>
    <w:rsid w:val="00B57845"/>
    <w:rsid w:val="00B5786F"/>
    <w:rsid w:val="00B578F4"/>
    <w:rsid w:val="00B57918"/>
    <w:rsid w:val="00B57955"/>
    <w:rsid w:val="00B57995"/>
    <w:rsid w:val="00B57B3F"/>
    <w:rsid w:val="00B57CAC"/>
    <w:rsid w:val="00B57E10"/>
    <w:rsid w:val="00B57E83"/>
    <w:rsid w:val="00B6001D"/>
    <w:rsid w:val="00B6002A"/>
    <w:rsid w:val="00B60056"/>
    <w:rsid w:val="00B60073"/>
    <w:rsid w:val="00B600A0"/>
    <w:rsid w:val="00B60144"/>
    <w:rsid w:val="00B60174"/>
    <w:rsid w:val="00B601C2"/>
    <w:rsid w:val="00B60328"/>
    <w:rsid w:val="00B60353"/>
    <w:rsid w:val="00B6035C"/>
    <w:rsid w:val="00B6039B"/>
    <w:rsid w:val="00B603DE"/>
    <w:rsid w:val="00B60465"/>
    <w:rsid w:val="00B604C4"/>
    <w:rsid w:val="00B604D2"/>
    <w:rsid w:val="00B6051F"/>
    <w:rsid w:val="00B60578"/>
    <w:rsid w:val="00B6064A"/>
    <w:rsid w:val="00B6067E"/>
    <w:rsid w:val="00B606A7"/>
    <w:rsid w:val="00B608B1"/>
    <w:rsid w:val="00B608F7"/>
    <w:rsid w:val="00B60AF4"/>
    <w:rsid w:val="00B60B18"/>
    <w:rsid w:val="00B60C71"/>
    <w:rsid w:val="00B60D90"/>
    <w:rsid w:val="00B60E42"/>
    <w:rsid w:val="00B60F6E"/>
    <w:rsid w:val="00B60FE0"/>
    <w:rsid w:val="00B611B3"/>
    <w:rsid w:val="00B612C4"/>
    <w:rsid w:val="00B613AB"/>
    <w:rsid w:val="00B614FB"/>
    <w:rsid w:val="00B61501"/>
    <w:rsid w:val="00B61507"/>
    <w:rsid w:val="00B615D3"/>
    <w:rsid w:val="00B615FD"/>
    <w:rsid w:val="00B61643"/>
    <w:rsid w:val="00B61672"/>
    <w:rsid w:val="00B61683"/>
    <w:rsid w:val="00B617FB"/>
    <w:rsid w:val="00B6181E"/>
    <w:rsid w:val="00B61858"/>
    <w:rsid w:val="00B61899"/>
    <w:rsid w:val="00B61AA7"/>
    <w:rsid w:val="00B61B9B"/>
    <w:rsid w:val="00B61C3D"/>
    <w:rsid w:val="00B61CA2"/>
    <w:rsid w:val="00B61E3A"/>
    <w:rsid w:val="00B61FAC"/>
    <w:rsid w:val="00B62000"/>
    <w:rsid w:val="00B62034"/>
    <w:rsid w:val="00B6205C"/>
    <w:rsid w:val="00B620DB"/>
    <w:rsid w:val="00B62152"/>
    <w:rsid w:val="00B621BE"/>
    <w:rsid w:val="00B623D5"/>
    <w:rsid w:val="00B6259F"/>
    <w:rsid w:val="00B625E8"/>
    <w:rsid w:val="00B62687"/>
    <w:rsid w:val="00B62729"/>
    <w:rsid w:val="00B62787"/>
    <w:rsid w:val="00B62860"/>
    <w:rsid w:val="00B628CE"/>
    <w:rsid w:val="00B6294C"/>
    <w:rsid w:val="00B62976"/>
    <w:rsid w:val="00B62AFC"/>
    <w:rsid w:val="00B62B6F"/>
    <w:rsid w:val="00B62BE2"/>
    <w:rsid w:val="00B62C89"/>
    <w:rsid w:val="00B62CAB"/>
    <w:rsid w:val="00B62CBB"/>
    <w:rsid w:val="00B62D6D"/>
    <w:rsid w:val="00B62D6E"/>
    <w:rsid w:val="00B62D7B"/>
    <w:rsid w:val="00B62E7B"/>
    <w:rsid w:val="00B62FF8"/>
    <w:rsid w:val="00B630B8"/>
    <w:rsid w:val="00B631ED"/>
    <w:rsid w:val="00B63394"/>
    <w:rsid w:val="00B63582"/>
    <w:rsid w:val="00B6359A"/>
    <w:rsid w:val="00B637B2"/>
    <w:rsid w:val="00B63802"/>
    <w:rsid w:val="00B63882"/>
    <w:rsid w:val="00B639EA"/>
    <w:rsid w:val="00B63A8B"/>
    <w:rsid w:val="00B63D5D"/>
    <w:rsid w:val="00B63DE0"/>
    <w:rsid w:val="00B63E44"/>
    <w:rsid w:val="00B63E73"/>
    <w:rsid w:val="00B63E7E"/>
    <w:rsid w:val="00B63E83"/>
    <w:rsid w:val="00B63EB1"/>
    <w:rsid w:val="00B63F34"/>
    <w:rsid w:val="00B63F49"/>
    <w:rsid w:val="00B63F60"/>
    <w:rsid w:val="00B63F88"/>
    <w:rsid w:val="00B63FE7"/>
    <w:rsid w:val="00B640FE"/>
    <w:rsid w:val="00B64191"/>
    <w:rsid w:val="00B64222"/>
    <w:rsid w:val="00B64329"/>
    <w:rsid w:val="00B6436A"/>
    <w:rsid w:val="00B645D3"/>
    <w:rsid w:val="00B64649"/>
    <w:rsid w:val="00B646CB"/>
    <w:rsid w:val="00B647A7"/>
    <w:rsid w:val="00B6492E"/>
    <w:rsid w:val="00B64993"/>
    <w:rsid w:val="00B64C25"/>
    <w:rsid w:val="00B64CEE"/>
    <w:rsid w:val="00B64D87"/>
    <w:rsid w:val="00B64ED8"/>
    <w:rsid w:val="00B6501B"/>
    <w:rsid w:val="00B651A9"/>
    <w:rsid w:val="00B65295"/>
    <w:rsid w:val="00B653A7"/>
    <w:rsid w:val="00B65477"/>
    <w:rsid w:val="00B654C1"/>
    <w:rsid w:val="00B65523"/>
    <w:rsid w:val="00B65576"/>
    <w:rsid w:val="00B655F1"/>
    <w:rsid w:val="00B65647"/>
    <w:rsid w:val="00B658F0"/>
    <w:rsid w:val="00B65944"/>
    <w:rsid w:val="00B659CA"/>
    <w:rsid w:val="00B65B7C"/>
    <w:rsid w:val="00B65DD3"/>
    <w:rsid w:val="00B65E81"/>
    <w:rsid w:val="00B660A7"/>
    <w:rsid w:val="00B6619F"/>
    <w:rsid w:val="00B66296"/>
    <w:rsid w:val="00B6632F"/>
    <w:rsid w:val="00B663C8"/>
    <w:rsid w:val="00B6642E"/>
    <w:rsid w:val="00B66482"/>
    <w:rsid w:val="00B66590"/>
    <w:rsid w:val="00B665C3"/>
    <w:rsid w:val="00B66624"/>
    <w:rsid w:val="00B6671C"/>
    <w:rsid w:val="00B6678F"/>
    <w:rsid w:val="00B66901"/>
    <w:rsid w:val="00B66911"/>
    <w:rsid w:val="00B66999"/>
    <w:rsid w:val="00B66A20"/>
    <w:rsid w:val="00B66BF0"/>
    <w:rsid w:val="00B66C03"/>
    <w:rsid w:val="00B66C04"/>
    <w:rsid w:val="00B66C40"/>
    <w:rsid w:val="00B66C60"/>
    <w:rsid w:val="00B66C72"/>
    <w:rsid w:val="00B66CCE"/>
    <w:rsid w:val="00B66D3A"/>
    <w:rsid w:val="00B66D47"/>
    <w:rsid w:val="00B66E58"/>
    <w:rsid w:val="00B66F77"/>
    <w:rsid w:val="00B6703E"/>
    <w:rsid w:val="00B6707E"/>
    <w:rsid w:val="00B670D3"/>
    <w:rsid w:val="00B6714A"/>
    <w:rsid w:val="00B671BF"/>
    <w:rsid w:val="00B672D1"/>
    <w:rsid w:val="00B67300"/>
    <w:rsid w:val="00B67359"/>
    <w:rsid w:val="00B673AD"/>
    <w:rsid w:val="00B6769A"/>
    <w:rsid w:val="00B676EB"/>
    <w:rsid w:val="00B677EC"/>
    <w:rsid w:val="00B6783C"/>
    <w:rsid w:val="00B678E6"/>
    <w:rsid w:val="00B67989"/>
    <w:rsid w:val="00B679C5"/>
    <w:rsid w:val="00B679F5"/>
    <w:rsid w:val="00B679FD"/>
    <w:rsid w:val="00B67AFF"/>
    <w:rsid w:val="00B67CA4"/>
    <w:rsid w:val="00B67CF3"/>
    <w:rsid w:val="00B67D61"/>
    <w:rsid w:val="00B67E62"/>
    <w:rsid w:val="00B70053"/>
    <w:rsid w:val="00B70087"/>
    <w:rsid w:val="00B70129"/>
    <w:rsid w:val="00B70159"/>
    <w:rsid w:val="00B70223"/>
    <w:rsid w:val="00B702D6"/>
    <w:rsid w:val="00B7033D"/>
    <w:rsid w:val="00B7039C"/>
    <w:rsid w:val="00B70426"/>
    <w:rsid w:val="00B70618"/>
    <w:rsid w:val="00B706A4"/>
    <w:rsid w:val="00B706C0"/>
    <w:rsid w:val="00B70712"/>
    <w:rsid w:val="00B707DA"/>
    <w:rsid w:val="00B70848"/>
    <w:rsid w:val="00B7084A"/>
    <w:rsid w:val="00B7086E"/>
    <w:rsid w:val="00B70939"/>
    <w:rsid w:val="00B7097E"/>
    <w:rsid w:val="00B70A19"/>
    <w:rsid w:val="00B70A49"/>
    <w:rsid w:val="00B70B87"/>
    <w:rsid w:val="00B70BD4"/>
    <w:rsid w:val="00B70CCF"/>
    <w:rsid w:val="00B70E30"/>
    <w:rsid w:val="00B7104A"/>
    <w:rsid w:val="00B710E7"/>
    <w:rsid w:val="00B71118"/>
    <w:rsid w:val="00B713DE"/>
    <w:rsid w:val="00B7145D"/>
    <w:rsid w:val="00B71493"/>
    <w:rsid w:val="00B715E9"/>
    <w:rsid w:val="00B71656"/>
    <w:rsid w:val="00B716DD"/>
    <w:rsid w:val="00B716F1"/>
    <w:rsid w:val="00B7171D"/>
    <w:rsid w:val="00B71756"/>
    <w:rsid w:val="00B71785"/>
    <w:rsid w:val="00B718A8"/>
    <w:rsid w:val="00B71906"/>
    <w:rsid w:val="00B71A79"/>
    <w:rsid w:val="00B71BA2"/>
    <w:rsid w:val="00B71BD4"/>
    <w:rsid w:val="00B71C06"/>
    <w:rsid w:val="00B71C24"/>
    <w:rsid w:val="00B71DD8"/>
    <w:rsid w:val="00B71FA1"/>
    <w:rsid w:val="00B7203B"/>
    <w:rsid w:val="00B720C0"/>
    <w:rsid w:val="00B721BA"/>
    <w:rsid w:val="00B721EE"/>
    <w:rsid w:val="00B72282"/>
    <w:rsid w:val="00B7229E"/>
    <w:rsid w:val="00B722B0"/>
    <w:rsid w:val="00B722C5"/>
    <w:rsid w:val="00B722F0"/>
    <w:rsid w:val="00B7238B"/>
    <w:rsid w:val="00B7247A"/>
    <w:rsid w:val="00B724C3"/>
    <w:rsid w:val="00B72532"/>
    <w:rsid w:val="00B72546"/>
    <w:rsid w:val="00B725BA"/>
    <w:rsid w:val="00B725F1"/>
    <w:rsid w:val="00B72616"/>
    <w:rsid w:val="00B72714"/>
    <w:rsid w:val="00B727A2"/>
    <w:rsid w:val="00B7281E"/>
    <w:rsid w:val="00B728A4"/>
    <w:rsid w:val="00B72A0A"/>
    <w:rsid w:val="00B72A85"/>
    <w:rsid w:val="00B72B34"/>
    <w:rsid w:val="00B72BD9"/>
    <w:rsid w:val="00B72D93"/>
    <w:rsid w:val="00B72E31"/>
    <w:rsid w:val="00B72E4E"/>
    <w:rsid w:val="00B72EB8"/>
    <w:rsid w:val="00B72EC9"/>
    <w:rsid w:val="00B72EDC"/>
    <w:rsid w:val="00B72F46"/>
    <w:rsid w:val="00B72F5D"/>
    <w:rsid w:val="00B7308B"/>
    <w:rsid w:val="00B7309B"/>
    <w:rsid w:val="00B731FB"/>
    <w:rsid w:val="00B7320A"/>
    <w:rsid w:val="00B73386"/>
    <w:rsid w:val="00B733FD"/>
    <w:rsid w:val="00B73440"/>
    <w:rsid w:val="00B73444"/>
    <w:rsid w:val="00B735CF"/>
    <w:rsid w:val="00B7370E"/>
    <w:rsid w:val="00B738EC"/>
    <w:rsid w:val="00B7394D"/>
    <w:rsid w:val="00B739F4"/>
    <w:rsid w:val="00B73A1D"/>
    <w:rsid w:val="00B73AF1"/>
    <w:rsid w:val="00B73BAD"/>
    <w:rsid w:val="00B73CF7"/>
    <w:rsid w:val="00B73D0A"/>
    <w:rsid w:val="00B73D60"/>
    <w:rsid w:val="00B73E96"/>
    <w:rsid w:val="00B73FC2"/>
    <w:rsid w:val="00B73FDF"/>
    <w:rsid w:val="00B740BB"/>
    <w:rsid w:val="00B740C0"/>
    <w:rsid w:val="00B740D5"/>
    <w:rsid w:val="00B74248"/>
    <w:rsid w:val="00B74260"/>
    <w:rsid w:val="00B743B8"/>
    <w:rsid w:val="00B74465"/>
    <w:rsid w:val="00B7447E"/>
    <w:rsid w:val="00B745D5"/>
    <w:rsid w:val="00B74617"/>
    <w:rsid w:val="00B7465A"/>
    <w:rsid w:val="00B74726"/>
    <w:rsid w:val="00B74780"/>
    <w:rsid w:val="00B747BA"/>
    <w:rsid w:val="00B7489F"/>
    <w:rsid w:val="00B74931"/>
    <w:rsid w:val="00B749CD"/>
    <w:rsid w:val="00B74B0C"/>
    <w:rsid w:val="00B74BDF"/>
    <w:rsid w:val="00B74E0D"/>
    <w:rsid w:val="00B74E23"/>
    <w:rsid w:val="00B74F56"/>
    <w:rsid w:val="00B7502D"/>
    <w:rsid w:val="00B751B8"/>
    <w:rsid w:val="00B751C9"/>
    <w:rsid w:val="00B751FE"/>
    <w:rsid w:val="00B75211"/>
    <w:rsid w:val="00B752A9"/>
    <w:rsid w:val="00B75360"/>
    <w:rsid w:val="00B75380"/>
    <w:rsid w:val="00B75420"/>
    <w:rsid w:val="00B754F3"/>
    <w:rsid w:val="00B75577"/>
    <w:rsid w:val="00B755F9"/>
    <w:rsid w:val="00B7560C"/>
    <w:rsid w:val="00B75619"/>
    <w:rsid w:val="00B756C5"/>
    <w:rsid w:val="00B7578A"/>
    <w:rsid w:val="00B757D1"/>
    <w:rsid w:val="00B758C6"/>
    <w:rsid w:val="00B75A5B"/>
    <w:rsid w:val="00B75AD4"/>
    <w:rsid w:val="00B75AE1"/>
    <w:rsid w:val="00B75B53"/>
    <w:rsid w:val="00B75C07"/>
    <w:rsid w:val="00B75C95"/>
    <w:rsid w:val="00B75D4E"/>
    <w:rsid w:val="00B75DD1"/>
    <w:rsid w:val="00B75DE0"/>
    <w:rsid w:val="00B75DFD"/>
    <w:rsid w:val="00B75EBB"/>
    <w:rsid w:val="00B76037"/>
    <w:rsid w:val="00B760D9"/>
    <w:rsid w:val="00B7610A"/>
    <w:rsid w:val="00B76128"/>
    <w:rsid w:val="00B761A3"/>
    <w:rsid w:val="00B76248"/>
    <w:rsid w:val="00B76257"/>
    <w:rsid w:val="00B762BA"/>
    <w:rsid w:val="00B762D5"/>
    <w:rsid w:val="00B762E2"/>
    <w:rsid w:val="00B762EF"/>
    <w:rsid w:val="00B7659E"/>
    <w:rsid w:val="00B7661D"/>
    <w:rsid w:val="00B766D1"/>
    <w:rsid w:val="00B76839"/>
    <w:rsid w:val="00B7688C"/>
    <w:rsid w:val="00B76898"/>
    <w:rsid w:val="00B76928"/>
    <w:rsid w:val="00B769ED"/>
    <w:rsid w:val="00B76A10"/>
    <w:rsid w:val="00B76B9E"/>
    <w:rsid w:val="00B76C70"/>
    <w:rsid w:val="00B76DDB"/>
    <w:rsid w:val="00B76F88"/>
    <w:rsid w:val="00B77096"/>
    <w:rsid w:val="00B77214"/>
    <w:rsid w:val="00B7722A"/>
    <w:rsid w:val="00B77332"/>
    <w:rsid w:val="00B7733F"/>
    <w:rsid w:val="00B774FD"/>
    <w:rsid w:val="00B77509"/>
    <w:rsid w:val="00B77783"/>
    <w:rsid w:val="00B777B0"/>
    <w:rsid w:val="00B777F7"/>
    <w:rsid w:val="00B779CF"/>
    <w:rsid w:val="00B779E5"/>
    <w:rsid w:val="00B77AD3"/>
    <w:rsid w:val="00B77B01"/>
    <w:rsid w:val="00B77B07"/>
    <w:rsid w:val="00B77B24"/>
    <w:rsid w:val="00B77B7D"/>
    <w:rsid w:val="00B77BA2"/>
    <w:rsid w:val="00B77BB5"/>
    <w:rsid w:val="00B77BFE"/>
    <w:rsid w:val="00B77C53"/>
    <w:rsid w:val="00B77C66"/>
    <w:rsid w:val="00B77CC1"/>
    <w:rsid w:val="00B77DC6"/>
    <w:rsid w:val="00B77DDF"/>
    <w:rsid w:val="00B77E1A"/>
    <w:rsid w:val="00B77E40"/>
    <w:rsid w:val="00B77F88"/>
    <w:rsid w:val="00B80003"/>
    <w:rsid w:val="00B8003F"/>
    <w:rsid w:val="00B800A1"/>
    <w:rsid w:val="00B80122"/>
    <w:rsid w:val="00B80194"/>
    <w:rsid w:val="00B8022E"/>
    <w:rsid w:val="00B802DF"/>
    <w:rsid w:val="00B802F1"/>
    <w:rsid w:val="00B8034E"/>
    <w:rsid w:val="00B803BC"/>
    <w:rsid w:val="00B8046A"/>
    <w:rsid w:val="00B80631"/>
    <w:rsid w:val="00B806FB"/>
    <w:rsid w:val="00B80767"/>
    <w:rsid w:val="00B80850"/>
    <w:rsid w:val="00B80967"/>
    <w:rsid w:val="00B809CF"/>
    <w:rsid w:val="00B80A31"/>
    <w:rsid w:val="00B80AEE"/>
    <w:rsid w:val="00B80C40"/>
    <w:rsid w:val="00B80D9A"/>
    <w:rsid w:val="00B81035"/>
    <w:rsid w:val="00B810C2"/>
    <w:rsid w:val="00B810CF"/>
    <w:rsid w:val="00B810E2"/>
    <w:rsid w:val="00B81127"/>
    <w:rsid w:val="00B81153"/>
    <w:rsid w:val="00B81161"/>
    <w:rsid w:val="00B811ED"/>
    <w:rsid w:val="00B812A0"/>
    <w:rsid w:val="00B812E5"/>
    <w:rsid w:val="00B812EE"/>
    <w:rsid w:val="00B813D9"/>
    <w:rsid w:val="00B81409"/>
    <w:rsid w:val="00B8142D"/>
    <w:rsid w:val="00B81539"/>
    <w:rsid w:val="00B81561"/>
    <w:rsid w:val="00B81572"/>
    <w:rsid w:val="00B8168B"/>
    <w:rsid w:val="00B81936"/>
    <w:rsid w:val="00B81950"/>
    <w:rsid w:val="00B81964"/>
    <w:rsid w:val="00B81A64"/>
    <w:rsid w:val="00B81B40"/>
    <w:rsid w:val="00B81CAB"/>
    <w:rsid w:val="00B81D55"/>
    <w:rsid w:val="00B81EC5"/>
    <w:rsid w:val="00B81F2A"/>
    <w:rsid w:val="00B81F50"/>
    <w:rsid w:val="00B8211F"/>
    <w:rsid w:val="00B82143"/>
    <w:rsid w:val="00B82172"/>
    <w:rsid w:val="00B8224D"/>
    <w:rsid w:val="00B82316"/>
    <w:rsid w:val="00B82395"/>
    <w:rsid w:val="00B82455"/>
    <w:rsid w:val="00B8256A"/>
    <w:rsid w:val="00B825B5"/>
    <w:rsid w:val="00B82682"/>
    <w:rsid w:val="00B82763"/>
    <w:rsid w:val="00B82766"/>
    <w:rsid w:val="00B82772"/>
    <w:rsid w:val="00B828CA"/>
    <w:rsid w:val="00B82A65"/>
    <w:rsid w:val="00B82A84"/>
    <w:rsid w:val="00B82A97"/>
    <w:rsid w:val="00B82ADF"/>
    <w:rsid w:val="00B82BAF"/>
    <w:rsid w:val="00B82BB2"/>
    <w:rsid w:val="00B82BE7"/>
    <w:rsid w:val="00B82C31"/>
    <w:rsid w:val="00B82C3D"/>
    <w:rsid w:val="00B82D90"/>
    <w:rsid w:val="00B82E30"/>
    <w:rsid w:val="00B82EE0"/>
    <w:rsid w:val="00B82F63"/>
    <w:rsid w:val="00B82FCE"/>
    <w:rsid w:val="00B8301B"/>
    <w:rsid w:val="00B83022"/>
    <w:rsid w:val="00B83077"/>
    <w:rsid w:val="00B8308F"/>
    <w:rsid w:val="00B8317F"/>
    <w:rsid w:val="00B831D6"/>
    <w:rsid w:val="00B831E5"/>
    <w:rsid w:val="00B831EB"/>
    <w:rsid w:val="00B83209"/>
    <w:rsid w:val="00B8322D"/>
    <w:rsid w:val="00B8339C"/>
    <w:rsid w:val="00B833A6"/>
    <w:rsid w:val="00B833B4"/>
    <w:rsid w:val="00B8362D"/>
    <w:rsid w:val="00B83651"/>
    <w:rsid w:val="00B83696"/>
    <w:rsid w:val="00B836F6"/>
    <w:rsid w:val="00B837CA"/>
    <w:rsid w:val="00B83893"/>
    <w:rsid w:val="00B83894"/>
    <w:rsid w:val="00B838EB"/>
    <w:rsid w:val="00B838FF"/>
    <w:rsid w:val="00B83915"/>
    <w:rsid w:val="00B83950"/>
    <w:rsid w:val="00B83A14"/>
    <w:rsid w:val="00B83D1A"/>
    <w:rsid w:val="00B83E4D"/>
    <w:rsid w:val="00B83EA8"/>
    <w:rsid w:val="00B83F98"/>
    <w:rsid w:val="00B83FC8"/>
    <w:rsid w:val="00B84157"/>
    <w:rsid w:val="00B84209"/>
    <w:rsid w:val="00B84330"/>
    <w:rsid w:val="00B84485"/>
    <w:rsid w:val="00B844D2"/>
    <w:rsid w:val="00B84521"/>
    <w:rsid w:val="00B8456C"/>
    <w:rsid w:val="00B84674"/>
    <w:rsid w:val="00B8468C"/>
    <w:rsid w:val="00B84710"/>
    <w:rsid w:val="00B8471A"/>
    <w:rsid w:val="00B847DF"/>
    <w:rsid w:val="00B84881"/>
    <w:rsid w:val="00B848DF"/>
    <w:rsid w:val="00B84B43"/>
    <w:rsid w:val="00B84B88"/>
    <w:rsid w:val="00B84C7C"/>
    <w:rsid w:val="00B84CC3"/>
    <w:rsid w:val="00B84D4A"/>
    <w:rsid w:val="00B84DB3"/>
    <w:rsid w:val="00B84E86"/>
    <w:rsid w:val="00B84EED"/>
    <w:rsid w:val="00B84F9C"/>
    <w:rsid w:val="00B84FB4"/>
    <w:rsid w:val="00B85030"/>
    <w:rsid w:val="00B85096"/>
    <w:rsid w:val="00B850D0"/>
    <w:rsid w:val="00B8529E"/>
    <w:rsid w:val="00B8533D"/>
    <w:rsid w:val="00B8535D"/>
    <w:rsid w:val="00B853C9"/>
    <w:rsid w:val="00B853F0"/>
    <w:rsid w:val="00B8540F"/>
    <w:rsid w:val="00B85517"/>
    <w:rsid w:val="00B85529"/>
    <w:rsid w:val="00B85566"/>
    <w:rsid w:val="00B85584"/>
    <w:rsid w:val="00B855E7"/>
    <w:rsid w:val="00B85678"/>
    <w:rsid w:val="00B856CA"/>
    <w:rsid w:val="00B857B0"/>
    <w:rsid w:val="00B857D6"/>
    <w:rsid w:val="00B8586F"/>
    <w:rsid w:val="00B859A1"/>
    <w:rsid w:val="00B859B7"/>
    <w:rsid w:val="00B859F5"/>
    <w:rsid w:val="00B85A7B"/>
    <w:rsid w:val="00B85A9A"/>
    <w:rsid w:val="00B85AEE"/>
    <w:rsid w:val="00B85B70"/>
    <w:rsid w:val="00B85C02"/>
    <w:rsid w:val="00B85D87"/>
    <w:rsid w:val="00B85ED7"/>
    <w:rsid w:val="00B8600B"/>
    <w:rsid w:val="00B8606C"/>
    <w:rsid w:val="00B86236"/>
    <w:rsid w:val="00B862B3"/>
    <w:rsid w:val="00B86325"/>
    <w:rsid w:val="00B86326"/>
    <w:rsid w:val="00B86504"/>
    <w:rsid w:val="00B86540"/>
    <w:rsid w:val="00B8655C"/>
    <w:rsid w:val="00B865F4"/>
    <w:rsid w:val="00B866AC"/>
    <w:rsid w:val="00B86729"/>
    <w:rsid w:val="00B8682E"/>
    <w:rsid w:val="00B8685B"/>
    <w:rsid w:val="00B868A1"/>
    <w:rsid w:val="00B86B02"/>
    <w:rsid w:val="00B86C82"/>
    <w:rsid w:val="00B86CF5"/>
    <w:rsid w:val="00B86D41"/>
    <w:rsid w:val="00B86D6F"/>
    <w:rsid w:val="00B86E20"/>
    <w:rsid w:val="00B86EE6"/>
    <w:rsid w:val="00B8705E"/>
    <w:rsid w:val="00B8717E"/>
    <w:rsid w:val="00B87201"/>
    <w:rsid w:val="00B87378"/>
    <w:rsid w:val="00B873A9"/>
    <w:rsid w:val="00B873E3"/>
    <w:rsid w:val="00B87461"/>
    <w:rsid w:val="00B87544"/>
    <w:rsid w:val="00B8757E"/>
    <w:rsid w:val="00B87582"/>
    <w:rsid w:val="00B875A0"/>
    <w:rsid w:val="00B87618"/>
    <w:rsid w:val="00B876CE"/>
    <w:rsid w:val="00B8777A"/>
    <w:rsid w:val="00B877B2"/>
    <w:rsid w:val="00B8791E"/>
    <w:rsid w:val="00B8794A"/>
    <w:rsid w:val="00B87A2B"/>
    <w:rsid w:val="00B87A45"/>
    <w:rsid w:val="00B87ABC"/>
    <w:rsid w:val="00B87B38"/>
    <w:rsid w:val="00B87CDC"/>
    <w:rsid w:val="00B87DC5"/>
    <w:rsid w:val="00B87E36"/>
    <w:rsid w:val="00B87EAD"/>
    <w:rsid w:val="00B87F6D"/>
    <w:rsid w:val="00B87FC0"/>
    <w:rsid w:val="00B901EE"/>
    <w:rsid w:val="00B9022D"/>
    <w:rsid w:val="00B9031D"/>
    <w:rsid w:val="00B903B8"/>
    <w:rsid w:val="00B9042A"/>
    <w:rsid w:val="00B904DC"/>
    <w:rsid w:val="00B90542"/>
    <w:rsid w:val="00B905EB"/>
    <w:rsid w:val="00B9080C"/>
    <w:rsid w:val="00B9080F"/>
    <w:rsid w:val="00B90849"/>
    <w:rsid w:val="00B90864"/>
    <w:rsid w:val="00B90964"/>
    <w:rsid w:val="00B90A2B"/>
    <w:rsid w:val="00B90AFC"/>
    <w:rsid w:val="00B90D3B"/>
    <w:rsid w:val="00B90D77"/>
    <w:rsid w:val="00B90D86"/>
    <w:rsid w:val="00B90DD6"/>
    <w:rsid w:val="00B90FFF"/>
    <w:rsid w:val="00B9105A"/>
    <w:rsid w:val="00B91063"/>
    <w:rsid w:val="00B91156"/>
    <w:rsid w:val="00B91165"/>
    <w:rsid w:val="00B9118A"/>
    <w:rsid w:val="00B911D3"/>
    <w:rsid w:val="00B911F1"/>
    <w:rsid w:val="00B913B7"/>
    <w:rsid w:val="00B913C4"/>
    <w:rsid w:val="00B9159B"/>
    <w:rsid w:val="00B916B9"/>
    <w:rsid w:val="00B91745"/>
    <w:rsid w:val="00B917D5"/>
    <w:rsid w:val="00B91804"/>
    <w:rsid w:val="00B91866"/>
    <w:rsid w:val="00B91B13"/>
    <w:rsid w:val="00B91D04"/>
    <w:rsid w:val="00B91D8A"/>
    <w:rsid w:val="00B91E02"/>
    <w:rsid w:val="00B91E1C"/>
    <w:rsid w:val="00B91EB2"/>
    <w:rsid w:val="00B91FD3"/>
    <w:rsid w:val="00B9208F"/>
    <w:rsid w:val="00B92116"/>
    <w:rsid w:val="00B92224"/>
    <w:rsid w:val="00B9223C"/>
    <w:rsid w:val="00B922D5"/>
    <w:rsid w:val="00B92310"/>
    <w:rsid w:val="00B9234F"/>
    <w:rsid w:val="00B92395"/>
    <w:rsid w:val="00B92444"/>
    <w:rsid w:val="00B924A3"/>
    <w:rsid w:val="00B924CF"/>
    <w:rsid w:val="00B9256B"/>
    <w:rsid w:val="00B92590"/>
    <w:rsid w:val="00B925AD"/>
    <w:rsid w:val="00B92625"/>
    <w:rsid w:val="00B9284F"/>
    <w:rsid w:val="00B928FD"/>
    <w:rsid w:val="00B92902"/>
    <w:rsid w:val="00B9291F"/>
    <w:rsid w:val="00B92953"/>
    <w:rsid w:val="00B92A11"/>
    <w:rsid w:val="00B92A72"/>
    <w:rsid w:val="00B92A84"/>
    <w:rsid w:val="00B92B2C"/>
    <w:rsid w:val="00B92C9E"/>
    <w:rsid w:val="00B92D0C"/>
    <w:rsid w:val="00B92E08"/>
    <w:rsid w:val="00B92E44"/>
    <w:rsid w:val="00B92EC3"/>
    <w:rsid w:val="00B92F0B"/>
    <w:rsid w:val="00B92F97"/>
    <w:rsid w:val="00B931A6"/>
    <w:rsid w:val="00B931C6"/>
    <w:rsid w:val="00B93248"/>
    <w:rsid w:val="00B932B4"/>
    <w:rsid w:val="00B932E2"/>
    <w:rsid w:val="00B9332C"/>
    <w:rsid w:val="00B9338A"/>
    <w:rsid w:val="00B934EF"/>
    <w:rsid w:val="00B93703"/>
    <w:rsid w:val="00B9372B"/>
    <w:rsid w:val="00B93840"/>
    <w:rsid w:val="00B938DF"/>
    <w:rsid w:val="00B939EE"/>
    <w:rsid w:val="00B93B32"/>
    <w:rsid w:val="00B93BDB"/>
    <w:rsid w:val="00B93C3F"/>
    <w:rsid w:val="00B93C96"/>
    <w:rsid w:val="00B93CDE"/>
    <w:rsid w:val="00B93D27"/>
    <w:rsid w:val="00B93D2B"/>
    <w:rsid w:val="00B93E17"/>
    <w:rsid w:val="00B93FBF"/>
    <w:rsid w:val="00B94156"/>
    <w:rsid w:val="00B9417B"/>
    <w:rsid w:val="00B94212"/>
    <w:rsid w:val="00B94482"/>
    <w:rsid w:val="00B944B1"/>
    <w:rsid w:val="00B94520"/>
    <w:rsid w:val="00B945A2"/>
    <w:rsid w:val="00B9462E"/>
    <w:rsid w:val="00B946DE"/>
    <w:rsid w:val="00B9476D"/>
    <w:rsid w:val="00B94B1F"/>
    <w:rsid w:val="00B94B27"/>
    <w:rsid w:val="00B94CDE"/>
    <w:rsid w:val="00B94D39"/>
    <w:rsid w:val="00B94E81"/>
    <w:rsid w:val="00B95064"/>
    <w:rsid w:val="00B95098"/>
    <w:rsid w:val="00B950CC"/>
    <w:rsid w:val="00B95284"/>
    <w:rsid w:val="00B952FF"/>
    <w:rsid w:val="00B9544A"/>
    <w:rsid w:val="00B95474"/>
    <w:rsid w:val="00B954AB"/>
    <w:rsid w:val="00B954E3"/>
    <w:rsid w:val="00B955C2"/>
    <w:rsid w:val="00B95660"/>
    <w:rsid w:val="00B95810"/>
    <w:rsid w:val="00B9583E"/>
    <w:rsid w:val="00B95914"/>
    <w:rsid w:val="00B9596D"/>
    <w:rsid w:val="00B95989"/>
    <w:rsid w:val="00B95B59"/>
    <w:rsid w:val="00B95CB0"/>
    <w:rsid w:val="00B95CDA"/>
    <w:rsid w:val="00B95CF8"/>
    <w:rsid w:val="00B95D3A"/>
    <w:rsid w:val="00B95D59"/>
    <w:rsid w:val="00B95D64"/>
    <w:rsid w:val="00B95DCE"/>
    <w:rsid w:val="00B95E55"/>
    <w:rsid w:val="00B95ECB"/>
    <w:rsid w:val="00B95FCE"/>
    <w:rsid w:val="00B95FFA"/>
    <w:rsid w:val="00B96240"/>
    <w:rsid w:val="00B96264"/>
    <w:rsid w:val="00B96336"/>
    <w:rsid w:val="00B9635D"/>
    <w:rsid w:val="00B96453"/>
    <w:rsid w:val="00B964D4"/>
    <w:rsid w:val="00B964DB"/>
    <w:rsid w:val="00B96514"/>
    <w:rsid w:val="00B965D7"/>
    <w:rsid w:val="00B965D8"/>
    <w:rsid w:val="00B9664B"/>
    <w:rsid w:val="00B9665A"/>
    <w:rsid w:val="00B967C8"/>
    <w:rsid w:val="00B9680C"/>
    <w:rsid w:val="00B96827"/>
    <w:rsid w:val="00B96883"/>
    <w:rsid w:val="00B96933"/>
    <w:rsid w:val="00B969B6"/>
    <w:rsid w:val="00B969BB"/>
    <w:rsid w:val="00B969F5"/>
    <w:rsid w:val="00B96AD8"/>
    <w:rsid w:val="00B96BBC"/>
    <w:rsid w:val="00B96EBE"/>
    <w:rsid w:val="00B97016"/>
    <w:rsid w:val="00B97075"/>
    <w:rsid w:val="00B970B1"/>
    <w:rsid w:val="00B970F3"/>
    <w:rsid w:val="00B971C4"/>
    <w:rsid w:val="00B97249"/>
    <w:rsid w:val="00B972B3"/>
    <w:rsid w:val="00B97570"/>
    <w:rsid w:val="00B9759D"/>
    <w:rsid w:val="00B9772F"/>
    <w:rsid w:val="00B97753"/>
    <w:rsid w:val="00B97766"/>
    <w:rsid w:val="00B97854"/>
    <w:rsid w:val="00B97A28"/>
    <w:rsid w:val="00B97A35"/>
    <w:rsid w:val="00B97AC4"/>
    <w:rsid w:val="00B97BE4"/>
    <w:rsid w:val="00B97D16"/>
    <w:rsid w:val="00B97D29"/>
    <w:rsid w:val="00B97D3C"/>
    <w:rsid w:val="00BA032A"/>
    <w:rsid w:val="00BA0407"/>
    <w:rsid w:val="00BA047B"/>
    <w:rsid w:val="00BA0487"/>
    <w:rsid w:val="00BA0496"/>
    <w:rsid w:val="00BA04AF"/>
    <w:rsid w:val="00BA051D"/>
    <w:rsid w:val="00BA057E"/>
    <w:rsid w:val="00BA063E"/>
    <w:rsid w:val="00BA06B6"/>
    <w:rsid w:val="00BA0763"/>
    <w:rsid w:val="00BA08C8"/>
    <w:rsid w:val="00BA098D"/>
    <w:rsid w:val="00BA09A9"/>
    <w:rsid w:val="00BA0A12"/>
    <w:rsid w:val="00BA0A80"/>
    <w:rsid w:val="00BA0B79"/>
    <w:rsid w:val="00BA0BFA"/>
    <w:rsid w:val="00BA0C6C"/>
    <w:rsid w:val="00BA0D4A"/>
    <w:rsid w:val="00BA0DD2"/>
    <w:rsid w:val="00BA0E96"/>
    <w:rsid w:val="00BA1043"/>
    <w:rsid w:val="00BA1126"/>
    <w:rsid w:val="00BA115A"/>
    <w:rsid w:val="00BA1291"/>
    <w:rsid w:val="00BA12A6"/>
    <w:rsid w:val="00BA12D0"/>
    <w:rsid w:val="00BA12F6"/>
    <w:rsid w:val="00BA135E"/>
    <w:rsid w:val="00BA1407"/>
    <w:rsid w:val="00BA1431"/>
    <w:rsid w:val="00BA14C6"/>
    <w:rsid w:val="00BA155E"/>
    <w:rsid w:val="00BA156B"/>
    <w:rsid w:val="00BA15A2"/>
    <w:rsid w:val="00BA1639"/>
    <w:rsid w:val="00BA16DB"/>
    <w:rsid w:val="00BA1708"/>
    <w:rsid w:val="00BA1743"/>
    <w:rsid w:val="00BA179A"/>
    <w:rsid w:val="00BA1867"/>
    <w:rsid w:val="00BA189C"/>
    <w:rsid w:val="00BA189D"/>
    <w:rsid w:val="00BA19E4"/>
    <w:rsid w:val="00BA1A7A"/>
    <w:rsid w:val="00BA1D7C"/>
    <w:rsid w:val="00BA1F67"/>
    <w:rsid w:val="00BA1F6C"/>
    <w:rsid w:val="00BA1FCE"/>
    <w:rsid w:val="00BA2028"/>
    <w:rsid w:val="00BA21B8"/>
    <w:rsid w:val="00BA2207"/>
    <w:rsid w:val="00BA2234"/>
    <w:rsid w:val="00BA2259"/>
    <w:rsid w:val="00BA230C"/>
    <w:rsid w:val="00BA23A9"/>
    <w:rsid w:val="00BA23DF"/>
    <w:rsid w:val="00BA2442"/>
    <w:rsid w:val="00BA24CE"/>
    <w:rsid w:val="00BA2587"/>
    <w:rsid w:val="00BA25C2"/>
    <w:rsid w:val="00BA26B8"/>
    <w:rsid w:val="00BA2710"/>
    <w:rsid w:val="00BA2771"/>
    <w:rsid w:val="00BA2879"/>
    <w:rsid w:val="00BA288D"/>
    <w:rsid w:val="00BA290B"/>
    <w:rsid w:val="00BA2A83"/>
    <w:rsid w:val="00BA2B16"/>
    <w:rsid w:val="00BA2B8C"/>
    <w:rsid w:val="00BA2BBF"/>
    <w:rsid w:val="00BA2CAC"/>
    <w:rsid w:val="00BA2D27"/>
    <w:rsid w:val="00BA2D87"/>
    <w:rsid w:val="00BA2DBB"/>
    <w:rsid w:val="00BA2DED"/>
    <w:rsid w:val="00BA2E93"/>
    <w:rsid w:val="00BA2EDE"/>
    <w:rsid w:val="00BA2F13"/>
    <w:rsid w:val="00BA3067"/>
    <w:rsid w:val="00BA30D5"/>
    <w:rsid w:val="00BA313D"/>
    <w:rsid w:val="00BA328C"/>
    <w:rsid w:val="00BA3355"/>
    <w:rsid w:val="00BA33C1"/>
    <w:rsid w:val="00BA365A"/>
    <w:rsid w:val="00BA368B"/>
    <w:rsid w:val="00BA36AB"/>
    <w:rsid w:val="00BA36CA"/>
    <w:rsid w:val="00BA3722"/>
    <w:rsid w:val="00BA377C"/>
    <w:rsid w:val="00BA3784"/>
    <w:rsid w:val="00BA380E"/>
    <w:rsid w:val="00BA3A4D"/>
    <w:rsid w:val="00BA3A82"/>
    <w:rsid w:val="00BA3AB7"/>
    <w:rsid w:val="00BA3B02"/>
    <w:rsid w:val="00BA3B26"/>
    <w:rsid w:val="00BA3B37"/>
    <w:rsid w:val="00BA3C5B"/>
    <w:rsid w:val="00BA3CE2"/>
    <w:rsid w:val="00BA3DCE"/>
    <w:rsid w:val="00BA3DD2"/>
    <w:rsid w:val="00BA3ED9"/>
    <w:rsid w:val="00BA40FA"/>
    <w:rsid w:val="00BA4289"/>
    <w:rsid w:val="00BA42E2"/>
    <w:rsid w:val="00BA430A"/>
    <w:rsid w:val="00BA4339"/>
    <w:rsid w:val="00BA438C"/>
    <w:rsid w:val="00BA45B6"/>
    <w:rsid w:val="00BA45F5"/>
    <w:rsid w:val="00BA47AF"/>
    <w:rsid w:val="00BA4806"/>
    <w:rsid w:val="00BA484D"/>
    <w:rsid w:val="00BA4931"/>
    <w:rsid w:val="00BA49F1"/>
    <w:rsid w:val="00BA4B1B"/>
    <w:rsid w:val="00BA4B6E"/>
    <w:rsid w:val="00BA4CA5"/>
    <w:rsid w:val="00BA4CC9"/>
    <w:rsid w:val="00BA4E73"/>
    <w:rsid w:val="00BA4E90"/>
    <w:rsid w:val="00BA4F0F"/>
    <w:rsid w:val="00BA52AA"/>
    <w:rsid w:val="00BA52F5"/>
    <w:rsid w:val="00BA5318"/>
    <w:rsid w:val="00BA5391"/>
    <w:rsid w:val="00BA53A5"/>
    <w:rsid w:val="00BA5492"/>
    <w:rsid w:val="00BA54DD"/>
    <w:rsid w:val="00BA5538"/>
    <w:rsid w:val="00BA55A6"/>
    <w:rsid w:val="00BA55AE"/>
    <w:rsid w:val="00BA5613"/>
    <w:rsid w:val="00BA56D0"/>
    <w:rsid w:val="00BA5734"/>
    <w:rsid w:val="00BA5737"/>
    <w:rsid w:val="00BA5847"/>
    <w:rsid w:val="00BA5864"/>
    <w:rsid w:val="00BA5951"/>
    <w:rsid w:val="00BA5AAE"/>
    <w:rsid w:val="00BA5AE0"/>
    <w:rsid w:val="00BA5AFA"/>
    <w:rsid w:val="00BA5B0B"/>
    <w:rsid w:val="00BA5B2D"/>
    <w:rsid w:val="00BA5C40"/>
    <w:rsid w:val="00BA5C43"/>
    <w:rsid w:val="00BA5E20"/>
    <w:rsid w:val="00BA5FC7"/>
    <w:rsid w:val="00BA5FDB"/>
    <w:rsid w:val="00BA61DB"/>
    <w:rsid w:val="00BA6243"/>
    <w:rsid w:val="00BA62EB"/>
    <w:rsid w:val="00BA6300"/>
    <w:rsid w:val="00BA6390"/>
    <w:rsid w:val="00BA6443"/>
    <w:rsid w:val="00BA64AC"/>
    <w:rsid w:val="00BA64B9"/>
    <w:rsid w:val="00BA6544"/>
    <w:rsid w:val="00BA66BA"/>
    <w:rsid w:val="00BA6793"/>
    <w:rsid w:val="00BA67EA"/>
    <w:rsid w:val="00BA6A8A"/>
    <w:rsid w:val="00BA6ADD"/>
    <w:rsid w:val="00BA6BCF"/>
    <w:rsid w:val="00BA6C2D"/>
    <w:rsid w:val="00BA6DA7"/>
    <w:rsid w:val="00BA6E62"/>
    <w:rsid w:val="00BA6F39"/>
    <w:rsid w:val="00BA6FA7"/>
    <w:rsid w:val="00BA6FC2"/>
    <w:rsid w:val="00BA7054"/>
    <w:rsid w:val="00BA715D"/>
    <w:rsid w:val="00BA71C0"/>
    <w:rsid w:val="00BA7333"/>
    <w:rsid w:val="00BA73CA"/>
    <w:rsid w:val="00BA7669"/>
    <w:rsid w:val="00BA7674"/>
    <w:rsid w:val="00BA77FE"/>
    <w:rsid w:val="00BA7826"/>
    <w:rsid w:val="00BA79B2"/>
    <w:rsid w:val="00BA7A2B"/>
    <w:rsid w:val="00BA7CFE"/>
    <w:rsid w:val="00BA7D4B"/>
    <w:rsid w:val="00BA7D6C"/>
    <w:rsid w:val="00BA7DC2"/>
    <w:rsid w:val="00BA7E92"/>
    <w:rsid w:val="00BA7EF3"/>
    <w:rsid w:val="00BB00A4"/>
    <w:rsid w:val="00BB0200"/>
    <w:rsid w:val="00BB035A"/>
    <w:rsid w:val="00BB0424"/>
    <w:rsid w:val="00BB0475"/>
    <w:rsid w:val="00BB04D1"/>
    <w:rsid w:val="00BB0633"/>
    <w:rsid w:val="00BB0B3D"/>
    <w:rsid w:val="00BB0C70"/>
    <w:rsid w:val="00BB0CD4"/>
    <w:rsid w:val="00BB0D08"/>
    <w:rsid w:val="00BB0D55"/>
    <w:rsid w:val="00BB0E2F"/>
    <w:rsid w:val="00BB0F16"/>
    <w:rsid w:val="00BB0F40"/>
    <w:rsid w:val="00BB11AC"/>
    <w:rsid w:val="00BB127E"/>
    <w:rsid w:val="00BB12DE"/>
    <w:rsid w:val="00BB134F"/>
    <w:rsid w:val="00BB1371"/>
    <w:rsid w:val="00BB13E2"/>
    <w:rsid w:val="00BB142D"/>
    <w:rsid w:val="00BB1489"/>
    <w:rsid w:val="00BB1579"/>
    <w:rsid w:val="00BB1624"/>
    <w:rsid w:val="00BB164A"/>
    <w:rsid w:val="00BB16A6"/>
    <w:rsid w:val="00BB17AE"/>
    <w:rsid w:val="00BB188A"/>
    <w:rsid w:val="00BB1895"/>
    <w:rsid w:val="00BB18BF"/>
    <w:rsid w:val="00BB18DD"/>
    <w:rsid w:val="00BB190B"/>
    <w:rsid w:val="00BB1937"/>
    <w:rsid w:val="00BB1A42"/>
    <w:rsid w:val="00BB1B1F"/>
    <w:rsid w:val="00BB1B4E"/>
    <w:rsid w:val="00BB1C19"/>
    <w:rsid w:val="00BB1CE3"/>
    <w:rsid w:val="00BB1CE6"/>
    <w:rsid w:val="00BB1EDB"/>
    <w:rsid w:val="00BB1F2E"/>
    <w:rsid w:val="00BB1F61"/>
    <w:rsid w:val="00BB2078"/>
    <w:rsid w:val="00BB20B8"/>
    <w:rsid w:val="00BB20C7"/>
    <w:rsid w:val="00BB20E4"/>
    <w:rsid w:val="00BB20F5"/>
    <w:rsid w:val="00BB2149"/>
    <w:rsid w:val="00BB229B"/>
    <w:rsid w:val="00BB2499"/>
    <w:rsid w:val="00BB27F4"/>
    <w:rsid w:val="00BB2834"/>
    <w:rsid w:val="00BB286C"/>
    <w:rsid w:val="00BB28B8"/>
    <w:rsid w:val="00BB2986"/>
    <w:rsid w:val="00BB2A08"/>
    <w:rsid w:val="00BB2A62"/>
    <w:rsid w:val="00BB2B3A"/>
    <w:rsid w:val="00BB2DD1"/>
    <w:rsid w:val="00BB2E68"/>
    <w:rsid w:val="00BB2F6B"/>
    <w:rsid w:val="00BB2F91"/>
    <w:rsid w:val="00BB3006"/>
    <w:rsid w:val="00BB3029"/>
    <w:rsid w:val="00BB3045"/>
    <w:rsid w:val="00BB30CF"/>
    <w:rsid w:val="00BB3292"/>
    <w:rsid w:val="00BB32FB"/>
    <w:rsid w:val="00BB339B"/>
    <w:rsid w:val="00BB3456"/>
    <w:rsid w:val="00BB3496"/>
    <w:rsid w:val="00BB3502"/>
    <w:rsid w:val="00BB350D"/>
    <w:rsid w:val="00BB3528"/>
    <w:rsid w:val="00BB353E"/>
    <w:rsid w:val="00BB35D0"/>
    <w:rsid w:val="00BB35E3"/>
    <w:rsid w:val="00BB374D"/>
    <w:rsid w:val="00BB3899"/>
    <w:rsid w:val="00BB38B7"/>
    <w:rsid w:val="00BB38F9"/>
    <w:rsid w:val="00BB397D"/>
    <w:rsid w:val="00BB3998"/>
    <w:rsid w:val="00BB39B0"/>
    <w:rsid w:val="00BB3A6A"/>
    <w:rsid w:val="00BB3AC2"/>
    <w:rsid w:val="00BB3BB0"/>
    <w:rsid w:val="00BB3BB9"/>
    <w:rsid w:val="00BB3D3C"/>
    <w:rsid w:val="00BB3DE2"/>
    <w:rsid w:val="00BB3DFD"/>
    <w:rsid w:val="00BB3EB4"/>
    <w:rsid w:val="00BB3F1D"/>
    <w:rsid w:val="00BB3F56"/>
    <w:rsid w:val="00BB3F7F"/>
    <w:rsid w:val="00BB3F98"/>
    <w:rsid w:val="00BB3FCF"/>
    <w:rsid w:val="00BB407D"/>
    <w:rsid w:val="00BB43F6"/>
    <w:rsid w:val="00BB4427"/>
    <w:rsid w:val="00BB442E"/>
    <w:rsid w:val="00BB445E"/>
    <w:rsid w:val="00BB44C8"/>
    <w:rsid w:val="00BB451A"/>
    <w:rsid w:val="00BB4539"/>
    <w:rsid w:val="00BB458A"/>
    <w:rsid w:val="00BB45F3"/>
    <w:rsid w:val="00BB4781"/>
    <w:rsid w:val="00BB479F"/>
    <w:rsid w:val="00BB486B"/>
    <w:rsid w:val="00BB48E6"/>
    <w:rsid w:val="00BB4903"/>
    <w:rsid w:val="00BB4A15"/>
    <w:rsid w:val="00BB4BB7"/>
    <w:rsid w:val="00BB4C1A"/>
    <w:rsid w:val="00BB4D09"/>
    <w:rsid w:val="00BB4D42"/>
    <w:rsid w:val="00BB4D5A"/>
    <w:rsid w:val="00BB4DB3"/>
    <w:rsid w:val="00BB4EB3"/>
    <w:rsid w:val="00BB516F"/>
    <w:rsid w:val="00BB51BC"/>
    <w:rsid w:val="00BB5276"/>
    <w:rsid w:val="00BB53B4"/>
    <w:rsid w:val="00BB541B"/>
    <w:rsid w:val="00BB542C"/>
    <w:rsid w:val="00BB55C5"/>
    <w:rsid w:val="00BB564E"/>
    <w:rsid w:val="00BB574B"/>
    <w:rsid w:val="00BB57BA"/>
    <w:rsid w:val="00BB587A"/>
    <w:rsid w:val="00BB5936"/>
    <w:rsid w:val="00BB5948"/>
    <w:rsid w:val="00BB594A"/>
    <w:rsid w:val="00BB5993"/>
    <w:rsid w:val="00BB599B"/>
    <w:rsid w:val="00BB59BB"/>
    <w:rsid w:val="00BB5A1F"/>
    <w:rsid w:val="00BB5AFE"/>
    <w:rsid w:val="00BB5B02"/>
    <w:rsid w:val="00BB5B5F"/>
    <w:rsid w:val="00BB5BE9"/>
    <w:rsid w:val="00BB5BEC"/>
    <w:rsid w:val="00BB5CA7"/>
    <w:rsid w:val="00BB5D20"/>
    <w:rsid w:val="00BB5D51"/>
    <w:rsid w:val="00BB5DC2"/>
    <w:rsid w:val="00BB5DD3"/>
    <w:rsid w:val="00BB5EED"/>
    <w:rsid w:val="00BB5EF5"/>
    <w:rsid w:val="00BB5F34"/>
    <w:rsid w:val="00BB5F81"/>
    <w:rsid w:val="00BB622F"/>
    <w:rsid w:val="00BB62C0"/>
    <w:rsid w:val="00BB645A"/>
    <w:rsid w:val="00BB646D"/>
    <w:rsid w:val="00BB6472"/>
    <w:rsid w:val="00BB64BC"/>
    <w:rsid w:val="00BB6528"/>
    <w:rsid w:val="00BB6578"/>
    <w:rsid w:val="00BB6671"/>
    <w:rsid w:val="00BB6698"/>
    <w:rsid w:val="00BB674F"/>
    <w:rsid w:val="00BB67DB"/>
    <w:rsid w:val="00BB682C"/>
    <w:rsid w:val="00BB690F"/>
    <w:rsid w:val="00BB6A3D"/>
    <w:rsid w:val="00BB6AFC"/>
    <w:rsid w:val="00BB6C60"/>
    <w:rsid w:val="00BB6D03"/>
    <w:rsid w:val="00BB6D16"/>
    <w:rsid w:val="00BB6DA1"/>
    <w:rsid w:val="00BB6E61"/>
    <w:rsid w:val="00BB6E9A"/>
    <w:rsid w:val="00BB6EB4"/>
    <w:rsid w:val="00BB6EEE"/>
    <w:rsid w:val="00BB6F3F"/>
    <w:rsid w:val="00BB7043"/>
    <w:rsid w:val="00BB709C"/>
    <w:rsid w:val="00BB7112"/>
    <w:rsid w:val="00BB7192"/>
    <w:rsid w:val="00BB7298"/>
    <w:rsid w:val="00BB72AB"/>
    <w:rsid w:val="00BB733B"/>
    <w:rsid w:val="00BB7345"/>
    <w:rsid w:val="00BB73BE"/>
    <w:rsid w:val="00BB74E3"/>
    <w:rsid w:val="00BB75BA"/>
    <w:rsid w:val="00BB7776"/>
    <w:rsid w:val="00BB77D7"/>
    <w:rsid w:val="00BB785D"/>
    <w:rsid w:val="00BB78EC"/>
    <w:rsid w:val="00BB7965"/>
    <w:rsid w:val="00BB796A"/>
    <w:rsid w:val="00BB79C2"/>
    <w:rsid w:val="00BB79D5"/>
    <w:rsid w:val="00BB7A07"/>
    <w:rsid w:val="00BB7A25"/>
    <w:rsid w:val="00BB7AB5"/>
    <w:rsid w:val="00BB7AFF"/>
    <w:rsid w:val="00BB7BA7"/>
    <w:rsid w:val="00BB7CE5"/>
    <w:rsid w:val="00BB7D8C"/>
    <w:rsid w:val="00BB7E4E"/>
    <w:rsid w:val="00BB7FBD"/>
    <w:rsid w:val="00BC006C"/>
    <w:rsid w:val="00BC0110"/>
    <w:rsid w:val="00BC01AB"/>
    <w:rsid w:val="00BC028A"/>
    <w:rsid w:val="00BC02A4"/>
    <w:rsid w:val="00BC05F0"/>
    <w:rsid w:val="00BC062D"/>
    <w:rsid w:val="00BC0650"/>
    <w:rsid w:val="00BC070D"/>
    <w:rsid w:val="00BC0781"/>
    <w:rsid w:val="00BC07B6"/>
    <w:rsid w:val="00BC07FE"/>
    <w:rsid w:val="00BC085C"/>
    <w:rsid w:val="00BC094D"/>
    <w:rsid w:val="00BC09F5"/>
    <w:rsid w:val="00BC0A33"/>
    <w:rsid w:val="00BC0A39"/>
    <w:rsid w:val="00BC0A6B"/>
    <w:rsid w:val="00BC0A8B"/>
    <w:rsid w:val="00BC0AB5"/>
    <w:rsid w:val="00BC0AC8"/>
    <w:rsid w:val="00BC0B1A"/>
    <w:rsid w:val="00BC0BD1"/>
    <w:rsid w:val="00BC0C29"/>
    <w:rsid w:val="00BC0C30"/>
    <w:rsid w:val="00BC0CEB"/>
    <w:rsid w:val="00BC0D23"/>
    <w:rsid w:val="00BC0D6A"/>
    <w:rsid w:val="00BC0E39"/>
    <w:rsid w:val="00BC0EC3"/>
    <w:rsid w:val="00BC0F60"/>
    <w:rsid w:val="00BC12D9"/>
    <w:rsid w:val="00BC1325"/>
    <w:rsid w:val="00BC14B6"/>
    <w:rsid w:val="00BC14CD"/>
    <w:rsid w:val="00BC1566"/>
    <w:rsid w:val="00BC158C"/>
    <w:rsid w:val="00BC15D5"/>
    <w:rsid w:val="00BC16A0"/>
    <w:rsid w:val="00BC16DB"/>
    <w:rsid w:val="00BC17F9"/>
    <w:rsid w:val="00BC181B"/>
    <w:rsid w:val="00BC19BB"/>
    <w:rsid w:val="00BC1C08"/>
    <w:rsid w:val="00BC1C7E"/>
    <w:rsid w:val="00BC1C89"/>
    <w:rsid w:val="00BC1CA7"/>
    <w:rsid w:val="00BC1D31"/>
    <w:rsid w:val="00BC1DA7"/>
    <w:rsid w:val="00BC1DE2"/>
    <w:rsid w:val="00BC1F0F"/>
    <w:rsid w:val="00BC1F29"/>
    <w:rsid w:val="00BC1F37"/>
    <w:rsid w:val="00BC205C"/>
    <w:rsid w:val="00BC2099"/>
    <w:rsid w:val="00BC21BC"/>
    <w:rsid w:val="00BC22D9"/>
    <w:rsid w:val="00BC2315"/>
    <w:rsid w:val="00BC2319"/>
    <w:rsid w:val="00BC240F"/>
    <w:rsid w:val="00BC2456"/>
    <w:rsid w:val="00BC2502"/>
    <w:rsid w:val="00BC2639"/>
    <w:rsid w:val="00BC27B8"/>
    <w:rsid w:val="00BC27F3"/>
    <w:rsid w:val="00BC290A"/>
    <w:rsid w:val="00BC29A4"/>
    <w:rsid w:val="00BC29CF"/>
    <w:rsid w:val="00BC2A1A"/>
    <w:rsid w:val="00BC2AC3"/>
    <w:rsid w:val="00BC2B59"/>
    <w:rsid w:val="00BC2B93"/>
    <w:rsid w:val="00BC2CCD"/>
    <w:rsid w:val="00BC2DB8"/>
    <w:rsid w:val="00BC2DD3"/>
    <w:rsid w:val="00BC2E78"/>
    <w:rsid w:val="00BC2E82"/>
    <w:rsid w:val="00BC2EBD"/>
    <w:rsid w:val="00BC2F94"/>
    <w:rsid w:val="00BC2FD2"/>
    <w:rsid w:val="00BC30DC"/>
    <w:rsid w:val="00BC3167"/>
    <w:rsid w:val="00BC3179"/>
    <w:rsid w:val="00BC31A1"/>
    <w:rsid w:val="00BC31C6"/>
    <w:rsid w:val="00BC3273"/>
    <w:rsid w:val="00BC3326"/>
    <w:rsid w:val="00BC33C2"/>
    <w:rsid w:val="00BC3519"/>
    <w:rsid w:val="00BC359E"/>
    <w:rsid w:val="00BC3600"/>
    <w:rsid w:val="00BC3710"/>
    <w:rsid w:val="00BC3741"/>
    <w:rsid w:val="00BC3791"/>
    <w:rsid w:val="00BC37EE"/>
    <w:rsid w:val="00BC37FD"/>
    <w:rsid w:val="00BC383B"/>
    <w:rsid w:val="00BC3962"/>
    <w:rsid w:val="00BC3BB9"/>
    <w:rsid w:val="00BC3C11"/>
    <w:rsid w:val="00BC3C4B"/>
    <w:rsid w:val="00BC3CC9"/>
    <w:rsid w:val="00BC3CDB"/>
    <w:rsid w:val="00BC3D30"/>
    <w:rsid w:val="00BC3D4E"/>
    <w:rsid w:val="00BC3EB2"/>
    <w:rsid w:val="00BC3F6A"/>
    <w:rsid w:val="00BC3F9D"/>
    <w:rsid w:val="00BC4004"/>
    <w:rsid w:val="00BC4022"/>
    <w:rsid w:val="00BC4068"/>
    <w:rsid w:val="00BC409A"/>
    <w:rsid w:val="00BC4259"/>
    <w:rsid w:val="00BC43E0"/>
    <w:rsid w:val="00BC43E5"/>
    <w:rsid w:val="00BC4428"/>
    <w:rsid w:val="00BC4452"/>
    <w:rsid w:val="00BC44BD"/>
    <w:rsid w:val="00BC4530"/>
    <w:rsid w:val="00BC45B6"/>
    <w:rsid w:val="00BC46AF"/>
    <w:rsid w:val="00BC484C"/>
    <w:rsid w:val="00BC48E5"/>
    <w:rsid w:val="00BC4928"/>
    <w:rsid w:val="00BC49D5"/>
    <w:rsid w:val="00BC4AC8"/>
    <w:rsid w:val="00BC4B0C"/>
    <w:rsid w:val="00BC4B11"/>
    <w:rsid w:val="00BC4C43"/>
    <w:rsid w:val="00BC4C8A"/>
    <w:rsid w:val="00BC4DCD"/>
    <w:rsid w:val="00BC4DEA"/>
    <w:rsid w:val="00BC4E44"/>
    <w:rsid w:val="00BC4FB0"/>
    <w:rsid w:val="00BC5026"/>
    <w:rsid w:val="00BC5038"/>
    <w:rsid w:val="00BC5073"/>
    <w:rsid w:val="00BC52AB"/>
    <w:rsid w:val="00BC52D3"/>
    <w:rsid w:val="00BC535B"/>
    <w:rsid w:val="00BC5364"/>
    <w:rsid w:val="00BC544B"/>
    <w:rsid w:val="00BC549E"/>
    <w:rsid w:val="00BC54AD"/>
    <w:rsid w:val="00BC55C2"/>
    <w:rsid w:val="00BC55D8"/>
    <w:rsid w:val="00BC56FD"/>
    <w:rsid w:val="00BC5716"/>
    <w:rsid w:val="00BC574D"/>
    <w:rsid w:val="00BC5886"/>
    <w:rsid w:val="00BC5951"/>
    <w:rsid w:val="00BC5955"/>
    <w:rsid w:val="00BC59D3"/>
    <w:rsid w:val="00BC5A69"/>
    <w:rsid w:val="00BC5C41"/>
    <w:rsid w:val="00BC5CC6"/>
    <w:rsid w:val="00BC5E6A"/>
    <w:rsid w:val="00BC5EF1"/>
    <w:rsid w:val="00BC5F07"/>
    <w:rsid w:val="00BC5F75"/>
    <w:rsid w:val="00BC600F"/>
    <w:rsid w:val="00BC60F0"/>
    <w:rsid w:val="00BC6115"/>
    <w:rsid w:val="00BC6158"/>
    <w:rsid w:val="00BC63A6"/>
    <w:rsid w:val="00BC63C3"/>
    <w:rsid w:val="00BC65F6"/>
    <w:rsid w:val="00BC6650"/>
    <w:rsid w:val="00BC66C0"/>
    <w:rsid w:val="00BC6717"/>
    <w:rsid w:val="00BC6788"/>
    <w:rsid w:val="00BC69A9"/>
    <w:rsid w:val="00BC6A6E"/>
    <w:rsid w:val="00BC6A73"/>
    <w:rsid w:val="00BC6BE9"/>
    <w:rsid w:val="00BC6C07"/>
    <w:rsid w:val="00BC6C21"/>
    <w:rsid w:val="00BC6C62"/>
    <w:rsid w:val="00BC6C72"/>
    <w:rsid w:val="00BC6CCA"/>
    <w:rsid w:val="00BC6D08"/>
    <w:rsid w:val="00BC6D17"/>
    <w:rsid w:val="00BC6DA5"/>
    <w:rsid w:val="00BC6E34"/>
    <w:rsid w:val="00BC6E92"/>
    <w:rsid w:val="00BC6ED2"/>
    <w:rsid w:val="00BC6F16"/>
    <w:rsid w:val="00BC6FA0"/>
    <w:rsid w:val="00BC6FD3"/>
    <w:rsid w:val="00BC7081"/>
    <w:rsid w:val="00BC7188"/>
    <w:rsid w:val="00BC71CB"/>
    <w:rsid w:val="00BC71DF"/>
    <w:rsid w:val="00BC72CE"/>
    <w:rsid w:val="00BC7300"/>
    <w:rsid w:val="00BC7316"/>
    <w:rsid w:val="00BC735D"/>
    <w:rsid w:val="00BC762E"/>
    <w:rsid w:val="00BC7641"/>
    <w:rsid w:val="00BC7682"/>
    <w:rsid w:val="00BC76EE"/>
    <w:rsid w:val="00BC7711"/>
    <w:rsid w:val="00BC7888"/>
    <w:rsid w:val="00BC7941"/>
    <w:rsid w:val="00BC7979"/>
    <w:rsid w:val="00BC79CE"/>
    <w:rsid w:val="00BC7AA5"/>
    <w:rsid w:val="00BC7AA7"/>
    <w:rsid w:val="00BC7B27"/>
    <w:rsid w:val="00BC7B6B"/>
    <w:rsid w:val="00BC7B92"/>
    <w:rsid w:val="00BC7C38"/>
    <w:rsid w:val="00BC7D8D"/>
    <w:rsid w:val="00BC7DA4"/>
    <w:rsid w:val="00BC7F6B"/>
    <w:rsid w:val="00BC7FE1"/>
    <w:rsid w:val="00BD014D"/>
    <w:rsid w:val="00BD0218"/>
    <w:rsid w:val="00BD0276"/>
    <w:rsid w:val="00BD0396"/>
    <w:rsid w:val="00BD049D"/>
    <w:rsid w:val="00BD051B"/>
    <w:rsid w:val="00BD0532"/>
    <w:rsid w:val="00BD0546"/>
    <w:rsid w:val="00BD062E"/>
    <w:rsid w:val="00BD079A"/>
    <w:rsid w:val="00BD0839"/>
    <w:rsid w:val="00BD08FC"/>
    <w:rsid w:val="00BD0A8D"/>
    <w:rsid w:val="00BD0C0A"/>
    <w:rsid w:val="00BD0C28"/>
    <w:rsid w:val="00BD0C32"/>
    <w:rsid w:val="00BD0CBD"/>
    <w:rsid w:val="00BD0D61"/>
    <w:rsid w:val="00BD0D7C"/>
    <w:rsid w:val="00BD0E10"/>
    <w:rsid w:val="00BD0E18"/>
    <w:rsid w:val="00BD0EB0"/>
    <w:rsid w:val="00BD0F5C"/>
    <w:rsid w:val="00BD0F75"/>
    <w:rsid w:val="00BD0F96"/>
    <w:rsid w:val="00BD0FA3"/>
    <w:rsid w:val="00BD1017"/>
    <w:rsid w:val="00BD108D"/>
    <w:rsid w:val="00BD10A5"/>
    <w:rsid w:val="00BD10F6"/>
    <w:rsid w:val="00BD119F"/>
    <w:rsid w:val="00BD124B"/>
    <w:rsid w:val="00BD12AF"/>
    <w:rsid w:val="00BD13BF"/>
    <w:rsid w:val="00BD14E7"/>
    <w:rsid w:val="00BD1549"/>
    <w:rsid w:val="00BD1688"/>
    <w:rsid w:val="00BD1933"/>
    <w:rsid w:val="00BD193F"/>
    <w:rsid w:val="00BD1A78"/>
    <w:rsid w:val="00BD1D7E"/>
    <w:rsid w:val="00BD1E75"/>
    <w:rsid w:val="00BD1E8B"/>
    <w:rsid w:val="00BD1FA3"/>
    <w:rsid w:val="00BD206E"/>
    <w:rsid w:val="00BD20AE"/>
    <w:rsid w:val="00BD215A"/>
    <w:rsid w:val="00BD225F"/>
    <w:rsid w:val="00BD231D"/>
    <w:rsid w:val="00BD2371"/>
    <w:rsid w:val="00BD23D2"/>
    <w:rsid w:val="00BD249C"/>
    <w:rsid w:val="00BD24E8"/>
    <w:rsid w:val="00BD274C"/>
    <w:rsid w:val="00BD2774"/>
    <w:rsid w:val="00BD27E1"/>
    <w:rsid w:val="00BD29A8"/>
    <w:rsid w:val="00BD29BE"/>
    <w:rsid w:val="00BD2A02"/>
    <w:rsid w:val="00BD2A82"/>
    <w:rsid w:val="00BD2AF5"/>
    <w:rsid w:val="00BD2AFC"/>
    <w:rsid w:val="00BD2B5A"/>
    <w:rsid w:val="00BD2CD5"/>
    <w:rsid w:val="00BD2DA4"/>
    <w:rsid w:val="00BD2DB8"/>
    <w:rsid w:val="00BD2E75"/>
    <w:rsid w:val="00BD2F59"/>
    <w:rsid w:val="00BD31C1"/>
    <w:rsid w:val="00BD3211"/>
    <w:rsid w:val="00BD3324"/>
    <w:rsid w:val="00BD3378"/>
    <w:rsid w:val="00BD3691"/>
    <w:rsid w:val="00BD36E7"/>
    <w:rsid w:val="00BD371F"/>
    <w:rsid w:val="00BD37C1"/>
    <w:rsid w:val="00BD38BE"/>
    <w:rsid w:val="00BD39B9"/>
    <w:rsid w:val="00BD3AB7"/>
    <w:rsid w:val="00BD3CE7"/>
    <w:rsid w:val="00BD3DB8"/>
    <w:rsid w:val="00BD3E47"/>
    <w:rsid w:val="00BD3EAC"/>
    <w:rsid w:val="00BD3EB6"/>
    <w:rsid w:val="00BD3F38"/>
    <w:rsid w:val="00BD3FF4"/>
    <w:rsid w:val="00BD4063"/>
    <w:rsid w:val="00BD4087"/>
    <w:rsid w:val="00BD409B"/>
    <w:rsid w:val="00BD409E"/>
    <w:rsid w:val="00BD42C6"/>
    <w:rsid w:val="00BD42EF"/>
    <w:rsid w:val="00BD4364"/>
    <w:rsid w:val="00BD4368"/>
    <w:rsid w:val="00BD4379"/>
    <w:rsid w:val="00BD438A"/>
    <w:rsid w:val="00BD4438"/>
    <w:rsid w:val="00BD4445"/>
    <w:rsid w:val="00BD4510"/>
    <w:rsid w:val="00BD4523"/>
    <w:rsid w:val="00BD45EA"/>
    <w:rsid w:val="00BD4798"/>
    <w:rsid w:val="00BD49B4"/>
    <w:rsid w:val="00BD4A87"/>
    <w:rsid w:val="00BD4BE0"/>
    <w:rsid w:val="00BD4C11"/>
    <w:rsid w:val="00BD4D9E"/>
    <w:rsid w:val="00BD4DD4"/>
    <w:rsid w:val="00BD4DF9"/>
    <w:rsid w:val="00BD4F2C"/>
    <w:rsid w:val="00BD4FA2"/>
    <w:rsid w:val="00BD4FED"/>
    <w:rsid w:val="00BD51E7"/>
    <w:rsid w:val="00BD5201"/>
    <w:rsid w:val="00BD52CA"/>
    <w:rsid w:val="00BD543A"/>
    <w:rsid w:val="00BD55B4"/>
    <w:rsid w:val="00BD570C"/>
    <w:rsid w:val="00BD57C6"/>
    <w:rsid w:val="00BD58D1"/>
    <w:rsid w:val="00BD595B"/>
    <w:rsid w:val="00BD59B4"/>
    <w:rsid w:val="00BD5A26"/>
    <w:rsid w:val="00BD5A90"/>
    <w:rsid w:val="00BD5BC0"/>
    <w:rsid w:val="00BD5BD3"/>
    <w:rsid w:val="00BD5CF1"/>
    <w:rsid w:val="00BD5D75"/>
    <w:rsid w:val="00BD6051"/>
    <w:rsid w:val="00BD61E4"/>
    <w:rsid w:val="00BD62FF"/>
    <w:rsid w:val="00BD6325"/>
    <w:rsid w:val="00BD635B"/>
    <w:rsid w:val="00BD6378"/>
    <w:rsid w:val="00BD6427"/>
    <w:rsid w:val="00BD65E5"/>
    <w:rsid w:val="00BD6605"/>
    <w:rsid w:val="00BD66AF"/>
    <w:rsid w:val="00BD675F"/>
    <w:rsid w:val="00BD69E1"/>
    <w:rsid w:val="00BD6A13"/>
    <w:rsid w:val="00BD6B45"/>
    <w:rsid w:val="00BD6BD8"/>
    <w:rsid w:val="00BD6BE1"/>
    <w:rsid w:val="00BD6C28"/>
    <w:rsid w:val="00BD6CFA"/>
    <w:rsid w:val="00BD6CFF"/>
    <w:rsid w:val="00BD6E69"/>
    <w:rsid w:val="00BD6E81"/>
    <w:rsid w:val="00BD6ECA"/>
    <w:rsid w:val="00BD7021"/>
    <w:rsid w:val="00BD7041"/>
    <w:rsid w:val="00BD70F9"/>
    <w:rsid w:val="00BD711B"/>
    <w:rsid w:val="00BD7158"/>
    <w:rsid w:val="00BD716E"/>
    <w:rsid w:val="00BD71C5"/>
    <w:rsid w:val="00BD721D"/>
    <w:rsid w:val="00BD7441"/>
    <w:rsid w:val="00BD74DB"/>
    <w:rsid w:val="00BD7649"/>
    <w:rsid w:val="00BD7662"/>
    <w:rsid w:val="00BD771F"/>
    <w:rsid w:val="00BD7797"/>
    <w:rsid w:val="00BD77C3"/>
    <w:rsid w:val="00BD78CC"/>
    <w:rsid w:val="00BD792A"/>
    <w:rsid w:val="00BD793B"/>
    <w:rsid w:val="00BD797A"/>
    <w:rsid w:val="00BD798C"/>
    <w:rsid w:val="00BD79BD"/>
    <w:rsid w:val="00BD7B3D"/>
    <w:rsid w:val="00BD7B7A"/>
    <w:rsid w:val="00BD7B85"/>
    <w:rsid w:val="00BD7CE4"/>
    <w:rsid w:val="00BD7D36"/>
    <w:rsid w:val="00BD7D68"/>
    <w:rsid w:val="00BD7E00"/>
    <w:rsid w:val="00BD7F20"/>
    <w:rsid w:val="00BD7F86"/>
    <w:rsid w:val="00BE0062"/>
    <w:rsid w:val="00BE009E"/>
    <w:rsid w:val="00BE02B5"/>
    <w:rsid w:val="00BE02F3"/>
    <w:rsid w:val="00BE03C8"/>
    <w:rsid w:val="00BE0458"/>
    <w:rsid w:val="00BE04CF"/>
    <w:rsid w:val="00BE0545"/>
    <w:rsid w:val="00BE06A8"/>
    <w:rsid w:val="00BE06E0"/>
    <w:rsid w:val="00BE0722"/>
    <w:rsid w:val="00BE07A1"/>
    <w:rsid w:val="00BE07B1"/>
    <w:rsid w:val="00BE07C6"/>
    <w:rsid w:val="00BE08A1"/>
    <w:rsid w:val="00BE08DF"/>
    <w:rsid w:val="00BE09B2"/>
    <w:rsid w:val="00BE0BD3"/>
    <w:rsid w:val="00BE0C35"/>
    <w:rsid w:val="00BE0C7E"/>
    <w:rsid w:val="00BE0D22"/>
    <w:rsid w:val="00BE0D34"/>
    <w:rsid w:val="00BE0E20"/>
    <w:rsid w:val="00BE0EFA"/>
    <w:rsid w:val="00BE0FAC"/>
    <w:rsid w:val="00BE0FB4"/>
    <w:rsid w:val="00BE10C8"/>
    <w:rsid w:val="00BE115A"/>
    <w:rsid w:val="00BE1179"/>
    <w:rsid w:val="00BE11C7"/>
    <w:rsid w:val="00BE1495"/>
    <w:rsid w:val="00BE15A2"/>
    <w:rsid w:val="00BE1695"/>
    <w:rsid w:val="00BE1708"/>
    <w:rsid w:val="00BE177E"/>
    <w:rsid w:val="00BE190E"/>
    <w:rsid w:val="00BE191B"/>
    <w:rsid w:val="00BE199F"/>
    <w:rsid w:val="00BE19B2"/>
    <w:rsid w:val="00BE19ED"/>
    <w:rsid w:val="00BE1B1E"/>
    <w:rsid w:val="00BE1B6D"/>
    <w:rsid w:val="00BE1C42"/>
    <w:rsid w:val="00BE1D90"/>
    <w:rsid w:val="00BE1F31"/>
    <w:rsid w:val="00BE2076"/>
    <w:rsid w:val="00BE2151"/>
    <w:rsid w:val="00BE21D9"/>
    <w:rsid w:val="00BE2272"/>
    <w:rsid w:val="00BE22A9"/>
    <w:rsid w:val="00BE2386"/>
    <w:rsid w:val="00BE23D7"/>
    <w:rsid w:val="00BE250A"/>
    <w:rsid w:val="00BE254A"/>
    <w:rsid w:val="00BE268C"/>
    <w:rsid w:val="00BE2700"/>
    <w:rsid w:val="00BE28EB"/>
    <w:rsid w:val="00BE2B9E"/>
    <w:rsid w:val="00BE2BBA"/>
    <w:rsid w:val="00BE2C03"/>
    <w:rsid w:val="00BE2C1B"/>
    <w:rsid w:val="00BE2C97"/>
    <w:rsid w:val="00BE2D10"/>
    <w:rsid w:val="00BE2D5C"/>
    <w:rsid w:val="00BE2E91"/>
    <w:rsid w:val="00BE2F12"/>
    <w:rsid w:val="00BE2F3A"/>
    <w:rsid w:val="00BE2FD6"/>
    <w:rsid w:val="00BE2FE5"/>
    <w:rsid w:val="00BE304C"/>
    <w:rsid w:val="00BE30C5"/>
    <w:rsid w:val="00BE312A"/>
    <w:rsid w:val="00BE3144"/>
    <w:rsid w:val="00BE32B5"/>
    <w:rsid w:val="00BE3319"/>
    <w:rsid w:val="00BE336C"/>
    <w:rsid w:val="00BE33C4"/>
    <w:rsid w:val="00BE33CD"/>
    <w:rsid w:val="00BE354F"/>
    <w:rsid w:val="00BE35DA"/>
    <w:rsid w:val="00BE360D"/>
    <w:rsid w:val="00BE3676"/>
    <w:rsid w:val="00BE36DB"/>
    <w:rsid w:val="00BE372D"/>
    <w:rsid w:val="00BE378F"/>
    <w:rsid w:val="00BE379D"/>
    <w:rsid w:val="00BE3869"/>
    <w:rsid w:val="00BE38A3"/>
    <w:rsid w:val="00BE39AF"/>
    <w:rsid w:val="00BE3A0F"/>
    <w:rsid w:val="00BE3ADE"/>
    <w:rsid w:val="00BE3B22"/>
    <w:rsid w:val="00BE3B72"/>
    <w:rsid w:val="00BE3B7C"/>
    <w:rsid w:val="00BE3C32"/>
    <w:rsid w:val="00BE3C38"/>
    <w:rsid w:val="00BE3C82"/>
    <w:rsid w:val="00BE3CF4"/>
    <w:rsid w:val="00BE3D16"/>
    <w:rsid w:val="00BE3D28"/>
    <w:rsid w:val="00BE3D95"/>
    <w:rsid w:val="00BE3E32"/>
    <w:rsid w:val="00BE3E3B"/>
    <w:rsid w:val="00BE3EB9"/>
    <w:rsid w:val="00BE40D5"/>
    <w:rsid w:val="00BE4136"/>
    <w:rsid w:val="00BE42D9"/>
    <w:rsid w:val="00BE4364"/>
    <w:rsid w:val="00BE43AB"/>
    <w:rsid w:val="00BE4416"/>
    <w:rsid w:val="00BE441B"/>
    <w:rsid w:val="00BE454F"/>
    <w:rsid w:val="00BE464F"/>
    <w:rsid w:val="00BE46E8"/>
    <w:rsid w:val="00BE4978"/>
    <w:rsid w:val="00BE49F7"/>
    <w:rsid w:val="00BE4A0B"/>
    <w:rsid w:val="00BE4B39"/>
    <w:rsid w:val="00BE4BF3"/>
    <w:rsid w:val="00BE4C24"/>
    <w:rsid w:val="00BE4C65"/>
    <w:rsid w:val="00BE4CC2"/>
    <w:rsid w:val="00BE4D5A"/>
    <w:rsid w:val="00BE5035"/>
    <w:rsid w:val="00BE51D4"/>
    <w:rsid w:val="00BE52CD"/>
    <w:rsid w:val="00BE5344"/>
    <w:rsid w:val="00BE5492"/>
    <w:rsid w:val="00BE55F8"/>
    <w:rsid w:val="00BE56FD"/>
    <w:rsid w:val="00BE57CE"/>
    <w:rsid w:val="00BE588E"/>
    <w:rsid w:val="00BE5941"/>
    <w:rsid w:val="00BE5972"/>
    <w:rsid w:val="00BE5A91"/>
    <w:rsid w:val="00BE5CCD"/>
    <w:rsid w:val="00BE5D32"/>
    <w:rsid w:val="00BE5D3E"/>
    <w:rsid w:val="00BE5D47"/>
    <w:rsid w:val="00BE5E7D"/>
    <w:rsid w:val="00BE5F2E"/>
    <w:rsid w:val="00BE5F34"/>
    <w:rsid w:val="00BE5F9C"/>
    <w:rsid w:val="00BE5FC7"/>
    <w:rsid w:val="00BE6019"/>
    <w:rsid w:val="00BE6085"/>
    <w:rsid w:val="00BE60B0"/>
    <w:rsid w:val="00BE6100"/>
    <w:rsid w:val="00BE61BE"/>
    <w:rsid w:val="00BE63B0"/>
    <w:rsid w:val="00BE6407"/>
    <w:rsid w:val="00BE6463"/>
    <w:rsid w:val="00BE64A4"/>
    <w:rsid w:val="00BE65D1"/>
    <w:rsid w:val="00BE65F8"/>
    <w:rsid w:val="00BE660F"/>
    <w:rsid w:val="00BE670B"/>
    <w:rsid w:val="00BE68B8"/>
    <w:rsid w:val="00BE68D0"/>
    <w:rsid w:val="00BE691E"/>
    <w:rsid w:val="00BE6923"/>
    <w:rsid w:val="00BE69F9"/>
    <w:rsid w:val="00BE6A00"/>
    <w:rsid w:val="00BE6A27"/>
    <w:rsid w:val="00BE6A40"/>
    <w:rsid w:val="00BE6A85"/>
    <w:rsid w:val="00BE6B38"/>
    <w:rsid w:val="00BE6B90"/>
    <w:rsid w:val="00BE6B95"/>
    <w:rsid w:val="00BE6CA7"/>
    <w:rsid w:val="00BE6CC4"/>
    <w:rsid w:val="00BE6D96"/>
    <w:rsid w:val="00BE6D9D"/>
    <w:rsid w:val="00BE6E9C"/>
    <w:rsid w:val="00BE6FF4"/>
    <w:rsid w:val="00BE7073"/>
    <w:rsid w:val="00BE707B"/>
    <w:rsid w:val="00BE7084"/>
    <w:rsid w:val="00BE70C7"/>
    <w:rsid w:val="00BE7145"/>
    <w:rsid w:val="00BE714A"/>
    <w:rsid w:val="00BE7269"/>
    <w:rsid w:val="00BE72D3"/>
    <w:rsid w:val="00BE72F0"/>
    <w:rsid w:val="00BE75FF"/>
    <w:rsid w:val="00BE77D8"/>
    <w:rsid w:val="00BE7852"/>
    <w:rsid w:val="00BE7985"/>
    <w:rsid w:val="00BE7991"/>
    <w:rsid w:val="00BE79D6"/>
    <w:rsid w:val="00BE79D8"/>
    <w:rsid w:val="00BE7A3B"/>
    <w:rsid w:val="00BE7A44"/>
    <w:rsid w:val="00BE7AF0"/>
    <w:rsid w:val="00BE7C91"/>
    <w:rsid w:val="00BE7D0B"/>
    <w:rsid w:val="00BE7D39"/>
    <w:rsid w:val="00BE7DF7"/>
    <w:rsid w:val="00BE7E1E"/>
    <w:rsid w:val="00BE7E40"/>
    <w:rsid w:val="00BE7F86"/>
    <w:rsid w:val="00BE7FED"/>
    <w:rsid w:val="00BF0039"/>
    <w:rsid w:val="00BF0062"/>
    <w:rsid w:val="00BF007C"/>
    <w:rsid w:val="00BF0107"/>
    <w:rsid w:val="00BF01B6"/>
    <w:rsid w:val="00BF0214"/>
    <w:rsid w:val="00BF0231"/>
    <w:rsid w:val="00BF032E"/>
    <w:rsid w:val="00BF041E"/>
    <w:rsid w:val="00BF05BF"/>
    <w:rsid w:val="00BF05F0"/>
    <w:rsid w:val="00BF05F1"/>
    <w:rsid w:val="00BF070F"/>
    <w:rsid w:val="00BF0732"/>
    <w:rsid w:val="00BF077C"/>
    <w:rsid w:val="00BF085C"/>
    <w:rsid w:val="00BF098E"/>
    <w:rsid w:val="00BF0A1F"/>
    <w:rsid w:val="00BF0A33"/>
    <w:rsid w:val="00BF0A76"/>
    <w:rsid w:val="00BF0AE6"/>
    <w:rsid w:val="00BF0B52"/>
    <w:rsid w:val="00BF0B63"/>
    <w:rsid w:val="00BF0B83"/>
    <w:rsid w:val="00BF0C26"/>
    <w:rsid w:val="00BF0C42"/>
    <w:rsid w:val="00BF0C79"/>
    <w:rsid w:val="00BF0CB5"/>
    <w:rsid w:val="00BF0D35"/>
    <w:rsid w:val="00BF0DD6"/>
    <w:rsid w:val="00BF0EAC"/>
    <w:rsid w:val="00BF0FA4"/>
    <w:rsid w:val="00BF10A0"/>
    <w:rsid w:val="00BF10D2"/>
    <w:rsid w:val="00BF13E1"/>
    <w:rsid w:val="00BF13E8"/>
    <w:rsid w:val="00BF1631"/>
    <w:rsid w:val="00BF167A"/>
    <w:rsid w:val="00BF1698"/>
    <w:rsid w:val="00BF16F4"/>
    <w:rsid w:val="00BF17EF"/>
    <w:rsid w:val="00BF17FA"/>
    <w:rsid w:val="00BF18BC"/>
    <w:rsid w:val="00BF193F"/>
    <w:rsid w:val="00BF19BF"/>
    <w:rsid w:val="00BF1A46"/>
    <w:rsid w:val="00BF1BD1"/>
    <w:rsid w:val="00BF1BFA"/>
    <w:rsid w:val="00BF1CC5"/>
    <w:rsid w:val="00BF1D21"/>
    <w:rsid w:val="00BF1D7D"/>
    <w:rsid w:val="00BF1EDF"/>
    <w:rsid w:val="00BF1EE8"/>
    <w:rsid w:val="00BF2033"/>
    <w:rsid w:val="00BF20C7"/>
    <w:rsid w:val="00BF214B"/>
    <w:rsid w:val="00BF214E"/>
    <w:rsid w:val="00BF2180"/>
    <w:rsid w:val="00BF224E"/>
    <w:rsid w:val="00BF2271"/>
    <w:rsid w:val="00BF242F"/>
    <w:rsid w:val="00BF2541"/>
    <w:rsid w:val="00BF25AC"/>
    <w:rsid w:val="00BF25EB"/>
    <w:rsid w:val="00BF25F5"/>
    <w:rsid w:val="00BF2625"/>
    <w:rsid w:val="00BF26E2"/>
    <w:rsid w:val="00BF2909"/>
    <w:rsid w:val="00BF2BBE"/>
    <w:rsid w:val="00BF2C0A"/>
    <w:rsid w:val="00BF2C26"/>
    <w:rsid w:val="00BF2C30"/>
    <w:rsid w:val="00BF2C8F"/>
    <w:rsid w:val="00BF2D58"/>
    <w:rsid w:val="00BF2DCB"/>
    <w:rsid w:val="00BF2DF8"/>
    <w:rsid w:val="00BF2E8C"/>
    <w:rsid w:val="00BF2FA3"/>
    <w:rsid w:val="00BF2FC9"/>
    <w:rsid w:val="00BF3008"/>
    <w:rsid w:val="00BF3081"/>
    <w:rsid w:val="00BF30BB"/>
    <w:rsid w:val="00BF31DF"/>
    <w:rsid w:val="00BF3260"/>
    <w:rsid w:val="00BF3273"/>
    <w:rsid w:val="00BF329A"/>
    <w:rsid w:val="00BF3327"/>
    <w:rsid w:val="00BF333D"/>
    <w:rsid w:val="00BF335A"/>
    <w:rsid w:val="00BF350A"/>
    <w:rsid w:val="00BF3662"/>
    <w:rsid w:val="00BF3690"/>
    <w:rsid w:val="00BF369C"/>
    <w:rsid w:val="00BF36A4"/>
    <w:rsid w:val="00BF3848"/>
    <w:rsid w:val="00BF38B1"/>
    <w:rsid w:val="00BF3993"/>
    <w:rsid w:val="00BF3BAD"/>
    <w:rsid w:val="00BF3C10"/>
    <w:rsid w:val="00BF3C7C"/>
    <w:rsid w:val="00BF3EA5"/>
    <w:rsid w:val="00BF3F3B"/>
    <w:rsid w:val="00BF3FC7"/>
    <w:rsid w:val="00BF40EC"/>
    <w:rsid w:val="00BF4100"/>
    <w:rsid w:val="00BF42A6"/>
    <w:rsid w:val="00BF4401"/>
    <w:rsid w:val="00BF4496"/>
    <w:rsid w:val="00BF459E"/>
    <w:rsid w:val="00BF4652"/>
    <w:rsid w:val="00BF4676"/>
    <w:rsid w:val="00BF469F"/>
    <w:rsid w:val="00BF476B"/>
    <w:rsid w:val="00BF485B"/>
    <w:rsid w:val="00BF4866"/>
    <w:rsid w:val="00BF48DA"/>
    <w:rsid w:val="00BF49C2"/>
    <w:rsid w:val="00BF4A17"/>
    <w:rsid w:val="00BF4A72"/>
    <w:rsid w:val="00BF4B28"/>
    <w:rsid w:val="00BF4BC5"/>
    <w:rsid w:val="00BF4D3E"/>
    <w:rsid w:val="00BF4E0C"/>
    <w:rsid w:val="00BF4FED"/>
    <w:rsid w:val="00BF5009"/>
    <w:rsid w:val="00BF503F"/>
    <w:rsid w:val="00BF5082"/>
    <w:rsid w:val="00BF5158"/>
    <w:rsid w:val="00BF5252"/>
    <w:rsid w:val="00BF541C"/>
    <w:rsid w:val="00BF55C8"/>
    <w:rsid w:val="00BF55FA"/>
    <w:rsid w:val="00BF5631"/>
    <w:rsid w:val="00BF5696"/>
    <w:rsid w:val="00BF5743"/>
    <w:rsid w:val="00BF58E0"/>
    <w:rsid w:val="00BF5998"/>
    <w:rsid w:val="00BF59C7"/>
    <w:rsid w:val="00BF5A8B"/>
    <w:rsid w:val="00BF5AB2"/>
    <w:rsid w:val="00BF5AF7"/>
    <w:rsid w:val="00BF5B10"/>
    <w:rsid w:val="00BF5B67"/>
    <w:rsid w:val="00BF5D57"/>
    <w:rsid w:val="00BF5DE5"/>
    <w:rsid w:val="00BF5E79"/>
    <w:rsid w:val="00BF6037"/>
    <w:rsid w:val="00BF60EC"/>
    <w:rsid w:val="00BF6138"/>
    <w:rsid w:val="00BF617A"/>
    <w:rsid w:val="00BF6193"/>
    <w:rsid w:val="00BF61F3"/>
    <w:rsid w:val="00BF6334"/>
    <w:rsid w:val="00BF647B"/>
    <w:rsid w:val="00BF65F3"/>
    <w:rsid w:val="00BF66F0"/>
    <w:rsid w:val="00BF67CA"/>
    <w:rsid w:val="00BF6983"/>
    <w:rsid w:val="00BF6A7B"/>
    <w:rsid w:val="00BF6C8C"/>
    <w:rsid w:val="00BF6CE9"/>
    <w:rsid w:val="00BF6D01"/>
    <w:rsid w:val="00BF6D5D"/>
    <w:rsid w:val="00BF6EA7"/>
    <w:rsid w:val="00BF6FF3"/>
    <w:rsid w:val="00BF7098"/>
    <w:rsid w:val="00BF714D"/>
    <w:rsid w:val="00BF72E4"/>
    <w:rsid w:val="00BF7329"/>
    <w:rsid w:val="00BF735D"/>
    <w:rsid w:val="00BF740B"/>
    <w:rsid w:val="00BF7462"/>
    <w:rsid w:val="00BF74D3"/>
    <w:rsid w:val="00BF7588"/>
    <w:rsid w:val="00BF75B0"/>
    <w:rsid w:val="00BF75E9"/>
    <w:rsid w:val="00BF7609"/>
    <w:rsid w:val="00BF764A"/>
    <w:rsid w:val="00BF7662"/>
    <w:rsid w:val="00BF76EB"/>
    <w:rsid w:val="00BF7885"/>
    <w:rsid w:val="00BF789C"/>
    <w:rsid w:val="00BF79A5"/>
    <w:rsid w:val="00BF79B5"/>
    <w:rsid w:val="00BF7AA3"/>
    <w:rsid w:val="00BF7AFE"/>
    <w:rsid w:val="00BF7CBC"/>
    <w:rsid w:val="00BF7D2C"/>
    <w:rsid w:val="00BF7D6B"/>
    <w:rsid w:val="00BF7D6E"/>
    <w:rsid w:val="00BF7E0B"/>
    <w:rsid w:val="00BF7F55"/>
    <w:rsid w:val="00C001AC"/>
    <w:rsid w:val="00C00280"/>
    <w:rsid w:val="00C0032A"/>
    <w:rsid w:val="00C0037B"/>
    <w:rsid w:val="00C003B0"/>
    <w:rsid w:val="00C00494"/>
    <w:rsid w:val="00C004BB"/>
    <w:rsid w:val="00C00513"/>
    <w:rsid w:val="00C0063C"/>
    <w:rsid w:val="00C0076A"/>
    <w:rsid w:val="00C009C4"/>
    <w:rsid w:val="00C00A92"/>
    <w:rsid w:val="00C00ADC"/>
    <w:rsid w:val="00C00B36"/>
    <w:rsid w:val="00C00B5F"/>
    <w:rsid w:val="00C00C08"/>
    <w:rsid w:val="00C00C1F"/>
    <w:rsid w:val="00C00C34"/>
    <w:rsid w:val="00C00CB2"/>
    <w:rsid w:val="00C00DBD"/>
    <w:rsid w:val="00C00E67"/>
    <w:rsid w:val="00C00EFD"/>
    <w:rsid w:val="00C00FDC"/>
    <w:rsid w:val="00C010AC"/>
    <w:rsid w:val="00C01119"/>
    <w:rsid w:val="00C012A2"/>
    <w:rsid w:val="00C012E0"/>
    <w:rsid w:val="00C0133E"/>
    <w:rsid w:val="00C01377"/>
    <w:rsid w:val="00C0147B"/>
    <w:rsid w:val="00C014D1"/>
    <w:rsid w:val="00C014D5"/>
    <w:rsid w:val="00C015AF"/>
    <w:rsid w:val="00C016E4"/>
    <w:rsid w:val="00C01763"/>
    <w:rsid w:val="00C017A2"/>
    <w:rsid w:val="00C018DE"/>
    <w:rsid w:val="00C01923"/>
    <w:rsid w:val="00C019CA"/>
    <w:rsid w:val="00C019DC"/>
    <w:rsid w:val="00C01AB5"/>
    <w:rsid w:val="00C01B12"/>
    <w:rsid w:val="00C01C3F"/>
    <w:rsid w:val="00C01C9B"/>
    <w:rsid w:val="00C01CE3"/>
    <w:rsid w:val="00C01D4C"/>
    <w:rsid w:val="00C01D56"/>
    <w:rsid w:val="00C01D67"/>
    <w:rsid w:val="00C01DE8"/>
    <w:rsid w:val="00C01E80"/>
    <w:rsid w:val="00C01EE5"/>
    <w:rsid w:val="00C01F35"/>
    <w:rsid w:val="00C01FED"/>
    <w:rsid w:val="00C021A8"/>
    <w:rsid w:val="00C021FF"/>
    <w:rsid w:val="00C0222F"/>
    <w:rsid w:val="00C0224D"/>
    <w:rsid w:val="00C02340"/>
    <w:rsid w:val="00C02409"/>
    <w:rsid w:val="00C026F4"/>
    <w:rsid w:val="00C02766"/>
    <w:rsid w:val="00C027D1"/>
    <w:rsid w:val="00C027FB"/>
    <w:rsid w:val="00C02811"/>
    <w:rsid w:val="00C02967"/>
    <w:rsid w:val="00C02973"/>
    <w:rsid w:val="00C029CD"/>
    <w:rsid w:val="00C02A6F"/>
    <w:rsid w:val="00C02AA5"/>
    <w:rsid w:val="00C02AF1"/>
    <w:rsid w:val="00C02B7A"/>
    <w:rsid w:val="00C02C03"/>
    <w:rsid w:val="00C02CFB"/>
    <w:rsid w:val="00C02D18"/>
    <w:rsid w:val="00C02D5F"/>
    <w:rsid w:val="00C02F18"/>
    <w:rsid w:val="00C02F41"/>
    <w:rsid w:val="00C030C6"/>
    <w:rsid w:val="00C030EC"/>
    <w:rsid w:val="00C0318D"/>
    <w:rsid w:val="00C03333"/>
    <w:rsid w:val="00C03348"/>
    <w:rsid w:val="00C03363"/>
    <w:rsid w:val="00C03383"/>
    <w:rsid w:val="00C033B2"/>
    <w:rsid w:val="00C034F5"/>
    <w:rsid w:val="00C03608"/>
    <w:rsid w:val="00C0365D"/>
    <w:rsid w:val="00C036CC"/>
    <w:rsid w:val="00C036DF"/>
    <w:rsid w:val="00C038E2"/>
    <w:rsid w:val="00C03940"/>
    <w:rsid w:val="00C03AF3"/>
    <w:rsid w:val="00C03B4E"/>
    <w:rsid w:val="00C03B90"/>
    <w:rsid w:val="00C03BFC"/>
    <w:rsid w:val="00C03CD1"/>
    <w:rsid w:val="00C03E1B"/>
    <w:rsid w:val="00C03F36"/>
    <w:rsid w:val="00C0406D"/>
    <w:rsid w:val="00C040FC"/>
    <w:rsid w:val="00C04154"/>
    <w:rsid w:val="00C041A7"/>
    <w:rsid w:val="00C04293"/>
    <w:rsid w:val="00C042ED"/>
    <w:rsid w:val="00C04374"/>
    <w:rsid w:val="00C043E3"/>
    <w:rsid w:val="00C0444B"/>
    <w:rsid w:val="00C044B9"/>
    <w:rsid w:val="00C04570"/>
    <w:rsid w:val="00C0457F"/>
    <w:rsid w:val="00C04589"/>
    <w:rsid w:val="00C045FF"/>
    <w:rsid w:val="00C046D6"/>
    <w:rsid w:val="00C0477A"/>
    <w:rsid w:val="00C047B5"/>
    <w:rsid w:val="00C04845"/>
    <w:rsid w:val="00C0487E"/>
    <w:rsid w:val="00C04946"/>
    <w:rsid w:val="00C04A9A"/>
    <w:rsid w:val="00C04AF5"/>
    <w:rsid w:val="00C04B90"/>
    <w:rsid w:val="00C04BF2"/>
    <w:rsid w:val="00C04C37"/>
    <w:rsid w:val="00C04D4D"/>
    <w:rsid w:val="00C04E62"/>
    <w:rsid w:val="00C04F52"/>
    <w:rsid w:val="00C0509F"/>
    <w:rsid w:val="00C050B7"/>
    <w:rsid w:val="00C05131"/>
    <w:rsid w:val="00C05179"/>
    <w:rsid w:val="00C05305"/>
    <w:rsid w:val="00C05319"/>
    <w:rsid w:val="00C053FD"/>
    <w:rsid w:val="00C0543D"/>
    <w:rsid w:val="00C054DB"/>
    <w:rsid w:val="00C05505"/>
    <w:rsid w:val="00C05598"/>
    <w:rsid w:val="00C055EA"/>
    <w:rsid w:val="00C05630"/>
    <w:rsid w:val="00C05637"/>
    <w:rsid w:val="00C05684"/>
    <w:rsid w:val="00C058B5"/>
    <w:rsid w:val="00C05934"/>
    <w:rsid w:val="00C05A0A"/>
    <w:rsid w:val="00C05A9C"/>
    <w:rsid w:val="00C05C1D"/>
    <w:rsid w:val="00C05D72"/>
    <w:rsid w:val="00C05DAE"/>
    <w:rsid w:val="00C05DB0"/>
    <w:rsid w:val="00C05EC8"/>
    <w:rsid w:val="00C05FF3"/>
    <w:rsid w:val="00C06104"/>
    <w:rsid w:val="00C061A6"/>
    <w:rsid w:val="00C0621C"/>
    <w:rsid w:val="00C06278"/>
    <w:rsid w:val="00C062C5"/>
    <w:rsid w:val="00C06342"/>
    <w:rsid w:val="00C06393"/>
    <w:rsid w:val="00C063A7"/>
    <w:rsid w:val="00C06446"/>
    <w:rsid w:val="00C06460"/>
    <w:rsid w:val="00C065CD"/>
    <w:rsid w:val="00C065FC"/>
    <w:rsid w:val="00C067B4"/>
    <w:rsid w:val="00C06805"/>
    <w:rsid w:val="00C0683E"/>
    <w:rsid w:val="00C06899"/>
    <w:rsid w:val="00C0696C"/>
    <w:rsid w:val="00C06A5A"/>
    <w:rsid w:val="00C06A83"/>
    <w:rsid w:val="00C06ABF"/>
    <w:rsid w:val="00C06AC4"/>
    <w:rsid w:val="00C06B57"/>
    <w:rsid w:val="00C06B90"/>
    <w:rsid w:val="00C06BEA"/>
    <w:rsid w:val="00C06CD0"/>
    <w:rsid w:val="00C06D03"/>
    <w:rsid w:val="00C06D5C"/>
    <w:rsid w:val="00C06E7F"/>
    <w:rsid w:val="00C0709D"/>
    <w:rsid w:val="00C0716B"/>
    <w:rsid w:val="00C07213"/>
    <w:rsid w:val="00C0722B"/>
    <w:rsid w:val="00C07277"/>
    <w:rsid w:val="00C072D0"/>
    <w:rsid w:val="00C072DB"/>
    <w:rsid w:val="00C07421"/>
    <w:rsid w:val="00C075E6"/>
    <w:rsid w:val="00C077FB"/>
    <w:rsid w:val="00C0796F"/>
    <w:rsid w:val="00C079AC"/>
    <w:rsid w:val="00C07A3D"/>
    <w:rsid w:val="00C07B94"/>
    <w:rsid w:val="00C07C7E"/>
    <w:rsid w:val="00C07DC1"/>
    <w:rsid w:val="00C07E58"/>
    <w:rsid w:val="00C07ECA"/>
    <w:rsid w:val="00C07F31"/>
    <w:rsid w:val="00C07F5D"/>
    <w:rsid w:val="00C07FD8"/>
    <w:rsid w:val="00C10040"/>
    <w:rsid w:val="00C100E2"/>
    <w:rsid w:val="00C100F7"/>
    <w:rsid w:val="00C10116"/>
    <w:rsid w:val="00C10117"/>
    <w:rsid w:val="00C10120"/>
    <w:rsid w:val="00C101AF"/>
    <w:rsid w:val="00C101BD"/>
    <w:rsid w:val="00C10286"/>
    <w:rsid w:val="00C10330"/>
    <w:rsid w:val="00C103FB"/>
    <w:rsid w:val="00C1042C"/>
    <w:rsid w:val="00C105C8"/>
    <w:rsid w:val="00C10651"/>
    <w:rsid w:val="00C1070A"/>
    <w:rsid w:val="00C10801"/>
    <w:rsid w:val="00C1083D"/>
    <w:rsid w:val="00C10857"/>
    <w:rsid w:val="00C108C8"/>
    <w:rsid w:val="00C10A08"/>
    <w:rsid w:val="00C10B1C"/>
    <w:rsid w:val="00C10C42"/>
    <w:rsid w:val="00C10C6D"/>
    <w:rsid w:val="00C10DB6"/>
    <w:rsid w:val="00C10DFC"/>
    <w:rsid w:val="00C10EDE"/>
    <w:rsid w:val="00C10F28"/>
    <w:rsid w:val="00C11037"/>
    <w:rsid w:val="00C110DF"/>
    <w:rsid w:val="00C111B9"/>
    <w:rsid w:val="00C111F3"/>
    <w:rsid w:val="00C113AA"/>
    <w:rsid w:val="00C114C6"/>
    <w:rsid w:val="00C11593"/>
    <w:rsid w:val="00C115FC"/>
    <w:rsid w:val="00C1162E"/>
    <w:rsid w:val="00C11642"/>
    <w:rsid w:val="00C11873"/>
    <w:rsid w:val="00C11882"/>
    <w:rsid w:val="00C11930"/>
    <w:rsid w:val="00C119E2"/>
    <w:rsid w:val="00C11A45"/>
    <w:rsid w:val="00C11B38"/>
    <w:rsid w:val="00C11BDD"/>
    <w:rsid w:val="00C11C08"/>
    <w:rsid w:val="00C11D68"/>
    <w:rsid w:val="00C11EE3"/>
    <w:rsid w:val="00C12240"/>
    <w:rsid w:val="00C122FF"/>
    <w:rsid w:val="00C12326"/>
    <w:rsid w:val="00C12398"/>
    <w:rsid w:val="00C124B1"/>
    <w:rsid w:val="00C125AB"/>
    <w:rsid w:val="00C125FE"/>
    <w:rsid w:val="00C12697"/>
    <w:rsid w:val="00C12703"/>
    <w:rsid w:val="00C12744"/>
    <w:rsid w:val="00C12879"/>
    <w:rsid w:val="00C128BA"/>
    <w:rsid w:val="00C128D9"/>
    <w:rsid w:val="00C128E8"/>
    <w:rsid w:val="00C12956"/>
    <w:rsid w:val="00C129B6"/>
    <w:rsid w:val="00C129C6"/>
    <w:rsid w:val="00C12B3B"/>
    <w:rsid w:val="00C12B5B"/>
    <w:rsid w:val="00C12B86"/>
    <w:rsid w:val="00C12BB5"/>
    <w:rsid w:val="00C12BC3"/>
    <w:rsid w:val="00C12BD8"/>
    <w:rsid w:val="00C12E63"/>
    <w:rsid w:val="00C12E72"/>
    <w:rsid w:val="00C12F76"/>
    <w:rsid w:val="00C13149"/>
    <w:rsid w:val="00C1326F"/>
    <w:rsid w:val="00C13270"/>
    <w:rsid w:val="00C132B5"/>
    <w:rsid w:val="00C132D0"/>
    <w:rsid w:val="00C13320"/>
    <w:rsid w:val="00C133C2"/>
    <w:rsid w:val="00C13481"/>
    <w:rsid w:val="00C134FF"/>
    <w:rsid w:val="00C135D0"/>
    <w:rsid w:val="00C13630"/>
    <w:rsid w:val="00C1365F"/>
    <w:rsid w:val="00C136D8"/>
    <w:rsid w:val="00C137A6"/>
    <w:rsid w:val="00C138C9"/>
    <w:rsid w:val="00C13906"/>
    <w:rsid w:val="00C13942"/>
    <w:rsid w:val="00C13BC7"/>
    <w:rsid w:val="00C13E6C"/>
    <w:rsid w:val="00C13F58"/>
    <w:rsid w:val="00C13F6E"/>
    <w:rsid w:val="00C13FCF"/>
    <w:rsid w:val="00C1404B"/>
    <w:rsid w:val="00C1406D"/>
    <w:rsid w:val="00C142B9"/>
    <w:rsid w:val="00C14631"/>
    <w:rsid w:val="00C1463A"/>
    <w:rsid w:val="00C1471F"/>
    <w:rsid w:val="00C1476C"/>
    <w:rsid w:val="00C1484A"/>
    <w:rsid w:val="00C14897"/>
    <w:rsid w:val="00C14B4A"/>
    <w:rsid w:val="00C14C1A"/>
    <w:rsid w:val="00C14CAF"/>
    <w:rsid w:val="00C14F60"/>
    <w:rsid w:val="00C14FFC"/>
    <w:rsid w:val="00C15105"/>
    <w:rsid w:val="00C15108"/>
    <w:rsid w:val="00C1517D"/>
    <w:rsid w:val="00C1522B"/>
    <w:rsid w:val="00C152C0"/>
    <w:rsid w:val="00C1532E"/>
    <w:rsid w:val="00C15361"/>
    <w:rsid w:val="00C153FF"/>
    <w:rsid w:val="00C1555F"/>
    <w:rsid w:val="00C1564B"/>
    <w:rsid w:val="00C1587E"/>
    <w:rsid w:val="00C158A3"/>
    <w:rsid w:val="00C15939"/>
    <w:rsid w:val="00C159E3"/>
    <w:rsid w:val="00C159F0"/>
    <w:rsid w:val="00C15A14"/>
    <w:rsid w:val="00C15B38"/>
    <w:rsid w:val="00C15B6B"/>
    <w:rsid w:val="00C15C18"/>
    <w:rsid w:val="00C15C3F"/>
    <w:rsid w:val="00C15D33"/>
    <w:rsid w:val="00C15E80"/>
    <w:rsid w:val="00C15E8F"/>
    <w:rsid w:val="00C16092"/>
    <w:rsid w:val="00C1611E"/>
    <w:rsid w:val="00C1620E"/>
    <w:rsid w:val="00C1624B"/>
    <w:rsid w:val="00C1625B"/>
    <w:rsid w:val="00C162A0"/>
    <w:rsid w:val="00C16316"/>
    <w:rsid w:val="00C163C5"/>
    <w:rsid w:val="00C16641"/>
    <w:rsid w:val="00C1673E"/>
    <w:rsid w:val="00C1676E"/>
    <w:rsid w:val="00C167D7"/>
    <w:rsid w:val="00C167EE"/>
    <w:rsid w:val="00C1682D"/>
    <w:rsid w:val="00C168FE"/>
    <w:rsid w:val="00C1696A"/>
    <w:rsid w:val="00C1699B"/>
    <w:rsid w:val="00C169F4"/>
    <w:rsid w:val="00C16A8F"/>
    <w:rsid w:val="00C16A9B"/>
    <w:rsid w:val="00C16A9F"/>
    <w:rsid w:val="00C16B28"/>
    <w:rsid w:val="00C16B73"/>
    <w:rsid w:val="00C16C65"/>
    <w:rsid w:val="00C16CF6"/>
    <w:rsid w:val="00C16D85"/>
    <w:rsid w:val="00C16D8A"/>
    <w:rsid w:val="00C16DB0"/>
    <w:rsid w:val="00C16E2F"/>
    <w:rsid w:val="00C16E8C"/>
    <w:rsid w:val="00C16EF4"/>
    <w:rsid w:val="00C16F34"/>
    <w:rsid w:val="00C17001"/>
    <w:rsid w:val="00C1711B"/>
    <w:rsid w:val="00C17184"/>
    <w:rsid w:val="00C1720A"/>
    <w:rsid w:val="00C17307"/>
    <w:rsid w:val="00C173CD"/>
    <w:rsid w:val="00C17659"/>
    <w:rsid w:val="00C176BE"/>
    <w:rsid w:val="00C17744"/>
    <w:rsid w:val="00C1783C"/>
    <w:rsid w:val="00C178CD"/>
    <w:rsid w:val="00C178F1"/>
    <w:rsid w:val="00C1799F"/>
    <w:rsid w:val="00C17CAB"/>
    <w:rsid w:val="00C17D06"/>
    <w:rsid w:val="00C17D35"/>
    <w:rsid w:val="00C17EAC"/>
    <w:rsid w:val="00C17EEE"/>
    <w:rsid w:val="00C17F13"/>
    <w:rsid w:val="00C20098"/>
    <w:rsid w:val="00C202B4"/>
    <w:rsid w:val="00C202CA"/>
    <w:rsid w:val="00C202E2"/>
    <w:rsid w:val="00C20336"/>
    <w:rsid w:val="00C2059B"/>
    <w:rsid w:val="00C205B6"/>
    <w:rsid w:val="00C20631"/>
    <w:rsid w:val="00C20639"/>
    <w:rsid w:val="00C20699"/>
    <w:rsid w:val="00C20768"/>
    <w:rsid w:val="00C20826"/>
    <w:rsid w:val="00C2097B"/>
    <w:rsid w:val="00C20990"/>
    <w:rsid w:val="00C20BE6"/>
    <w:rsid w:val="00C20CAB"/>
    <w:rsid w:val="00C20CB0"/>
    <w:rsid w:val="00C20FC3"/>
    <w:rsid w:val="00C21093"/>
    <w:rsid w:val="00C21183"/>
    <w:rsid w:val="00C21184"/>
    <w:rsid w:val="00C212D9"/>
    <w:rsid w:val="00C21306"/>
    <w:rsid w:val="00C21431"/>
    <w:rsid w:val="00C21437"/>
    <w:rsid w:val="00C21493"/>
    <w:rsid w:val="00C21654"/>
    <w:rsid w:val="00C21735"/>
    <w:rsid w:val="00C21838"/>
    <w:rsid w:val="00C2199A"/>
    <w:rsid w:val="00C21A01"/>
    <w:rsid w:val="00C21A59"/>
    <w:rsid w:val="00C21AD9"/>
    <w:rsid w:val="00C21B2F"/>
    <w:rsid w:val="00C21C1C"/>
    <w:rsid w:val="00C21C98"/>
    <w:rsid w:val="00C21D44"/>
    <w:rsid w:val="00C21E45"/>
    <w:rsid w:val="00C21ED3"/>
    <w:rsid w:val="00C21FDD"/>
    <w:rsid w:val="00C22079"/>
    <w:rsid w:val="00C220C9"/>
    <w:rsid w:val="00C220FD"/>
    <w:rsid w:val="00C22140"/>
    <w:rsid w:val="00C2217B"/>
    <w:rsid w:val="00C22271"/>
    <w:rsid w:val="00C222A0"/>
    <w:rsid w:val="00C2234C"/>
    <w:rsid w:val="00C223D2"/>
    <w:rsid w:val="00C2240E"/>
    <w:rsid w:val="00C2255D"/>
    <w:rsid w:val="00C22618"/>
    <w:rsid w:val="00C2263B"/>
    <w:rsid w:val="00C226D8"/>
    <w:rsid w:val="00C226F6"/>
    <w:rsid w:val="00C22745"/>
    <w:rsid w:val="00C2277F"/>
    <w:rsid w:val="00C227B8"/>
    <w:rsid w:val="00C227E6"/>
    <w:rsid w:val="00C22927"/>
    <w:rsid w:val="00C229C8"/>
    <w:rsid w:val="00C22A33"/>
    <w:rsid w:val="00C22BF0"/>
    <w:rsid w:val="00C22C15"/>
    <w:rsid w:val="00C22CAB"/>
    <w:rsid w:val="00C22E16"/>
    <w:rsid w:val="00C22E4E"/>
    <w:rsid w:val="00C22EBA"/>
    <w:rsid w:val="00C22FE0"/>
    <w:rsid w:val="00C23001"/>
    <w:rsid w:val="00C2318A"/>
    <w:rsid w:val="00C231F1"/>
    <w:rsid w:val="00C232F2"/>
    <w:rsid w:val="00C23369"/>
    <w:rsid w:val="00C233A5"/>
    <w:rsid w:val="00C2341B"/>
    <w:rsid w:val="00C2349A"/>
    <w:rsid w:val="00C2349F"/>
    <w:rsid w:val="00C23650"/>
    <w:rsid w:val="00C23A42"/>
    <w:rsid w:val="00C23AE2"/>
    <w:rsid w:val="00C23B6F"/>
    <w:rsid w:val="00C23BF5"/>
    <w:rsid w:val="00C23C99"/>
    <w:rsid w:val="00C23CC0"/>
    <w:rsid w:val="00C23D35"/>
    <w:rsid w:val="00C23D75"/>
    <w:rsid w:val="00C23DE3"/>
    <w:rsid w:val="00C23E2F"/>
    <w:rsid w:val="00C23EC1"/>
    <w:rsid w:val="00C23F7C"/>
    <w:rsid w:val="00C23F90"/>
    <w:rsid w:val="00C23FE8"/>
    <w:rsid w:val="00C23FEE"/>
    <w:rsid w:val="00C23FFF"/>
    <w:rsid w:val="00C24041"/>
    <w:rsid w:val="00C240AA"/>
    <w:rsid w:val="00C240F2"/>
    <w:rsid w:val="00C241E0"/>
    <w:rsid w:val="00C2424C"/>
    <w:rsid w:val="00C243AB"/>
    <w:rsid w:val="00C24468"/>
    <w:rsid w:val="00C2449F"/>
    <w:rsid w:val="00C244E8"/>
    <w:rsid w:val="00C245F4"/>
    <w:rsid w:val="00C246A9"/>
    <w:rsid w:val="00C2479B"/>
    <w:rsid w:val="00C24855"/>
    <w:rsid w:val="00C24869"/>
    <w:rsid w:val="00C24876"/>
    <w:rsid w:val="00C24936"/>
    <w:rsid w:val="00C249F0"/>
    <w:rsid w:val="00C24A02"/>
    <w:rsid w:val="00C24A90"/>
    <w:rsid w:val="00C24BF1"/>
    <w:rsid w:val="00C24C47"/>
    <w:rsid w:val="00C24C98"/>
    <w:rsid w:val="00C24D2E"/>
    <w:rsid w:val="00C24D33"/>
    <w:rsid w:val="00C24F1A"/>
    <w:rsid w:val="00C24F96"/>
    <w:rsid w:val="00C25017"/>
    <w:rsid w:val="00C2510B"/>
    <w:rsid w:val="00C2513F"/>
    <w:rsid w:val="00C25179"/>
    <w:rsid w:val="00C251B1"/>
    <w:rsid w:val="00C25328"/>
    <w:rsid w:val="00C253D4"/>
    <w:rsid w:val="00C254F2"/>
    <w:rsid w:val="00C255D6"/>
    <w:rsid w:val="00C25675"/>
    <w:rsid w:val="00C256E5"/>
    <w:rsid w:val="00C25751"/>
    <w:rsid w:val="00C2579F"/>
    <w:rsid w:val="00C257AB"/>
    <w:rsid w:val="00C257C1"/>
    <w:rsid w:val="00C25A15"/>
    <w:rsid w:val="00C25A22"/>
    <w:rsid w:val="00C25A7A"/>
    <w:rsid w:val="00C25AEB"/>
    <w:rsid w:val="00C25BB5"/>
    <w:rsid w:val="00C25BD0"/>
    <w:rsid w:val="00C25BF6"/>
    <w:rsid w:val="00C25D2E"/>
    <w:rsid w:val="00C25D81"/>
    <w:rsid w:val="00C25DAB"/>
    <w:rsid w:val="00C25ED0"/>
    <w:rsid w:val="00C25F3B"/>
    <w:rsid w:val="00C260CA"/>
    <w:rsid w:val="00C26102"/>
    <w:rsid w:val="00C2614F"/>
    <w:rsid w:val="00C26193"/>
    <w:rsid w:val="00C2620D"/>
    <w:rsid w:val="00C2626B"/>
    <w:rsid w:val="00C262C3"/>
    <w:rsid w:val="00C26373"/>
    <w:rsid w:val="00C26412"/>
    <w:rsid w:val="00C2646F"/>
    <w:rsid w:val="00C26570"/>
    <w:rsid w:val="00C26585"/>
    <w:rsid w:val="00C26681"/>
    <w:rsid w:val="00C26709"/>
    <w:rsid w:val="00C26715"/>
    <w:rsid w:val="00C2675E"/>
    <w:rsid w:val="00C268D0"/>
    <w:rsid w:val="00C268F6"/>
    <w:rsid w:val="00C26AB8"/>
    <w:rsid w:val="00C26B53"/>
    <w:rsid w:val="00C26B71"/>
    <w:rsid w:val="00C26C14"/>
    <w:rsid w:val="00C26D21"/>
    <w:rsid w:val="00C26E69"/>
    <w:rsid w:val="00C26E76"/>
    <w:rsid w:val="00C26F9A"/>
    <w:rsid w:val="00C27000"/>
    <w:rsid w:val="00C27043"/>
    <w:rsid w:val="00C271B2"/>
    <w:rsid w:val="00C2742A"/>
    <w:rsid w:val="00C27579"/>
    <w:rsid w:val="00C2768C"/>
    <w:rsid w:val="00C27694"/>
    <w:rsid w:val="00C276D6"/>
    <w:rsid w:val="00C27727"/>
    <w:rsid w:val="00C277D8"/>
    <w:rsid w:val="00C278A1"/>
    <w:rsid w:val="00C27923"/>
    <w:rsid w:val="00C27971"/>
    <w:rsid w:val="00C27A2D"/>
    <w:rsid w:val="00C27A9F"/>
    <w:rsid w:val="00C27AA5"/>
    <w:rsid w:val="00C27AC9"/>
    <w:rsid w:val="00C27ADF"/>
    <w:rsid w:val="00C27B01"/>
    <w:rsid w:val="00C27B34"/>
    <w:rsid w:val="00C27C62"/>
    <w:rsid w:val="00C27D37"/>
    <w:rsid w:val="00C27DA1"/>
    <w:rsid w:val="00C27DE7"/>
    <w:rsid w:val="00C27DE9"/>
    <w:rsid w:val="00C27F19"/>
    <w:rsid w:val="00C30035"/>
    <w:rsid w:val="00C30056"/>
    <w:rsid w:val="00C300A6"/>
    <w:rsid w:val="00C301C1"/>
    <w:rsid w:val="00C302AF"/>
    <w:rsid w:val="00C3036E"/>
    <w:rsid w:val="00C3039E"/>
    <w:rsid w:val="00C303FC"/>
    <w:rsid w:val="00C3045C"/>
    <w:rsid w:val="00C304C2"/>
    <w:rsid w:val="00C3055A"/>
    <w:rsid w:val="00C305C1"/>
    <w:rsid w:val="00C305E5"/>
    <w:rsid w:val="00C30608"/>
    <w:rsid w:val="00C30651"/>
    <w:rsid w:val="00C3068C"/>
    <w:rsid w:val="00C30800"/>
    <w:rsid w:val="00C308D4"/>
    <w:rsid w:val="00C308D5"/>
    <w:rsid w:val="00C30AE7"/>
    <w:rsid w:val="00C30C8D"/>
    <w:rsid w:val="00C30CD5"/>
    <w:rsid w:val="00C30CEF"/>
    <w:rsid w:val="00C30D96"/>
    <w:rsid w:val="00C30DA6"/>
    <w:rsid w:val="00C30DCA"/>
    <w:rsid w:val="00C30E68"/>
    <w:rsid w:val="00C30F14"/>
    <w:rsid w:val="00C30F8B"/>
    <w:rsid w:val="00C3100A"/>
    <w:rsid w:val="00C31020"/>
    <w:rsid w:val="00C3110D"/>
    <w:rsid w:val="00C31175"/>
    <w:rsid w:val="00C3117F"/>
    <w:rsid w:val="00C3128D"/>
    <w:rsid w:val="00C312F9"/>
    <w:rsid w:val="00C31341"/>
    <w:rsid w:val="00C31346"/>
    <w:rsid w:val="00C31505"/>
    <w:rsid w:val="00C315FF"/>
    <w:rsid w:val="00C3161E"/>
    <w:rsid w:val="00C316D3"/>
    <w:rsid w:val="00C317BA"/>
    <w:rsid w:val="00C3183C"/>
    <w:rsid w:val="00C318E7"/>
    <w:rsid w:val="00C319B8"/>
    <w:rsid w:val="00C31A06"/>
    <w:rsid w:val="00C31ABA"/>
    <w:rsid w:val="00C31B13"/>
    <w:rsid w:val="00C31BFD"/>
    <w:rsid w:val="00C31C4D"/>
    <w:rsid w:val="00C31C73"/>
    <w:rsid w:val="00C31CA9"/>
    <w:rsid w:val="00C31CBD"/>
    <w:rsid w:val="00C31CCE"/>
    <w:rsid w:val="00C31F5E"/>
    <w:rsid w:val="00C3200F"/>
    <w:rsid w:val="00C32025"/>
    <w:rsid w:val="00C320A1"/>
    <w:rsid w:val="00C320E7"/>
    <w:rsid w:val="00C3210A"/>
    <w:rsid w:val="00C32218"/>
    <w:rsid w:val="00C3224D"/>
    <w:rsid w:val="00C32367"/>
    <w:rsid w:val="00C3241B"/>
    <w:rsid w:val="00C32493"/>
    <w:rsid w:val="00C32527"/>
    <w:rsid w:val="00C325D0"/>
    <w:rsid w:val="00C32758"/>
    <w:rsid w:val="00C32762"/>
    <w:rsid w:val="00C327D9"/>
    <w:rsid w:val="00C327EE"/>
    <w:rsid w:val="00C327F9"/>
    <w:rsid w:val="00C32892"/>
    <w:rsid w:val="00C32994"/>
    <w:rsid w:val="00C32A34"/>
    <w:rsid w:val="00C32ADF"/>
    <w:rsid w:val="00C32BA9"/>
    <w:rsid w:val="00C32C24"/>
    <w:rsid w:val="00C32C97"/>
    <w:rsid w:val="00C32CCA"/>
    <w:rsid w:val="00C32D99"/>
    <w:rsid w:val="00C32DC3"/>
    <w:rsid w:val="00C32E04"/>
    <w:rsid w:val="00C32F6A"/>
    <w:rsid w:val="00C33262"/>
    <w:rsid w:val="00C332A3"/>
    <w:rsid w:val="00C3330E"/>
    <w:rsid w:val="00C33354"/>
    <w:rsid w:val="00C33365"/>
    <w:rsid w:val="00C33368"/>
    <w:rsid w:val="00C3336B"/>
    <w:rsid w:val="00C3357D"/>
    <w:rsid w:val="00C3365E"/>
    <w:rsid w:val="00C336E5"/>
    <w:rsid w:val="00C33758"/>
    <w:rsid w:val="00C3386D"/>
    <w:rsid w:val="00C338AF"/>
    <w:rsid w:val="00C338BC"/>
    <w:rsid w:val="00C3390C"/>
    <w:rsid w:val="00C33965"/>
    <w:rsid w:val="00C3397B"/>
    <w:rsid w:val="00C33A08"/>
    <w:rsid w:val="00C33A6B"/>
    <w:rsid w:val="00C33C27"/>
    <w:rsid w:val="00C33C5E"/>
    <w:rsid w:val="00C33D74"/>
    <w:rsid w:val="00C33E1C"/>
    <w:rsid w:val="00C33F88"/>
    <w:rsid w:val="00C33FF2"/>
    <w:rsid w:val="00C34155"/>
    <w:rsid w:val="00C341CA"/>
    <w:rsid w:val="00C3425F"/>
    <w:rsid w:val="00C34309"/>
    <w:rsid w:val="00C343BC"/>
    <w:rsid w:val="00C343FC"/>
    <w:rsid w:val="00C344CA"/>
    <w:rsid w:val="00C34584"/>
    <w:rsid w:val="00C3459A"/>
    <w:rsid w:val="00C34616"/>
    <w:rsid w:val="00C34648"/>
    <w:rsid w:val="00C346DC"/>
    <w:rsid w:val="00C346F5"/>
    <w:rsid w:val="00C34753"/>
    <w:rsid w:val="00C347F1"/>
    <w:rsid w:val="00C348FA"/>
    <w:rsid w:val="00C3494A"/>
    <w:rsid w:val="00C34A86"/>
    <w:rsid w:val="00C34A9A"/>
    <w:rsid w:val="00C34B14"/>
    <w:rsid w:val="00C34B33"/>
    <w:rsid w:val="00C34B50"/>
    <w:rsid w:val="00C34C0A"/>
    <w:rsid w:val="00C34C3B"/>
    <w:rsid w:val="00C34CA9"/>
    <w:rsid w:val="00C34DEF"/>
    <w:rsid w:val="00C34E0F"/>
    <w:rsid w:val="00C34EE1"/>
    <w:rsid w:val="00C34F80"/>
    <w:rsid w:val="00C34F8F"/>
    <w:rsid w:val="00C35399"/>
    <w:rsid w:val="00C353C4"/>
    <w:rsid w:val="00C353F5"/>
    <w:rsid w:val="00C3544F"/>
    <w:rsid w:val="00C354D9"/>
    <w:rsid w:val="00C35585"/>
    <w:rsid w:val="00C355D8"/>
    <w:rsid w:val="00C35621"/>
    <w:rsid w:val="00C356AF"/>
    <w:rsid w:val="00C357C8"/>
    <w:rsid w:val="00C3581A"/>
    <w:rsid w:val="00C358C1"/>
    <w:rsid w:val="00C358CE"/>
    <w:rsid w:val="00C35980"/>
    <w:rsid w:val="00C35A98"/>
    <w:rsid w:val="00C35BDA"/>
    <w:rsid w:val="00C35CFF"/>
    <w:rsid w:val="00C35DBE"/>
    <w:rsid w:val="00C35E87"/>
    <w:rsid w:val="00C35EC6"/>
    <w:rsid w:val="00C35EC7"/>
    <w:rsid w:val="00C36013"/>
    <w:rsid w:val="00C3604B"/>
    <w:rsid w:val="00C360AC"/>
    <w:rsid w:val="00C36118"/>
    <w:rsid w:val="00C361FF"/>
    <w:rsid w:val="00C3622B"/>
    <w:rsid w:val="00C36274"/>
    <w:rsid w:val="00C362F1"/>
    <w:rsid w:val="00C3632F"/>
    <w:rsid w:val="00C363CC"/>
    <w:rsid w:val="00C363FA"/>
    <w:rsid w:val="00C364AD"/>
    <w:rsid w:val="00C3658A"/>
    <w:rsid w:val="00C365AB"/>
    <w:rsid w:val="00C365CB"/>
    <w:rsid w:val="00C36718"/>
    <w:rsid w:val="00C36796"/>
    <w:rsid w:val="00C36797"/>
    <w:rsid w:val="00C3690E"/>
    <w:rsid w:val="00C36AF8"/>
    <w:rsid w:val="00C36B97"/>
    <w:rsid w:val="00C36C09"/>
    <w:rsid w:val="00C36CA6"/>
    <w:rsid w:val="00C36DBC"/>
    <w:rsid w:val="00C36E4B"/>
    <w:rsid w:val="00C37093"/>
    <w:rsid w:val="00C370BD"/>
    <w:rsid w:val="00C370D7"/>
    <w:rsid w:val="00C371F1"/>
    <w:rsid w:val="00C372BA"/>
    <w:rsid w:val="00C3736E"/>
    <w:rsid w:val="00C37394"/>
    <w:rsid w:val="00C373A8"/>
    <w:rsid w:val="00C373D8"/>
    <w:rsid w:val="00C3750A"/>
    <w:rsid w:val="00C37556"/>
    <w:rsid w:val="00C37600"/>
    <w:rsid w:val="00C37658"/>
    <w:rsid w:val="00C376E5"/>
    <w:rsid w:val="00C37773"/>
    <w:rsid w:val="00C3781E"/>
    <w:rsid w:val="00C37843"/>
    <w:rsid w:val="00C378BE"/>
    <w:rsid w:val="00C378BF"/>
    <w:rsid w:val="00C37980"/>
    <w:rsid w:val="00C37A10"/>
    <w:rsid w:val="00C37A69"/>
    <w:rsid w:val="00C37DA2"/>
    <w:rsid w:val="00C37DE6"/>
    <w:rsid w:val="00C37E05"/>
    <w:rsid w:val="00C37E40"/>
    <w:rsid w:val="00C37EAC"/>
    <w:rsid w:val="00C3EDBD"/>
    <w:rsid w:val="00C40137"/>
    <w:rsid w:val="00C40187"/>
    <w:rsid w:val="00C40298"/>
    <w:rsid w:val="00C40323"/>
    <w:rsid w:val="00C4033C"/>
    <w:rsid w:val="00C4038F"/>
    <w:rsid w:val="00C403BA"/>
    <w:rsid w:val="00C40415"/>
    <w:rsid w:val="00C40438"/>
    <w:rsid w:val="00C4056D"/>
    <w:rsid w:val="00C40580"/>
    <w:rsid w:val="00C40762"/>
    <w:rsid w:val="00C407D7"/>
    <w:rsid w:val="00C40864"/>
    <w:rsid w:val="00C40878"/>
    <w:rsid w:val="00C40897"/>
    <w:rsid w:val="00C408BC"/>
    <w:rsid w:val="00C40920"/>
    <w:rsid w:val="00C40948"/>
    <w:rsid w:val="00C40A7A"/>
    <w:rsid w:val="00C40CF5"/>
    <w:rsid w:val="00C40D02"/>
    <w:rsid w:val="00C40E19"/>
    <w:rsid w:val="00C40ECA"/>
    <w:rsid w:val="00C40F87"/>
    <w:rsid w:val="00C40FB6"/>
    <w:rsid w:val="00C4125B"/>
    <w:rsid w:val="00C412FA"/>
    <w:rsid w:val="00C41350"/>
    <w:rsid w:val="00C41380"/>
    <w:rsid w:val="00C41443"/>
    <w:rsid w:val="00C4150A"/>
    <w:rsid w:val="00C416C4"/>
    <w:rsid w:val="00C416D4"/>
    <w:rsid w:val="00C41856"/>
    <w:rsid w:val="00C41894"/>
    <w:rsid w:val="00C4191F"/>
    <w:rsid w:val="00C41966"/>
    <w:rsid w:val="00C41975"/>
    <w:rsid w:val="00C41978"/>
    <w:rsid w:val="00C41A01"/>
    <w:rsid w:val="00C41A0A"/>
    <w:rsid w:val="00C41A9B"/>
    <w:rsid w:val="00C41C15"/>
    <w:rsid w:val="00C41C3C"/>
    <w:rsid w:val="00C41C60"/>
    <w:rsid w:val="00C41E07"/>
    <w:rsid w:val="00C41F45"/>
    <w:rsid w:val="00C41F56"/>
    <w:rsid w:val="00C41FA3"/>
    <w:rsid w:val="00C41FC4"/>
    <w:rsid w:val="00C4203B"/>
    <w:rsid w:val="00C42059"/>
    <w:rsid w:val="00C420B0"/>
    <w:rsid w:val="00C420F2"/>
    <w:rsid w:val="00C421E5"/>
    <w:rsid w:val="00C42265"/>
    <w:rsid w:val="00C42279"/>
    <w:rsid w:val="00C42293"/>
    <w:rsid w:val="00C42321"/>
    <w:rsid w:val="00C4232C"/>
    <w:rsid w:val="00C42353"/>
    <w:rsid w:val="00C42472"/>
    <w:rsid w:val="00C42489"/>
    <w:rsid w:val="00C4252F"/>
    <w:rsid w:val="00C425E3"/>
    <w:rsid w:val="00C426E6"/>
    <w:rsid w:val="00C427F7"/>
    <w:rsid w:val="00C42955"/>
    <w:rsid w:val="00C4298E"/>
    <w:rsid w:val="00C42BFC"/>
    <w:rsid w:val="00C42D95"/>
    <w:rsid w:val="00C42F0C"/>
    <w:rsid w:val="00C43098"/>
    <w:rsid w:val="00C430AA"/>
    <w:rsid w:val="00C430C5"/>
    <w:rsid w:val="00C43124"/>
    <w:rsid w:val="00C43247"/>
    <w:rsid w:val="00C43325"/>
    <w:rsid w:val="00C43435"/>
    <w:rsid w:val="00C434DD"/>
    <w:rsid w:val="00C4351A"/>
    <w:rsid w:val="00C43538"/>
    <w:rsid w:val="00C4355C"/>
    <w:rsid w:val="00C436F2"/>
    <w:rsid w:val="00C43794"/>
    <w:rsid w:val="00C437EE"/>
    <w:rsid w:val="00C43844"/>
    <w:rsid w:val="00C438EB"/>
    <w:rsid w:val="00C439F2"/>
    <w:rsid w:val="00C43BC6"/>
    <w:rsid w:val="00C43C6C"/>
    <w:rsid w:val="00C43D84"/>
    <w:rsid w:val="00C43FB6"/>
    <w:rsid w:val="00C44026"/>
    <w:rsid w:val="00C440B6"/>
    <w:rsid w:val="00C44186"/>
    <w:rsid w:val="00C44212"/>
    <w:rsid w:val="00C4430B"/>
    <w:rsid w:val="00C4437E"/>
    <w:rsid w:val="00C443AF"/>
    <w:rsid w:val="00C4440D"/>
    <w:rsid w:val="00C4459A"/>
    <w:rsid w:val="00C445AF"/>
    <w:rsid w:val="00C44639"/>
    <w:rsid w:val="00C4475D"/>
    <w:rsid w:val="00C44780"/>
    <w:rsid w:val="00C448BA"/>
    <w:rsid w:val="00C44B03"/>
    <w:rsid w:val="00C44B3B"/>
    <w:rsid w:val="00C44BC9"/>
    <w:rsid w:val="00C44C80"/>
    <w:rsid w:val="00C44CE4"/>
    <w:rsid w:val="00C44D6E"/>
    <w:rsid w:val="00C44D7B"/>
    <w:rsid w:val="00C44DED"/>
    <w:rsid w:val="00C44E33"/>
    <w:rsid w:val="00C44F25"/>
    <w:rsid w:val="00C44FF2"/>
    <w:rsid w:val="00C44FFA"/>
    <w:rsid w:val="00C45041"/>
    <w:rsid w:val="00C450A6"/>
    <w:rsid w:val="00C4511E"/>
    <w:rsid w:val="00C4515E"/>
    <w:rsid w:val="00C45170"/>
    <w:rsid w:val="00C451AE"/>
    <w:rsid w:val="00C45209"/>
    <w:rsid w:val="00C452A4"/>
    <w:rsid w:val="00C452DB"/>
    <w:rsid w:val="00C4545F"/>
    <w:rsid w:val="00C454B7"/>
    <w:rsid w:val="00C45511"/>
    <w:rsid w:val="00C45738"/>
    <w:rsid w:val="00C45755"/>
    <w:rsid w:val="00C45798"/>
    <w:rsid w:val="00C45876"/>
    <w:rsid w:val="00C45937"/>
    <w:rsid w:val="00C459B1"/>
    <w:rsid w:val="00C459E0"/>
    <w:rsid w:val="00C45A0F"/>
    <w:rsid w:val="00C45AE4"/>
    <w:rsid w:val="00C45B1E"/>
    <w:rsid w:val="00C45B7C"/>
    <w:rsid w:val="00C45CFE"/>
    <w:rsid w:val="00C45D06"/>
    <w:rsid w:val="00C45D9A"/>
    <w:rsid w:val="00C45DFB"/>
    <w:rsid w:val="00C45E78"/>
    <w:rsid w:val="00C45ED5"/>
    <w:rsid w:val="00C46185"/>
    <w:rsid w:val="00C46323"/>
    <w:rsid w:val="00C46417"/>
    <w:rsid w:val="00C4648F"/>
    <w:rsid w:val="00C4650A"/>
    <w:rsid w:val="00C46536"/>
    <w:rsid w:val="00C46563"/>
    <w:rsid w:val="00C4662C"/>
    <w:rsid w:val="00C4669B"/>
    <w:rsid w:val="00C468A1"/>
    <w:rsid w:val="00C46A22"/>
    <w:rsid w:val="00C46AE9"/>
    <w:rsid w:val="00C46B09"/>
    <w:rsid w:val="00C46B19"/>
    <w:rsid w:val="00C46B76"/>
    <w:rsid w:val="00C46C4C"/>
    <w:rsid w:val="00C46CA1"/>
    <w:rsid w:val="00C46DBB"/>
    <w:rsid w:val="00C46EB2"/>
    <w:rsid w:val="00C46F5F"/>
    <w:rsid w:val="00C46FC6"/>
    <w:rsid w:val="00C47129"/>
    <w:rsid w:val="00C47182"/>
    <w:rsid w:val="00C47231"/>
    <w:rsid w:val="00C47272"/>
    <w:rsid w:val="00C4739A"/>
    <w:rsid w:val="00C473D0"/>
    <w:rsid w:val="00C474C6"/>
    <w:rsid w:val="00C4750D"/>
    <w:rsid w:val="00C47617"/>
    <w:rsid w:val="00C477BA"/>
    <w:rsid w:val="00C47843"/>
    <w:rsid w:val="00C4787A"/>
    <w:rsid w:val="00C478B5"/>
    <w:rsid w:val="00C478FF"/>
    <w:rsid w:val="00C4796F"/>
    <w:rsid w:val="00C479F8"/>
    <w:rsid w:val="00C47DAA"/>
    <w:rsid w:val="00C47E2D"/>
    <w:rsid w:val="00C47E60"/>
    <w:rsid w:val="00C47EA3"/>
    <w:rsid w:val="00C47EF1"/>
    <w:rsid w:val="00C47F3D"/>
    <w:rsid w:val="00C47F82"/>
    <w:rsid w:val="00C47FEE"/>
    <w:rsid w:val="00C50005"/>
    <w:rsid w:val="00C50031"/>
    <w:rsid w:val="00C50104"/>
    <w:rsid w:val="00C501E7"/>
    <w:rsid w:val="00C50218"/>
    <w:rsid w:val="00C503AF"/>
    <w:rsid w:val="00C503BB"/>
    <w:rsid w:val="00C5042E"/>
    <w:rsid w:val="00C5051A"/>
    <w:rsid w:val="00C506A9"/>
    <w:rsid w:val="00C506AD"/>
    <w:rsid w:val="00C50731"/>
    <w:rsid w:val="00C50841"/>
    <w:rsid w:val="00C508B0"/>
    <w:rsid w:val="00C508CC"/>
    <w:rsid w:val="00C50969"/>
    <w:rsid w:val="00C50BB2"/>
    <w:rsid w:val="00C50BB6"/>
    <w:rsid w:val="00C50C21"/>
    <w:rsid w:val="00C50C57"/>
    <w:rsid w:val="00C50C67"/>
    <w:rsid w:val="00C50C76"/>
    <w:rsid w:val="00C50D55"/>
    <w:rsid w:val="00C50E94"/>
    <w:rsid w:val="00C50FB5"/>
    <w:rsid w:val="00C51169"/>
    <w:rsid w:val="00C5129F"/>
    <w:rsid w:val="00C512B0"/>
    <w:rsid w:val="00C51361"/>
    <w:rsid w:val="00C513F8"/>
    <w:rsid w:val="00C514A5"/>
    <w:rsid w:val="00C515B1"/>
    <w:rsid w:val="00C51659"/>
    <w:rsid w:val="00C51A32"/>
    <w:rsid w:val="00C51AA2"/>
    <w:rsid w:val="00C51AD2"/>
    <w:rsid w:val="00C51AD8"/>
    <w:rsid w:val="00C51B74"/>
    <w:rsid w:val="00C51BA5"/>
    <w:rsid w:val="00C51BD0"/>
    <w:rsid w:val="00C51BE3"/>
    <w:rsid w:val="00C51C21"/>
    <w:rsid w:val="00C51C89"/>
    <w:rsid w:val="00C51D7D"/>
    <w:rsid w:val="00C51E04"/>
    <w:rsid w:val="00C51EF6"/>
    <w:rsid w:val="00C51FD1"/>
    <w:rsid w:val="00C5224B"/>
    <w:rsid w:val="00C52275"/>
    <w:rsid w:val="00C52295"/>
    <w:rsid w:val="00C522FF"/>
    <w:rsid w:val="00C5241F"/>
    <w:rsid w:val="00C52441"/>
    <w:rsid w:val="00C52498"/>
    <w:rsid w:val="00C524AA"/>
    <w:rsid w:val="00C52502"/>
    <w:rsid w:val="00C52503"/>
    <w:rsid w:val="00C52625"/>
    <w:rsid w:val="00C5262A"/>
    <w:rsid w:val="00C5292E"/>
    <w:rsid w:val="00C529ED"/>
    <w:rsid w:val="00C52D03"/>
    <w:rsid w:val="00C52E54"/>
    <w:rsid w:val="00C52F77"/>
    <w:rsid w:val="00C52FC6"/>
    <w:rsid w:val="00C53108"/>
    <w:rsid w:val="00C53257"/>
    <w:rsid w:val="00C532B3"/>
    <w:rsid w:val="00C532C0"/>
    <w:rsid w:val="00C533A5"/>
    <w:rsid w:val="00C53434"/>
    <w:rsid w:val="00C5354D"/>
    <w:rsid w:val="00C535CE"/>
    <w:rsid w:val="00C535E0"/>
    <w:rsid w:val="00C5367D"/>
    <w:rsid w:val="00C536BE"/>
    <w:rsid w:val="00C5381C"/>
    <w:rsid w:val="00C53851"/>
    <w:rsid w:val="00C538B1"/>
    <w:rsid w:val="00C539A5"/>
    <w:rsid w:val="00C539E1"/>
    <w:rsid w:val="00C53A2A"/>
    <w:rsid w:val="00C53B92"/>
    <w:rsid w:val="00C53CFD"/>
    <w:rsid w:val="00C53D34"/>
    <w:rsid w:val="00C53DE8"/>
    <w:rsid w:val="00C53E1B"/>
    <w:rsid w:val="00C53EA3"/>
    <w:rsid w:val="00C53F01"/>
    <w:rsid w:val="00C53F73"/>
    <w:rsid w:val="00C53FFF"/>
    <w:rsid w:val="00C54011"/>
    <w:rsid w:val="00C5406F"/>
    <w:rsid w:val="00C543B7"/>
    <w:rsid w:val="00C544BD"/>
    <w:rsid w:val="00C54601"/>
    <w:rsid w:val="00C54625"/>
    <w:rsid w:val="00C5463A"/>
    <w:rsid w:val="00C546DC"/>
    <w:rsid w:val="00C5474F"/>
    <w:rsid w:val="00C54871"/>
    <w:rsid w:val="00C548EB"/>
    <w:rsid w:val="00C5498E"/>
    <w:rsid w:val="00C54A08"/>
    <w:rsid w:val="00C54ADB"/>
    <w:rsid w:val="00C54B05"/>
    <w:rsid w:val="00C54B2E"/>
    <w:rsid w:val="00C54B34"/>
    <w:rsid w:val="00C54B77"/>
    <w:rsid w:val="00C54CAC"/>
    <w:rsid w:val="00C54CBE"/>
    <w:rsid w:val="00C54DB7"/>
    <w:rsid w:val="00C54DC8"/>
    <w:rsid w:val="00C54E19"/>
    <w:rsid w:val="00C54EE2"/>
    <w:rsid w:val="00C54F16"/>
    <w:rsid w:val="00C54F66"/>
    <w:rsid w:val="00C5509D"/>
    <w:rsid w:val="00C550B4"/>
    <w:rsid w:val="00C55204"/>
    <w:rsid w:val="00C55289"/>
    <w:rsid w:val="00C552CF"/>
    <w:rsid w:val="00C55304"/>
    <w:rsid w:val="00C55354"/>
    <w:rsid w:val="00C55481"/>
    <w:rsid w:val="00C55485"/>
    <w:rsid w:val="00C55486"/>
    <w:rsid w:val="00C554B9"/>
    <w:rsid w:val="00C555AB"/>
    <w:rsid w:val="00C557A9"/>
    <w:rsid w:val="00C558C5"/>
    <w:rsid w:val="00C55A2F"/>
    <w:rsid w:val="00C55A59"/>
    <w:rsid w:val="00C55AEC"/>
    <w:rsid w:val="00C55B13"/>
    <w:rsid w:val="00C55B53"/>
    <w:rsid w:val="00C55B88"/>
    <w:rsid w:val="00C55DAA"/>
    <w:rsid w:val="00C55E44"/>
    <w:rsid w:val="00C55ED3"/>
    <w:rsid w:val="00C5625F"/>
    <w:rsid w:val="00C56294"/>
    <w:rsid w:val="00C562F9"/>
    <w:rsid w:val="00C5637A"/>
    <w:rsid w:val="00C563E3"/>
    <w:rsid w:val="00C56662"/>
    <w:rsid w:val="00C566EF"/>
    <w:rsid w:val="00C56719"/>
    <w:rsid w:val="00C567D6"/>
    <w:rsid w:val="00C56809"/>
    <w:rsid w:val="00C56818"/>
    <w:rsid w:val="00C5688C"/>
    <w:rsid w:val="00C569D6"/>
    <w:rsid w:val="00C569F6"/>
    <w:rsid w:val="00C56A32"/>
    <w:rsid w:val="00C56B1B"/>
    <w:rsid w:val="00C56B4B"/>
    <w:rsid w:val="00C56CB8"/>
    <w:rsid w:val="00C56D1A"/>
    <w:rsid w:val="00C56D5B"/>
    <w:rsid w:val="00C56DDF"/>
    <w:rsid w:val="00C56E71"/>
    <w:rsid w:val="00C57126"/>
    <w:rsid w:val="00C5716B"/>
    <w:rsid w:val="00C5717E"/>
    <w:rsid w:val="00C573A2"/>
    <w:rsid w:val="00C5743C"/>
    <w:rsid w:val="00C5751A"/>
    <w:rsid w:val="00C576A4"/>
    <w:rsid w:val="00C576CF"/>
    <w:rsid w:val="00C57772"/>
    <w:rsid w:val="00C5791F"/>
    <w:rsid w:val="00C57A39"/>
    <w:rsid w:val="00C57AFA"/>
    <w:rsid w:val="00C57CCB"/>
    <w:rsid w:val="00C57CCE"/>
    <w:rsid w:val="00C57D5B"/>
    <w:rsid w:val="00C57D82"/>
    <w:rsid w:val="00C57E00"/>
    <w:rsid w:val="00C57F50"/>
    <w:rsid w:val="00C57F6D"/>
    <w:rsid w:val="00C6004D"/>
    <w:rsid w:val="00C600CF"/>
    <w:rsid w:val="00C60350"/>
    <w:rsid w:val="00C603CC"/>
    <w:rsid w:val="00C603F8"/>
    <w:rsid w:val="00C6042E"/>
    <w:rsid w:val="00C605A6"/>
    <w:rsid w:val="00C60789"/>
    <w:rsid w:val="00C607C5"/>
    <w:rsid w:val="00C60857"/>
    <w:rsid w:val="00C60892"/>
    <w:rsid w:val="00C60909"/>
    <w:rsid w:val="00C609C2"/>
    <w:rsid w:val="00C60A52"/>
    <w:rsid w:val="00C60AD2"/>
    <w:rsid w:val="00C60AF5"/>
    <w:rsid w:val="00C60BAA"/>
    <w:rsid w:val="00C60C2C"/>
    <w:rsid w:val="00C60CA8"/>
    <w:rsid w:val="00C60CCC"/>
    <w:rsid w:val="00C60ECD"/>
    <w:rsid w:val="00C60F01"/>
    <w:rsid w:val="00C60F21"/>
    <w:rsid w:val="00C6115E"/>
    <w:rsid w:val="00C612EE"/>
    <w:rsid w:val="00C61378"/>
    <w:rsid w:val="00C614F7"/>
    <w:rsid w:val="00C614FD"/>
    <w:rsid w:val="00C61647"/>
    <w:rsid w:val="00C616DB"/>
    <w:rsid w:val="00C6171A"/>
    <w:rsid w:val="00C61810"/>
    <w:rsid w:val="00C61849"/>
    <w:rsid w:val="00C6189E"/>
    <w:rsid w:val="00C6195B"/>
    <w:rsid w:val="00C61971"/>
    <w:rsid w:val="00C6197E"/>
    <w:rsid w:val="00C619CB"/>
    <w:rsid w:val="00C61A12"/>
    <w:rsid w:val="00C61C15"/>
    <w:rsid w:val="00C61C5E"/>
    <w:rsid w:val="00C61D62"/>
    <w:rsid w:val="00C61DDD"/>
    <w:rsid w:val="00C61E49"/>
    <w:rsid w:val="00C61EB4"/>
    <w:rsid w:val="00C61F68"/>
    <w:rsid w:val="00C61FE2"/>
    <w:rsid w:val="00C620B8"/>
    <w:rsid w:val="00C620C1"/>
    <w:rsid w:val="00C6224D"/>
    <w:rsid w:val="00C6228A"/>
    <w:rsid w:val="00C622AA"/>
    <w:rsid w:val="00C6230D"/>
    <w:rsid w:val="00C6236C"/>
    <w:rsid w:val="00C62388"/>
    <w:rsid w:val="00C623F4"/>
    <w:rsid w:val="00C6240C"/>
    <w:rsid w:val="00C6247C"/>
    <w:rsid w:val="00C624CC"/>
    <w:rsid w:val="00C62541"/>
    <w:rsid w:val="00C62743"/>
    <w:rsid w:val="00C628BD"/>
    <w:rsid w:val="00C628EA"/>
    <w:rsid w:val="00C62981"/>
    <w:rsid w:val="00C62BD4"/>
    <w:rsid w:val="00C62BDC"/>
    <w:rsid w:val="00C62BF1"/>
    <w:rsid w:val="00C62E01"/>
    <w:rsid w:val="00C62E26"/>
    <w:rsid w:val="00C62E9E"/>
    <w:rsid w:val="00C62F18"/>
    <w:rsid w:val="00C62F9D"/>
    <w:rsid w:val="00C62FC4"/>
    <w:rsid w:val="00C62FD2"/>
    <w:rsid w:val="00C63000"/>
    <w:rsid w:val="00C63101"/>
    <w:rsid w:val="00C631A0"/>
    <w:rsid w:val="00C631E4"/>
    <w:rsid w:val="00C632F2"/>
    <w:rsid w:val="00C63352"/>
    <w:rsid w:val="00C633C2"/>
    <w:rsid w:val="00C63549"/>
    <w:rsid w:val="00C6371A"/>
    <w:rsid w:val="00C637AA"/>
    <w:rsid w:val="00C63849"/>
    <w:rsid w:val="00C638FB"/>
    <w:rsid w:val="00C63A03"/>
    <w:rsid w:val="00C63AF2"/>
    <w:rsid w:val="00C63B2A"/>
    <w:rsid w:val="00C63B97"/>
    <w:rsid w:val="00C63CC0"/>
    <w:rsid w:val="00C63DBA"/>
    <w:rsid w:val="00C63E84"/>
    <w:rsid w:val="00C63F49"/>
    <w:rsid w:val="00C63F8D"/>
    <w:rsid w:val="00C6403D"/>
    <w:rsid w:val="00C64097"/>
    <w:rsid w:val="00C64157"/>
    <w:rsid w:val="00C643EC"/>
    <w:rsid w:val="00C6443A"/>
    <w:rsid w:val="00C64451"/>
    <w:rsid w:val="00C64459"/>
    <w:rsid w:val="00C645B8"/>
    <w:rsid w:val="00C64636"/>
    <w:rsid w:val="00C6478A"/>
    <w:rsid w:val="00C64860"/>
    <w:rsid w:val="00C64861"/>
    <w:rsid w:val="00C64883"/>
    <w:rsid w:val="00C648C8"/>
    <w:rsid w:val="00C6494C"/>
    <w:rsid w:val="00C6499B"/>
    <w:rsid w:val="00C649B6"/>
    <w:rsid w:val="00C64A9C"/>
    <w:rsid w:val="00C64B36"/>
    <w:rsid w:val="00C64B81"/>
    <w:rsid w:val="00C64B8F"/>
    <w:rsid w:val="00C64C79"/>
    <w:rsid w:val="00C64DF1"/>
    <w:rsid w:val="00C64E6C"/>
    <w:rsid w:val="00C64F06"/>
    <w:rsid w:val="00C64F53"/>
    <w:rsid w:val="00C65095"/>
    <w:rsid w:val="00C650B7"/>
    <w:rsid w:val="00C65148"/>
    <w:rsid w:val="00C651F2"/>
    <w:rsid w:val="00C65318"/>
    <w:rsid w:val="00C653FC"/>
    <w:rsid w:val="00C654ED"/>
    <w:rsid w:val="00C65527"/>
    <w:rsid w:val="00C655E4"/>
    <w:rsid w:val="00C65608"/>
    <w:rsid w:val="00C65614"/>
    <w:rsid w:val="00C65636"/>
    <w:rsid w:val="00C65862"/>
    <w:rsid w:val="00C65883"/>
    <w:rsid w:val="00C65951"/>
    <w:rsid w:val="00C65999"/>
    <w:rsid w:val="00C659D7"/>
    <w:rsid w:val="00C65A7B"/>
    <w:rsid w:val="00C65AE4"/>
    <w:rsid w:val="00C65AE9"/>
    <w:rsid w:val="00C65AEC"/>
    <w:rsid w:val="00C65C35"/>
    <w:rsid w:val="00C65C36"/>
    <w:rsid w:val="00C65C58"/>
    <w:rsid w:val="00C65CFC"/>
    <w:rsid w:val="00C65D04"/>
    <w:rsid w:val="00C65DC3"/>
    <w:rsid w:val="00C65DC4"/>
    <w:rsid w:val="00C65EF0"/>
    <w:rsid w:val="00C65FF7"/>
    <w:rsid w:val="00C660A8"/>
    <w:rsid w:val="00C660FE"/>
    <w:rsid w:val="00C6617E"/>
    <w:rsid w:val="00C661E6"/>
    <w:rsid w:val="00C6623D"/>
    <w:rsid w:val="00C6628E"/>
    <w:rsid w:val="00C663B2"/>
    <w:rsid w:val="00C66481"/>
    <w:rsid w:val="00C664F2"/>
    <w:rsid w:val="00C66578"/>
    <w:rsid w:val="00C665AF"/>
    <w:rsid w:val="00C666B6"/>
    <w:rsid w:val="00C666EF"/>
    <w:rsid w:val="00C6671A"/>
    <w:rsid w:val="00C66726"/>
    <w:rsid w:val="00C6678F"/>
    <w:rsid w:val="00C66808"/>
    <w:rsid w:val="00C668BF"/>
    <w:rsid w:val="00C668CB"/>
    <w:rsid w:val="00C668FB"/>
    <w:rsid w:val="00C66941"/>
    <w:rsid w:val="00C66A41"/>
    <w:rsid w:val="00C66B08"/>
    <w:rsid w:val="00C66B27"/>
    <w:rsid w:val="00C66B74"/>
    <w:rsid w:val="00C66B76"/>
    <w:rsid w:val="00C66B78"/>
    <w:rsid w:val="00C66C31"/>
    <w:rsid w:val="00C66C32"/>
    <w:rsid w:val="00C66CED"/>
    <w:rsid w:val="00C66D57"/>
    <w:rsid w:val="00C66E1E"/>
    <w:rsid w:val="00C66E85"/>
    <w:rsid w:val="00C66EFA"/>
    <w:rsid w:val="00C66F7F"/>
    <w:rsid w:val="00C66FAD"/>
    <w:rsid w:val="00C66FB6"/>
    <w:rsid w:val="00C67104"/>
    <w:rsid w:val="00C67254"/>
    <w:rsid w:val="00C672A0"/>
    <w:rsid w:val="00C67388"/>
    <w:rsid w:val="00C673E5"/>
    <w:rsid w:val="00C67458"/>
    <w:rsid w:val="00C6747B"/>
    <w:rsid w:val="00C675DF"/>
    <w:rsid w:val="00C6769E"/>
    <w:rsid w:val="00C677CB"/>
    <w:rsid w:val="00C677E0"/>
    <w:rsid w:val="00C677FB"/>
    <w:rsid w:val="00C67884"/>
    <w:rsid w:val="00C678CA"/>
    <w:rsid w:val="00C67B0C"/>
    <w:rsid w:val="00C67B0F"/>
    <w:rsid w:val="00C67B53"/>
    <w:rsid w:val="00C67B84"/>
    <w:rsid w:val="00C67B88"/>
    <w:rsid w:val="00C67BF9"/>
    <w:rsid w:val="00C67C34"/>
    <w:rsid w:val="00C67C7E"/>
    <w:rsid w:val="00C67E09"/>
    <w:rsid w:val="00C67E6B"/>
    <w:rsid w:val="00C67F88"/>
    <w:rsid w:val="00C67FF1"/>
    <w:rsid w:val="00C700BC"/>
    <w:rsid w:val="00C7021F"/>
    <w:rsid w:val="00C70358"/>
    <w:rsid w:val="00C70526"/>
    <w:rsid w:val="00C7055D"/>
    <w:rsid w:val="00C7061D"/>
    <w:rsid w:val="00C706CF"/>
    <w:rsid w:val="00C7070E"/>
    <w:rsid w:val="00C7071A"/>
    <w:rsid w:val="00C707A5"/>
    <w:rsid w:val="00C707B0"/>
    <w:rsid w:val="00C707FB"/>
    <w:rsid w:val="00C70810"/>
    <w:rsid w:val="00C70835"/>
    <w:rsid w:val="00C7089A"/>
    <w:rsid w:val="00C7093C"/>
    <w:rsid w:val="00C709E6"/>
    <w:rsid w:val="00C70A00"/>
    <w:rsid w:val="00C70A3E"/>
    <w:rsid w:val="00C70BA0"/>
    <w:rsid w:val="00C70C33"/>
    <w:rsid w:val="00C70C44"/>
    <w:rsid w:val="00C70D12"/>
    <w:rsid w:val="00C70DA8"/>
    <w:rsid w:val="00C70E1B"/>
    <w:rsid w:val="00C70F7D"/>
    <w:rsid w:val="00C70F9F"/>
    <w:rsid w:val="00C70FC7"/>
    <w:rsid w:val="00C71011"/>
    <w:rsid w:val="00C710B7"/>
    <w:rsid w:val="00C71149"/>
    <w:rsid w:val="00C7128A"/>
    <w:rsid w:val="00C712D0"/>
    <w:rsid w:val="00C713A1"/>
    <w:rsid w:val="00C7140A"/>
    <w:rsid w:val="00C71427"/>
    <w:rsid w:val="00C71553"/>
    <w:rsid w:val="00C7159A"/>
    <w:rsid w:val="00C71622"/>
    <w:rsid w:val="00C717E5"/>
    <w:rsid w:val="00C718E1"/>
    <w:rsid w:val="00C718E4"/>
    <w:rsid w:val="00C719FC"/>
    <w:rsid w:val="00C71B7A"/>
    <w:rsid w:val="00C71C34"/>
    <w:rsid w:val="00C71C4F"/>
    <w:rsid w:val="00C71CA8"/>
    <w:rsid w:val="00C71CB4"/>
    <w:rsid w:val="00C71D77"/>
    <w:rsid w:val="00C71DAF"/>
    <w:rsid w:val="00C71E09"/>
    <w:rsid w:val="00C71E98"/>
    <w:rsid w:val="00C71FA8"/>
    <w:rsid w:val="00C72046"/>
    <w:rsid w:val="00C721FE"/>
    <w:rsid w:val="00C72269"/>
    <w:rsid w:val="00C722B2"/>
    <w:rsid w:val="00C7239D"/>
    <w:rsid w:val="00C723FC"/>
    <w:rsid w:val="00C72414"/>
    <w:rsid w:val="00C72432"/>
    <w:rsid w:val="00C72461"/>
    <w:rsid w:val="00C725BB"/>
    <w:rsid w:val="00C727AF"/>
    <w:rsid w:val="00C727ED"/>
    <w:rsid w:val="00C72809"/>
    <w:rsid w:val="00C72A0B"/>
    <w:rsid w:val="00C72B46"/>
    <w:rsid w:val="00C72C2C"/>
    <w:rsid w:val="00C72D52"/>
    <w:rsid w:val="00C72DA1"/>
    <w:rsid w:val="00C72EBA"/>
    <w:rsid w:val="00C72EC5"/>
    <w:rsid w:val="00C72EDB"/>
    <w:rsid w:val="00C7307B"/>
    <w:rsid w:val="00C7318E"/>
    <w:rsid w:val="00C731BB"/>
    <w:rsid w:val="00C731CB"/>
    <w:rsid w:val="00C732B3"/>
    <w:rsid w:val="00C732D3"/>
    <w:rsid w:val="00C7339A"/>
    <w:rsid w:val="00C73494"/>
    <w:rsid w:val="00C73496"/>
    <w:rsid w:val="00C73499"/>
    <w:rsid w:val="00C73643"/>
    <w:rsid w:val="00C73775"/>
    <w:rsid w:val="00C73867"/>
    <w:rsid w:val="00C73A19"/>
    <w:rsid w:val="00C73A3C"/>
    <w:rsid w:val="00C73AC6"/>
    <w:rsid w:val="00C73B89"/>
    <w:rsid w:val="00C73BD3"/>
    <w:rsid w:val="00C73BDF"/>
    <w:rsid w:val="00C73CD4"/>
    <w:rsid w:val="00C73CF6"/>
    <w:rsid w:val="00C73F88"/>
    <w:rsid w:val="00C73FC6"/>
    <w:rsid w:val="00C7406C"/>
    <w:rsid w:val="00C7409D"/>
    <w:rsid w:val="00C740A3"/>
    <w:rsid w:val="00C743ED"/>
    <w:rsid w:val="00C74450"/>
    <w:rsid w:val="00C74493"/>
    <w:rsid w:val="00C744EA"/>
    <w:rsid w:val="00C744F7"/>
    <w:rsid w:val="00C7460E"/>
    <w:rsid w:val="00C7464F"/>
    <w:rsid w:val="00C746E8"/>
    <w:rsid w:val="00C746EE"/>
    <w:rsid w:val="00C74733"/>
    <w:rsid w:val="00C747C2"/>
    <w:rsid w:val="00C748B2"/>
    <w:rsid w:val="00C7490D"/>
    <w:rsid w:val="00C74972"/>
    <w:rsid w:val="00C74B22"/>
    <w:rsid w:val="00C74B81"/>
    <w:rsid w:val="00C74BB1"/>
    <w:rsid w:val="00C74C3E"/>
    <w:rsid w:val="00C74C89"/>
    <w:rsid w:val="00C74CB6"/>
    <w:rsid w:val="00C74DFB"/>
    <w:rsid w:val="00C74E2D"/>
    <w:rsid w:val="00C74EC1"/>
    <w:rsid w:val="00C74F0D"/>
    <w:rsid w:val="00C74F42"/>
    <w:rsid w:val="00C74F5B"/>
    <w:rsid w:val="00C75177"/>
    <w:rsid w:val="00C751FC"/>
    <w:rsid w:val="00C75255"/>
    <w:rsid w:val="00C7547D"/>
    <w:rsid w:val="00C755BC"/>
    <w:rsid w:val="00C75620"/>
    <w:rsid w:val="00C7566B"/>
    <w:rsid w:val="00C75729"/>
    <w:rsid w:val="00C759A5"/>
    <w:rsid w:val="00C759E1"/>
    <w:rsid w:val="00C75A1B"/>
    <w:rsid w:val="00C75ABE"/>
    <w:rsid w:val="00C75B18"/>
    <w:rsid w:val="00C75BAE"/>
    <w:rsid w:val="00C75BB1"/>
    <w:rsid w:val="00C75BF6"/>
    <w:rsid w:val="00C75C30"/>
    <w:rsid w:val="00C75CF2"/>
    <w:rsid w:val="00C75CF6"/>
    <w:rsid w:val="00C75D59"/>
    <w:rsid w:val="00C75D8B"/>
    <w:rsid w:val="00C75DB6"/>
    <w:rsid w:val="00C75DC6"/>
    <w:rsid w:val="00C75E04"/>
    <w:rsid w:val="00C75E7C"/>
    <w:rsid w:val="00C75EF7"/>
    <w:rsid w:val="00C75FA4"/>
    <w:rsid w:val="00C75FE9"/>
    <w:rsid w:val="00C7600C"/>
    <w:rsid w:val="00C7605D"/>
    <w:rsid w:val="00C76072"/>
    <w:rsid w:val="00C76096"/>
    <w:rsid w:val="00C76113"/>
    <w:rsid w:val="00C761B3"/>
    <w:rsid w:val="00C761BF"/>
    <w:rsid w:val="00C76278"/>
    <w:rsid w:val="00C76284"/>
    <w:rsid w:val="00C76318"/>
    <w:rsid w:val="00C763EF"/>
    <w:rsid w:val="00C764CE"/>
    <w:rsid w:val="00C76515"/>
    <w:rsid w:val="00C76588"/>
    <w:rsid w:val="00C76595"/>
    <w:rsid w:val="00C765C2"/>
    <w:rsid w:val="00C766AD"/>
    <w:rsid w:val="00C76783"/>
    <w:rsid w:val="00C76910"/>
    <w:rsid w:val="00C76A0A"/>
    <w:rsid w:val="00C76A8E"/>
    <w:rsid w:val="00C76AA8"/>
    <w:rsid w:val="00C76BA9"/>
    <w:rsid w:val="00C76C11"/>
    <w:rsid w:val="00C76C33"/>
    <w:rsid w:val="00C76C6F"/>
    <w:rsid w:val="00C76D3B"/>
    <w:rsid w:val="00C76D8D"/>
    <w:rsid w:val="00C77021"/>
    <w:rsid w:val="00C770E7"/>
    <w:rsid w:val="00C771A4"/>
    <w:rsid w:val="00C7728B"/>
    <w:rsid w:val="00C7743D"/>
    <w:rsid w:val="00C77493"/>
    <w:rsid w:val="00C774EC"/>
    <w:rsid w:val="00C774F2"/>
    <w:rsid w:val="00C776FF"/>
    <w:rsid w:val="00C77700"/>
    <w:rsid w:val="00C77751"/>
    <w:rsid w:val="00C77A22"/>
    <w:rsid w:val="00C77A2A"/>
    <w:rsid w:val="00C77A9A"/>
    <w:rsid w:val="00C77AB6"/>
    <w:rsid w:val="00C77AD6"/>
    <w:rsid w:val="00C77AF9"/>
    <w:rsid w:val="00C77C34"/>
    <w:rsid w:val="00C77D60"/>
    <w:rsid w:val="00C77DF3"/>
    <w:rsid w:val="00C77E8C"/>
    <w:rsid w:val="00C77E9A"/>
    <w:rsid w:val="00C77F4B"/>
    <w:rsid w:val="00C77F50"/>
    <w:rsid w:val="00C797AA"/>
    <w:rsid w:val="00C80170"/>
    <w:rsid w:val="00C801C1"/>
    <w:rsid w:val="00C801DE"/>
    <w:rsid w:val="00C80202"/>
    <w:rsid w:val="00C802AA"/>
    <w:rsid w:val="00C802B5"/>
    <w:rsid w:val="00C802D5"/>
    <w:rsid w:val="00C802E2"/>
    <w:rsid w:val="00C80360"/>
    <w:rsid w:val="00C80394"/>
    <w:rsid w:val="00C804ED"/>
    <w:rsid w:val="00C805F6"/>
    <w:rsid w:val="00C8071C"/>
    <w:rsid w:val="00C80755"/>
    <w:rsid w:val="00C807F2"/>
    <w:rsid w:val="00C80838"/>
    <w:rsid w:val="00C80888"/>
    <w:rsid w:val="00C808EA"/>
    <w:rsid w:val="00C80954"/>
    <w:rsid w:val="00C80A6D"/>
    <w:rsid w:val="00C80AB3"/>
    <w:rsid w:val="00C80AB4"/>
    <w:rsid w:val="00C80B0D"/>
    <w:rsid w:val="00C80B47"/>
    <w:rsid w:val="00C80BD1"/>
    <w:rsid w:val="00C80BD8"/>
    <w:rsid w:val="00C80BED"/>
    <w:rsid w:val="00C80CB4"/>
    <w:rsid w:val="00C80CE5"/>
    <w:rsid w:val="00C80CE6"/>
    <w:rsid w:val="00C80D52"/>
    <w:rsid w:val="00C80E74"/>
    <w:rsid w:val="00C80EC4"/>
    <w:rsid w:val="00C80EFF"/>
    <w:rsid w:val="00C80F0C"/>
    <w:rsid w:val="00C80FF8"/>
    <w:rsid w:val="00C81054"/>
    <w:rsid w:val="00C810D2"/>
    <w:rsid w:val="00C811B1"/>
    <w:rsid w:val="00C813F5"/>
    <w:rsid w:val="00C81489"/>
    <w:rsid w:val="00C8158F"/>
    <w:rsid w:val="00C816EB"/>
    <w:rsid w:val="00C81722"/>
    <w:rsid w:val="00C8175B"/>
    <w:rsid w:val="00C818F3"/>
    <w:rsid w:val="00C81985"/>
    <w:rsid w:val="00C819A6"/>
    <w:rsid w:val="00C819B7"/>
    <w:rsid w:val="00C819E4"/>
    <w:rsid w:val="00C819EC"/>
    <w:rsid w:val="00C81AAE"/>
    <w:rsid w:val="00C81B03"/>
    <w:rsid w:val="00C81BDB"/>
    <w:rsid w:val="00C81CE7"/>
    <w:rsid w:val="00C81D67"/>
    <w:rsid w:val="00C82029"/>
    <w:rsid w:val="00C82038"/>
    <w:rsid w:val="00C820B4"/>
    <w:rsid w:val="00C82100"/>
    <w:rsid w:val="00C82215"/>
    <w:rsid w:val="00C82239"/>
    <w:rsid w:val="00C822F3"/>
    <w:rsid w:val="00C823CE"/>
    <w:rsid w:val="00C82429"/>
    <w:rsid w:val="00C82525"/>
    <w:rsid w:val="00C825D9"/>
    <w:rsid w:val="00C8261B"/>
    <w:rsid w:val="00C8267A"/>
    <w:rsid w:val="00C82974"/>
    <w:rsid w:val="00C82A17"/>
    <w:rsid w:val="00C82A5C"/>
    <w:rsid w:val="00C82A5D"/>
    <w:rsid w:val="00C82AA0"/>
    <w:rsid w:val="00C82B34"/>
    <w:rsid w:val="00C82B70"/>
    <w:rsid w:val="00C82C9A"/>
    <w:rsid w:val="00C82CA2"/>
    <w:rsid w:val="00C82CC0"/>
    <w:rsid w:val="00C82D0D"/>
    <w:rsid w:val="00C82E50"/>
    <w:rsid w:val="00C82F03"/>
    <w:rsid w:val="00C82F5A"/>
    <w:rsid w:val="00C82FC4"/>
    <w:rsid w:val="00C8304E"/>
    <w:rsid w:val="00C830B7"/>
    <w:rsid w:val="00C8314C"/>
    <w:rsid w:val="00C831B6"/>
    <w:rsid w:val="00C8327F"/>
    <w:rsid w:val="00C832CA"/>
    <w:rsid w:val="00C83394"/>
    <w:rsid w:val="00C8351E"/>
    <w:rsid w:val="00C83524"/>
    <w:rsid w:val="00C8357D"/>
    <w:rsid w:val="00C836C9"/>
    <w:rsid w:val="00C8370E"/>
    <w:rsid w:val="00C83739"/>
    <w:rsid w:val="00C8383E"/>
    <w:rsid w:val="00C83BD3"/>
    <w:rsid w:val="00C83C00"/>
    <w:rsid w:val="00C83C51"/>
    <w:rsid w:val="00C83D53"/>
    <w:rsid w:val="00C83DE1"/>
    <w:rsid w:val="00C83F46"/>
    <w:rsid w:val="00C84004"/>
    <w:rsid w:val="00C8400A"/>
    <w:rsid w:val="00C840EE"/>
    <w:rsid w:val="00C841CD"/>
    <w:rsid w:val="00C8425B"/>
    <w:rsid w:val="00C8433B"/>
    <w:rsid w:val="00C8435A"/>
    <w:rsid w:val="00C84413"/>
    <w:rsid w:val="00C84492"/>
    <w:rsid w:val="00C84600"/>
    <w:rsid w:val="00C84607"/>
    <w:rsid w:val="00C8461E"/>
    <w:rsid w:val="00C84778"/>
    <w:rsid w:val="00C84797"/>
    <w:rsid w:val="00C84951"/>
    <w:rsid w:val="00C84AD1"/>
    <w:rsid w:val="00C84B02"/>
    <w:rsid w:val="00C84B11"/>
    <w:rsid w:val="00C84BE7"/>
    <w:rsid w:val="00C84C09"/>
    <w:rsid w:val="00C84C6C"/>
    <w:rsid w:val="00C84D15"/>
    <w:rsid w:val="00C84F5A"/>
    <w:rsid w:val="00C84F9A"/>
    <w:rsid w:val="00C85104"/>
    <w:rsid w:val="00C8517A"/>
    <w:rsid w:val="00C851E7"/>
    <w:rsid w:val="00C852B3"/>
    <w:rsid w:val="00C85313"/>
    <w:rsid w:val="00C8535E"/>
    <w:rsid w:val="00C853F7"/>
    <w:rsid w:val="00C85491"/>
    <w:rsid w:val="00C854EF"/>
    <w:rsid w:val="00C855A1"/>
    <w:rsid w:val="00C85893"/>
    <w:rsid w:val="00C8589D"/>
    <w:rsid w:val="00C85960"/>
    <w:rsid w:val="00C859B4"/>
    <w:rsid w:val="00C859BA"/>
    <w:rsid w:val="00C85B16"/>
    <w:rsid w:val="00C85BE5"/>
    <w:rsid w:val="00C85C59"/>
    <w:rsid w:val="00C85CE6"/>
    <w:rsid w:val="00C85DFE"/>
    <w:rsid w:val="00C85FC9"/>
    <w:rsid w:val="00C85FD3"/>
    <w:rsid w:val="00C85FDA"/>
    <w:rsid w:val="00C86021"/>
    <w:rsid w:val="00C86029"/>
    <w:rsid w:val="00C8611B"/>
    <w:rsid w:val="00C8625C"/>
    <w:rsid w:val="00C862B0"/>
    <w:rsid w:val="00C862BA"/>
    <w:rsid w:val="00C86416"/>
    <w:rsid w:val="00C864CB"/>
    <w:rsid w:val="00C865E6"/>
    <w:rsid w:val="00C8660A"/>
    <w:rsid w:val="00C86620"/>
    <w:rsid w:val="00C86677"/>
    <w:rsid w:val="00C866BA"/>
    <w:rsid w:val="00C86837"/>
    <w:rsid w:val="00C8699F"/>
    <w:rsid w:val="00C86A11"/>
    <w:rsid w:val="00C86E12"/>
    <w:rsid w:val="00C86F83"/>
    <w:rsid w:val="00C86F8A"/>
    <w:rsid w:val="00C86FBF"/>
    <w:rsid w:val="00C86FF1"/>
    <w:rsid w:val="00C871C4"/>
    <w:rsid w:val="00C87209"/>
    <w:rsid w:val="00C872F6"/>
    <w:rsid w:val="00C87327"/>
    <w:rsid w:val="00C87338"/>
    <w:rsid w:val="00C873D5"/>
    <w:rsid w:val="00C8746E"/>
    <w:rsid w:val="00C874C2"/>
    <w:rsid w:val="00C87535"/>
    <w:rsid w:val="00C87538"/>
    <w:rsid w:val="00C8755B"/>
    <w:rsid w:val="00C875A0"/>
    <w:rsid w:val="00C8760A"/>
    <w:rsid w:val="00C87614"/>
    <w:rsid w:val="00C876C4"/>
    <w:rsid w:val="00C87715"/>
    <w:rsid w:val="00C87852"/>
    <w:rsid w:val="00C879DB"/>
    <w:rsid w:val="00C87A8E"/>
    <w:rsid w:val="00C87C08"/>
    <w:rsid w:val="00C87C59"/>
    <w:rsid w:val="00C87C77"/>
    <w:rsid w:val="00C87C87"/>
    <w:rsid w:val="00C87D14"/>
    <w:rsid w:val="00C900C5"/>
    <w:rsid w:val="00C90198"/>
    <w:rsid w:val="00C901B8"/>
    <w:rsid w:val="00C901D4"/>
    <w:rsid w:val="00C9024D"/>
    <w:rsid w:val="00C903C6"/>
    <w:rsid w:val="00C90414"/>
    <w:rsid w:val="00C90545"/>
    <w:rsid w:val="00C90561"/>
    <w:rsid w:val="00C90637"/>
    <w:rsid w:val="00C90638"/>
    <w:rsid w:val="00C90794"/>
    <w:rsid w:val="00C907CE"/>
    <w:rsid w:val="00C908E6"/>
    <w:rsid w:val="00C909BC"/>
    <w:rsid w:val="00C90A92"/>
    <w:rsid w:val="00C90B79"/>
    <w:rsid w:val="00C90BCC"/>
    <w:rsid w:val="00C90C62"/>
    <w:rsid w:val="00C90C6D"/>
    <w:rsid w:val="00C90CD4"/>
    <w:rsid w:val="00C90D69"/>
    <w:rsid w:val="00C90DB1"/>
    <w:rsid w:val="00C90E17"/>
    <w:rsid w:val="00C90E91"/>
    <w:rsid w:val="00C90EDA"/>
    <w:rsid w:val="00C90EE0"/>
    <w:rsid w:val="00C90EEE"/>
    <w:rsid w:val="00C90FFB"/>
    <w:rsid w:val="00C911A4"/>
    <w:rsid w:val="00C913EF"/>
    <w:rsid w:val="00C913FD"/>
    <w:rsid w:val="00C91432"/>
    <w:rsid w:val="00C91463"/>
    <w:rsid w:val="00C914A8"/>
    <w:rsid w:val="00C914BB"/>
    <w:rsid w:val="00C91568"/>
    <w:rsid w:val="00C915CC"/>
    <w:rsid w:val="00C9169F"/>
    <w:rsid w:val="00C916A1"/>
    <w:rsid w:val="00C916D5"/>
    <w:rsid w:val="00C916DC"/>
    <w:rsid w:val="00C9170F"/>
    <w:rsid w:val="00C918BC"/>
    <w:rsid w:val="00C918F9"/>
    <w:rsid w:val="00C919B4"/>
    <w:rsid w:val="00C91A4C"/>
    <w:rsid w:val="00C91A50"/>
    <w:rsid w:val="00C91B9C"/>
    <w:rsid w:val="00C91BB7"/>
    <w:rsid w:val="00C91CA9"/>
    <w:rsid w:val="00C91D48"/>
    <w:rsid w:val="00C91D78"/>
    <w:rsid w:val="00C91DDF"/>
    <w:rsid w:val="00C91E11"/>
    <w:rsid w:val="00C91E80"/>
    <w:rsid w:val="00C91E92"/>
    <w:rsid w:val="00C91F08"/>
    <w:rsid w:val="00C91F88"/>
    <w:rsid w:val="00C92065"/>
    <w:rsid w:val="00C92068"/>
    <w:rsid w:val="00C920B3"/>
    <w:rsid w:val="00C921C8"/>
    <w:rsid w:val="00C921ED"/>
    <w:rsid w:val="00C921F5"/>
    <w:rsid w:val="00C92234"/>
    <w:rsid w:val="00C92276"/>
    <w:rsid w:val="00C922A9"/>
    <w:rsid w:val="00C922CA"/>
    <w:rsid w:val="00C9230B"/>
    <w:rsid w:val="00C92393"/>
    <w:rsid w:val="00C9239C"/>
    <w:rsid w:val="00C924CF"/>
    <w:rsid w:val="00C92535"/>
    <w:rsid w:val="00C92604"/>
    <w:rsid w:val="00C9267E"/>
    <w:rsid w:val="00C92772"/>
    <w:rsid w:val="00C92A57"/>
    <w:rsid w:val="00C92AAA"/>
    <w:rsid w:val="00C92B15"/>
    <w:rsid w:val="00C92C37"/>
    <w:rsid w:val="00C92D8D"/>
    <w:rsid w:val="00C92D96"/>
    <w:rsid w:val="00C92E11"/>
    <w:rsid w:val="00C92F14"/>
    <w:rsid w:val="00C930E7"/>
    <w:rsid w:val="00C93254"/>
    <w:rsid w:val="00C9327F"/>
    <w:rsid w:val="00C93281"/>
    <w:rsid w:val="00C932C5"/>
    <w:rsid w:val="00C93375"/>
    <w:rsid w:val="00C9342F"/>
    <w:rsid w:val="00C9347D"/>
    <w:rsid w:val="00C935B0"/>
    <w:rsid w:val="00C9362E"/>
    <w:rsid w:val="00C9370D"/>
    <w:rsid w:val="00C9373B"/>
    <w:rsid w:val="00C93768"/>
    <w:rsid w:val="00C93838"/>
    <w:rsid w:val="00C938E7"/>
    <w:rsid w:val="00C93942"/>
    <w:rsid w:val="00C93A10"/>
    <w:rsid w:val="00C93BC0"/>
    <w:rsid w:val="00C93C01"/>
    <w:rsid w:val="00C93C1A"/>
    <w:rsid w:val="00C93CBE"/>
    <w:rsid w:val="00C93E48"/>
    <w:rsid w:val="00C93E7E"/>
    <w:rsid w:val="00C93F39"/>
    <w:rsid w:val="00C93F69"/>
    <w:rsid w:val="00C94101"/>
    <w:rsid w:val="00C941AE"/>
    <w:rsid w:val="00C941B2"/>
    <w:rsid w:val="00C94551"/>
    <w:rsid w:val="00C945DF"/>
    <w:rsid w:val="00C94661"/>
    <w:rsid w:val="00C946F9"/>
    <w:rsid w:val="00C9470D"/>
    <w:rsid w:val="00C947C8"/>
    <w:rsid w:val="00C948FC"/>
    <w:rsid w:val="00C949F1"/>
    <w:rsid w:val="00C94A12"/>
    <w:rsid w:val="00C94A18"/>
    <w:rsid w:val="00C94AD4"/>
    <w:rsid w:val="00C94BC0"/>
    <w:rsid w:val="00C9502C"/>
    <w:rsid w:val="00C951E6"/>
    <w:rsid w:val="00C951E7"/>
    <w:rsid w:val="00C952E8"/>
    <w:rsid w:val="00C9533D"/>
    <w:rsid w:val="00C95371"/>
    <w:rsid w:val="00C9545B"/>
    <w:rsid w:val="00C954CE"/>
    <w:rsid w:val="00C9555A"/>
    <w:rsid w:val="00C9587A"/>
    <w:rsid w:val="00C9596B"/>
    <w:rsid w:val="00C95CFC"/>
    <w:rsid w:val="00C95D21"/>
    <w:rsid w:val="00C95D86"/>
    <w:rsid w:val="00C95DDF"/>
    <w:rsid w:val="00C95E4F"/>
    <w:rsid w:val="00C95E89"/>
    <w:rsid w:val="00C95F49"/>
    <w:rsid w:val="00C95F69"/>
    <w:rsid w:val="00C9600F"/>
    <w:rsid w:val="00C9610B"/>
    <w:rsid w:val="00C9619F"/>
    <w:rsid w:val="00C96242"/>
    <w:rsid w:val="00C963BC"/>
    <w:rsid w:val="00C963FB"/>
    <w:rsid w:val="00C96563"/>
    <w:rsid w:val="00C966D9"/>
    <w:rsid w:val="00C968E9"/>
    <w:rsid w:val="00C969DB"/>
    <w:rsid w:val="00C969F1"/>
    <w:rsid w:val="00C96A40"/>
    <w:rsid w:val="00C96B2C"/>
    <w:rsid w:val="00C96B2F"/>
    <w:rsid w:val="00C96BD5"/>
    <w:rsid w:val="00C96CF7"/>
    <w:rsid w:val="00C96DC5"/>
    <w:rsid w:val="00C96DCB"/>
    <w:rsid w:val="00C96DD4"/>
    <w:rsid w:val="00C96E3A"/>
    <w:rsid w:val="00C96F45"/>
    <w:rsid w:val="00C96FDF"/>
    <w:rsid w:val="00C96FE1"/>
    <w:rsid w:val="00C97057"/>
    <w:rsid w:val="00C9710D"/>
    <w:rsid w:val="00C9736F"/>
    <w:rsid w:val="00C97383"/>
    <w:rsid w:val="00C974AF"/>
    <w:rsid w:val="00C9755A"/>
    <w:rsid w:val="00C9759B"/>
    <w:rsid w:val="00C97621"/>
    <w:rsid w:val="00C977A5"/>
    <w:rsid w:val="00C97866"/>
    <w:rsid w:val="00C978D8"/>
    <w:rsid w:val="00C9794C"/>
    <w:rsid w:val="00C97B4C"/>
    <w:rsid w:val="00C97C43"/>
    <w:rsid w:val="00C97D7F"/>
    <w:rsid w:val="00C97ED7"/>
    <w:rsid w:val="00C97EF6"/>
    <w:rsid w:val="00C97F56"/>
    <w:rsid w:val="00C97F6D"/>
    <w:rsid w:val="00C97F87"/>
    <w:rsid w:val="00C97FBB"/>
    <w:rsid w:val="00CA00D7"/>
    <w:rsid w:val="00CA012C"/>
    <w:rsid w:val="00CA01A2"/>
    <w:rsid w:val="00CA01E7"/>
    <w:rsid w:val="00CA0319"/>
    <w:rsid w:val="00CA036E"/>
    <w:rsid w:val="00CA0511"/>
    <w:rsid w:val="00CA0552"/>
    <w:rsid w:val="00CA0570"/>
    <w:rsid w:val="00CA05FE"/>
    <w:rsid w:val="00CA070A"/>
    <w:rsid w:val="00CA079E"/>
    <w:rsid w:val="00CA07DE"/>
    <w:rsid w:val="00CA08D6"/>
    <w:rsid w:val="00CA08F9"/>
    <w:rsid w:val="00CA093A"/>
    <w:rsid w:val="00CA0A36"/>
    <w:rsid w:val="00CA0AC0"/>
    <w:rsid w:val="00CA0B3C"/>
    <w:rsid w:val="00CA0B3E"/>
    <w:rsid w:val="00CA0CF8"/>
    <w:rsid w:val="00CA0D1C"/>
    <w:rsid w:val="00CA0D3B"/>
    <w:rsid w:val="00CA0D58"/>
    <w:rsid w:val="00CA0D69"/>
    <w:rsid w:val="00CA0DCF"/>
    <w:rsid w:val="00CA0E48"/>
    <w:rsid w:val="00CA0ED4"/>
    <w:rsid w:val="00CA0F5D"/>
    <w:rsid w:val="00CA0F6C"/>
    <w:rsid w:val="00CA1000"/>
    <w:rsid w:val="00CA1153"/>
    <w:rsid w:val="00CA117D"/>
    <w:rsid w:val="00CA118F"/>
    <w:rsid w:val="00CA13A2"/>
    <w:rsid w:val="00CA13D6"/>
    <w:rsid w:val="00CA13DC"/>
    <w:rsid w:val="00CA148A"/>
    <w:rsid w:val="00CA14A0"/>
    <w:rsid w:val="00CA155C"/>
    <w:rsid w:val="00CA16D1"/>
    <w:rsid w:val="00CA177F"/>
    <w:rsid w:val="00CA17EB"/>
    <w:rsid w:val="00CA17EE"/>
    <w:rsid w:val="00CA1907"/>
    <w:rsid w:val="00CA190A"/>
    <w:rsid w:val="00CA1A9B"/>
    <w:rsid w:val="00CA1ACB"/>
    <w:rsid w:val="00CA1B4C"/>
    <w:rsid w:val="00CA1C2F"/>
    <w:rsid w:val="00CA1C54"/>
    <w:rsid w:val="00CA1C8D"/>
    <w:rsid w:val="00CA1CC4"/>
    <w:rsid w:val="00CA1D8F"/>
    <w:rsid w:val="00CA1E6E"/>
    <w:rsid w:val="00CA1F20"/>
    <w:rsid w:val="00CA1FF0"/>
    <w:rsid w:val="00CA209A"/>
    <w:rsid w:val="00CA2151"/>
    <w:rsid w:val="00CA2298"/>
    <w:rsid w:val="00CA230F"/>
    <w:rsid w:val="00CA234E"/>
    <w:rsid w:val="00CA2376"/>
    <w:rsid w:val="00CA23D3"/>
    <w:rsid w:val="00CA2413"/>
    <w:rsid w:val="00CA24EF"/>
    <w:rsid w:val="00CA250E"/>
    <w:rsid w:val="00CA259B"/>
    <w:rsid w:val="00CA25BD"/>
    <w:rsid w:val="00CA2633"/>
    <w:rsid w:val="00CA2656"/>
    <w:rsid w:val="00CA26D5"/>
    <w:rsid w:val="00CA273F"/>
    <w:rsid w:val="00CA2819"/>
    <w:rsid w:val="00CA28DF"/>
    <w:rsid w:val="00CA28E1"/>
    <w:rsid w:val="00CA2950"/>
    <w:rsid w:val="00CA2965"/>
    <w:rsid w:val="00CA2A1A"/>
    <w:rsid w:val="00CA2B27"/>
    <w:rsid w:val="00CA2B71"/>
    <w:rsid w:val="00CA2DC5"/>
    <w:rsid w:val="00CA2F4D"/>
    <w:rsid w:val="00CA312D"/>
    <w:rsid w:val="00CA3152"/>
    <w:rsid w:val="00CA3169"/>
    <w:rsid w:val="00CA31F7"/>
    <w:rsid w:val="00CA31FF"/>
    <w:rsid w:val="00CA327E"/>
    <w:rsid w:val="00CA32EC"/>
    <w:rsid w:val="00CA337C"/>
    <w:rsid w:val="00CA33E7"/>
    <w:rsid w:val="00CA349B"/>
    <w:rsid w:val="00CA349D"/>
    <w:rsid w:val="00CA358F"/>
    <w:rsid w:val="00CA3683"/>
    <w:rsid w:val="00CA375C"/>
    <w:rsid w:val="00CA3765"/>
    <w:rsid w:val="00CA3794"/>
    <w:rsid w:val="00CA37E8"/>
    <w:rsid w:val="00CA3886"/>
    <w:rsid w:val="00CA398D"/>
    <w:rsid w:val="00CA3A90"/>
    <w:rsid w:val="00CA3BAF"/>
    <w:rsid w:val="00CA3BB4"/>
    <w:rsid w:val="00CA3E14"/>
    <w:rsid w:val="00CA3ED7"/>
    <w:rsid w:val="00CA3F1B"/>
    <w:rsid w:val="00CA40B8"/>
    <w:rsid w:val="00CA4200"/>
    <w:rsid w:val="00CA424A"/>
    <w:rsid w:val="00CA43FF"/>
    <w:rsid w:val="00CA4412"/>
    <w:rsid w:val="00CA4416"/>
    <w:rsid w:val="00CA453B"/>
    <w:rsid w:val="00CA4544"/>
    <w:rsid w:val="00CA4586"/>
    <w:rsid w:val="00CA4596"/>
    <w:rsid w:val="00CA4618"/>
    <w:rsid w:val="00CA470F"/>
    <w:rsid w:val="00CA4766"/>
    <w:rsid w:val="00CA479F"/>
    <w:rsid w:val="00CA47F7"/>
    <w:rsid w:val="00CA48D4"/>
    <w:rsid w:val="00CA48DF"/>
    <w:rsid w:val="00CA4ABF"/>
    <w:rsid w:val="00CA4AD9"/>
    <w:rsid w:val="00CA4B30"/>
    <w:rsid w:val="00CA4B8A"/>
    <w:rsid w:val="00CA4C1D"/>
    <w:rsid w:val="00CA4C65"/>
    <w:rsid w:val="00CA4CA7"/>
    <w:rsid w:val="00CA4D38"/>
    <w:rsid w:val="00CA4D8E"/>
    <w:rsid w:val="00CA4DD1"/>
    <w:rsid w:val="00CA4E14"/>
    <w:rsid w:val="00CA4E61"/>
    <w:rsid w:val="00CA4F30"/>
    <w:rsid w:val="00CA5066"/>
    <w:rsid w:val="00CA50AA"/>
    <w:rsid w:val="00CA50C0"/>
    <w:rsid w:val="00CA510A"/>
    <w:rsid w:val="00CA515F"/>
    <w:rsid w:val="00CA51F8"/>
    <w:rsid w:val="00CA5218"/>
    <w:rsid w:val="00CA521E"/>
    <w:rsid w:val="00CA52EB"/>
    <w:rsid w:val="00CA53D5"/>
    <w:rsid w:val="00CA5557"/>
    <w:rsid w:val="00CA5569"/>
    <w:rsid w:val="00CA5733"/>
    <w:rsid w:val="00CA5751"/>
    <w:rsid w:val="00CA5798"/>
    <w:rsid w:val="00CA57C4"/>
    <w:rsid w:val="00CA57DF"/>
    <w:rsid w:val="00CA5844"/>
    <w:rsid w:val="00CA58A1"/>
    <w:rsid w:val="00CA58F7"/>
    <w:rsid w:val="00CA593A"/>
    <w:rsid w:val="00CA5989"/>
    <w:rsid w:val="00CA5BC1"/>
    <w:rsid w:val="00CA5CAB"/>
    <w:rsid w:val="00CA5CE7"/>
    <w:rsid w:val="00CA5E84"/>
    <w:rsid w:val="00CA5F05"/>
    <w:rsid w:val="00CA5F09"/>
    <w:rsid w:val="00CA5F58"/>
    <w:rsid w:val="00CA5F60"/>
    <w:rsid w:val="00CA60B9"/>
    <w:rsid w:val="00CA60CD"/>
    <w:rsid w:val="00CA60FA"/>
    <w:rsid w:val="00CA6103"/>
    <w:rsid w:val="00CA6129"/>
    <w:rsid w:val="00CA61DD"/>
    <w:rsid w:val="00CA6254"/>
    <w:rsid w:val="00CA6270"/>
    <w:rsid w:val="00CA62D4"/>
    <w:rsid w:val="00CA6317"/>
    <w:rsid w:val="00CA6346"/>
    <w:rsid w:val="00CA6381"/>
    <w:rsid w:val="00CA6489"/>
    <w:rsid w:val="00CA64F3"/>
    <w:rsid w:val="00CA652D"/>
    <w:rsid w:val="00CA66A2"/>
    <w:rsid w:val="00CA67A1"/>
    <w:rsid w:val="00CA6802"/>
    <w:rsid w:val="00CA6A4B"/>
    <w:rsid w:val="00CA6AE3"/>
    <w:rsid w:val="00CA6B06"/>
    <w:rsid w:val="00CA6BE6"/>
    <w:rsid w:val="00CA6C93"/>
    <w:rsid w:val="00CA6E77"/>
    <w:rsid w:val="00CA6EB7"/>
    <w:rsid w:val="00CA6F62"/>
    <w:rsid w:val="00CA6FE0"/>
    <w:rsid w:val="00CA7096"/>
    <w:rsid w:val="00CA714A"/>
    <w:rsid w:val="00CA71A4"/>
    <w:rsid w:val="00CA722C"/>
    <w:rsid w:val="00CA72C6"/>
    <w:rsid w:val="00CA73B4"/>
    <w:rsid w:val="00CA766B"/>
    <w:rsid w:val="00CA769E"/>
    <w:rsid w:val="00CA7730"/>
    <w:rsid w:val="00CA7739"/>
    <w:rsid w:val="00CA780B"/>
    <w:rsid w:val="00CA7835"/>
    <w:rsid w:val="00CA787A"/>
    <w:rsid w:val="00CA788F"/>
    <w:rsid w:val="00CA789D"/>
    <w:rsid w:val="00CA7963"/>
    <w:rsid w:val="00CA7A04"/>
    <w:rsid w:val="00CA7A7B"/>
    <w:rsid w:val="00CA7B86"/>
    <w:rsid w:val="00CA7BD7"/>
    <w:rsid w:val="00CA7C7A"/>
    <w:rsid w:val="00CA7CC1"/>
    <w:rsid w:val="00CA7DF6"/>
    <w:rsid w:val="00CA7E31"/>
    <w:rsid w:val="00CA7F25"/>
    <w:rsid w:val="00CA7F6D"/>
    <w:rsid w:val="00CB00F4"/>
    <w:rsid w:val="00CB00FD"/>
    <w:rsid w:val="00CB0191"/>
    <w:rsid w:val="00CB050F"/>
    <w:rsid w:val="00CB0579"/>
    <w:rsid w:val="00CB05A8"/>
    <w:rsid w:val="00CB0610"/>
    <w:rsid w:val="00CB0623"/>
    <w:rsid w:val="00CB06AA"/>
    <w:rsid w:val="00CB06FF"/>
    <w:rsid w:val="00CB0886"/>
    <w:rsid w:val="00CB08AA"/>
    <w:rsid w:val="00CB08F2"/>
    <w:rsid w:val="00CB09CD"/>
    <w:rsid w:val="00CB09FC"/>
    <w:rsid w:val="00CB0B0B"/>
    <w:rsid w:val="00CB0BC0"/>
    <w:rsid w:val="00CB0BFF"/>
    <w:rsid w:val="00CB0C15"/>
    <w:rsid w:val="00CB0C38"/>
    <w:rsid w:val="00CB0CC5"/>
    <w:rsid w:val="00CB0CDF"/>
    <w:rsid w:val="00CB0ED3"/>
    <w:rsid w:val="00CB101F"/>
    <w:rsid w:val="00CB10FB"/>
    <w:rsid w:val="00CB1155"/>
    <w:rsid w:val="00CB11A3"/>
    <w:rsid w:val="00CB11B4"/>
    <w:rsid w:val="00CB11E2"/>
    <w:rsid w:val="00CB125D"/>
    <w:rsid w:val="00CB139C"/>
    <w:rsid w:val="00CB1548"/>
    <w:rsid w:val="00CB1740"/>
    <w:rsid w:val="00CB18F1"/>
    <w:rsid w:val="00CB19F3"/>
    <w:rsid w:val="00CB1A41"/>
    <w:rsid w:val="00CB1AA0"/>
    <w:rsid w:val="00CB1AB0"/>
    <w:rsid w:val="00CB1B15"/>
    <w:rsid w:val="00CB1C09"/>
    <w:rsid w:val="00CB1C3E"/>
    <w:rsid w:val="00CB1C82"/>
    <w:rsid w:val="00CB1D83"/>
    <w:rsid w:val="00CB1DB6"/>
    <w:rsid w:val="00CB1E7C"/>
    <w:rsid w:val="00CB1E86"/>
    <w:rsid w:val="00CB1ED7"/>
    <w:rsid w:val="00CB1FC1"/>
    <w:rsid w:val="00CB205E"/>
    <w:rsid w:val="00CB207D"/>
    <w:rsid w:val="00CB2118"/>
    <w:rsid w:val="00CB262B"/>
    <w:rsid w:val="00CB2651"/>
    <w:rsid w:val="00CB2867"/>
    <w:rsid w:val="00CB28E8"/>
    <w:rsid w:val="00CB2975"/>
    <w:rsid w:val="00CB29AD"/>
    <w:rsid w:val="00CB29EA"/>
    <w:rsid w:val="00CB2A1E"/>
    <w:rsid w:val="00CB2BC6"/>
    <w:rsid w:val="00CB2BD3"/>
    <w:rsid w:val="00CB2BFF"/>
    <w:rsid w:val="00CB2C0C"/>
    <w:rsid w:val="00CB2C20"/>
    <w:rsid w:val="00CB2C46"/>
    <w:rsid w:val="00CB2C5B"/>
    <w:rsid w:val="00CB2C5F"/>
    <w:rsid w:val="00CB2CB0"/>
    <w:rsid w:val="00CB2DB4"/>
    <w:rsid w:val="00CB2DD7"/>
    <w:rsid w:val="00CB2E6F"/>
    <w:rsid w:val="00CB2EC4"/>
    <w:rsid w:val="00CB2F01"/>
    <w:rsid w:val="00CB2F4B"/>
    <w:rsid w:val="00CB2FA0"/>
    <w:rsid w:val="00CB2FAC"/>
    <w:rsid w:val="00CB2FF6"/>
    <w:rsid w:val="00CB30A5"/>
    <w:rsid w:val="00CB3124"/>
    <w:rsid w:val="00CB312D"/>
    <w:rsid w:val="00CB315D"/>
    <w:rsid w:val="00CB3201"/>
    <w:rsid w:val="00CB33BE"/>
    <w:rsid w:val="00CB341A"/>
    <w:rsid w:val="00CB342C"/>
    <w:rsid w:val="00CB3503"/>
    <w:rsid w:val="00CB3540"/>
    <w:rsid w:val="00CB354C"/>
    <w:rsid w:val="00CB360F"/>
    <w:rsid w:val="00CB378E"/>
    <w:rsid w:val="00CB379B"/>
    <w:rsid w:val="00CB37D1"/>
    <w:rsid w:val="00CB3800"/>
    <w:rsid w:val="00CB392F"/>
    <w:rsid w:val="00CB3B22"/>
    <w:rsid w:val="00CB3C8E"/>
    <w:rsid w:val="00CB3E30"/>
    <w:rsid w:val="00CB3E44"/>
    <w:rsid w:val="00CB3E74"/>
    <w:rsid w:val="00CB401C"/>
    <w:rsid w:val="00CB421C"/>
    <w:rsid w:val="00CB422D"/>
    <w:rsid w:val="00CB42F0"/>
    <w:rsid w:val="00CB4301"/>
    <w:rsid w:val="00CB437A"/>
    <w:rsid w:val="00CB43BC"/>
    <w:rsid w:val="00CB43E2"/>
    <w:rsid w:val="00CB4434"/>
    <w:rsid w:val="00CB4611"/>
    <w:rsid w:val="00CB4688"/>
    <w:rsid w:val="00CB46F3"/>
    <w:rsid w:val="00CB4770"/>
    <w:rsid w:val="00CB47DC"/>
    <w:rsid w:val="00CB47E9"/>
    <w:rsid w:val="00CB4829"/>
    <w:rsid w:val="00CB48FA"/>
    <w:rsid w:val="00CB4914"/>
    <w:rsid w:val="00CB4917"/>
    <w:rsid w:val="00CB49F2"/>
    <w:rsid w:val="00CB4A07"/>
    <w:rsid w:val="00CB4A59"/>
    <w:rsid w:val="00CB4B18"/>
    <w:rsid w:val="00CB4BA4"/>
    <w:rsid w:val="00CB4CCC"/>
    <w:rsid w:val="00CB4D39"/>
    <w:rsid w:val="00CB4D5B"/>
    <w:rsid w:val="00CB4E2B"/>
    <w:rsid w:val="00CB4E76"/>
    <w:rsid w:val="00CB4FF6"/>
    <w:rsid w:val="00CB505A"/>
    <w:rsid w:val="00CB5206"/>
    <w:rsid w:val="00CB5350"/>
    <w:rsid w:val="00CB5378"/>
    <w:rsid w:val="00CB538B"/>
    <w:rsid w:val="00CB53B2"/>
    <w:rsid w:val="00CB541F"/>
    <w:rsid w:val="00CB543C"/>
    <w:rsid w:val="00CB5446"/>
    <w:rsid w:val="00CB550D"/>
    <w:rsid w:val="00CB552A"/>
    <w:rsid w:val="00CB586C"/>
    <w:rsid w:val="00CB589E"/>
    <w:rsid w:val="00CB58C3"/>
    <w:rsid w:val="00CB593D"/>
    <w:rsid w:val="00CB5986"/>
    <w:rsid w:val="00CB5A06"/>
    <w:rsid w:val="00CB5B36"/>
    <w:rsid w:val="00CB5C6D"/>
    <w:rsid w:val="00CB5CA5"/>
    <w:rsid w:val="00CB5D2D"/>
    <w:rsid w:val="00CB5E88"/>
    <w:rsid w:val="00CB5EAF"/>
    <w:rsid w:val="00CB5F8C"/>
    <w:rsid w:val="00CB6132"/>
    <w:rsid w:val="00CB61C4"/>
    <w:rsid w:val="00CB6321"/>
    <w:rsid w:val="00CB647B"/>
    <w:rsid w:val="00CB64DE"/>
    <w:rsid w:val="00CB65A7"/>
    <w:rsid w:val="00CB65CA"/>
    <w:rsid w:val="00CB65E7"/>
    <w:rsid w:val="00CB67ED"/>
    <w:rsid w:val="00CB686E"/>
    <w:rsid w:val="00CB6893"/>
    <w:rsid w:val="00CB6912"/>
    <w:rsid w:val="00CB6ADE"/>
    <w:rsid w:val="00CB6DC1"/>
    <w:rsid w:val="00CB6DEF"/>
    <w:rsid w:val="00CB6EA1"/>
    <w:rsid w:val="00CB6EE8"/>
    <w:rsid w:val="00CB6FAC"/>
    <w:rsid w:val="00CB6FEA"/>
    <w:rsid w:val="00CB7056"/>
    <w:rsid w:val="00CB708A"/>
    <w:rsid w:val="00CB7286"/>
    <w:rsid w:val="00CB7405"/>
    <w:rsid w:val="00CB743F"/>
    <w:rsid w:val="00CB744B"/>
    <w:rsid w:val="00CB747A"/>
    <w:rsid w:val="00CB74B6"/>
    <w:rsid w:val="00CB74DE"/>
    <w:rsid w:val="00CB7620"/>
    <w:rsid w:val="00CB76E1"/>
    <w:rsid w:val="00CB76F9"/>
    <w:rsid w:val="00CB770E"/>
    <w:rsid w:val="00CB7744"/>
    <w:rsid w:val="00CB774E"/>
    <w:rsid w:val="00CB7766"/>
    <w:rsid w:val="00CB7777"/>
    <w:rsid w:val="00CB791F"/>
    <w:rsid w:val="00CB7927"/>
    <w:rsid w:val="00CB7937"/>
    <w:rsid w:val="00CB796E"/>
    <w:rsid w:val="00CB799E"/>
    <w:rsid w:val="00CB79BA"/>
    <w:rsid w:val="00CB79C1"/>
    <w:rsid w:val="00CB7AD1"/>
    <w:rsid w:val="00CB7B23"/>
    <w:rsid w:val="00CB7B57"/>
    <w:rsid w:val="00CB7B62"/>
    <w:rsid w:val="00CB7D8B"/>
    <w:rsid w:val="00CB7DE8"/>
    <w:rsid w:val="00CB7E06"/>
    <w:rsid w:val="00CB7EFE"/>
    <w:rsid w:val="00CB7F74"/>
    <w:rsid w:val="00CB7FEC"/>
    <w:rsid w:val="00CC0005"/>
    <w:rsid w:val="00CC0066"/>
    <w:rsid w:val="00CC008C"/>
    <w:rsid w:val="00CC0153"/>
    <w:rsid w:val="00CC015D"/>
    <w:rsid w:val="00CC028E"/>
    <w:rsid w:val="00CC0351"/>
    <w:rsid w:val="00CC0435"/>
    <w:rsid w:val="00CC04A9"/>
    <w:rsid w:val="00CC04D1"/>
    <w:rsid w:val="00CC067F"/>
    <w:rsid w:val="00CC087A"/>
    <w:rsid w:val="00CC08BA"/>
    <w:rsid w:val="00CC08C0"/>
    <w:rsid w:val="00CC0936"/>
    <w:rsid w:val="00CC0AF6"/>
    <w:rsid w:val="00CC0B4A"/>
    <w:rsid w:val="00CC0B85"/>
    <w:rsid w:val="00CC0B9C"/>
    <w:rsid w:val="00CC0BB3"/>
    <w:rsid w:val="00CC0BEC"/>
    <w:rsid w:val="00CC0C61"/>
    <w:rsid w:val="00CC0CD5"/>
    <w:rsid w:val="00CC0D1D"/>
    <w:rsid w:val="00CC0D65"/>
    <w:rsid w:val="00CC0D9C"/>
    <w:rsid w:val="00CC0DFE"/>
    <w:rsid w:val="00CC0EED"/>
    <w:rsid w:val="00CC105C"/>
    <w:rsid w:val="00CC1069"/>
    <w:rsid w:val="00CC10A1"/>
    <w:rsid w:val="00CC10DF"/>
    <w:rsid w:val="00CC113B"/>
    <w:rsid w:val="00CC1190"/>
    <w:rsid w:val="00CC1396"/>
    <w:rsid w:val="00CC13A0"/>
    <w:rsid w:val="00CC13A6"/>
    <w:rsid w:val="00CC13D4"/>
    <w:rsid w:val="00CC142B"/>
    <w:rsid w:val="00CC1463"/>
    <w:rsid w:val="00CC1595"/>
    <w:rsid w:val="00CC1654"/>
    <w:rsid w:val="00CC16E0"/>
    <w:rsid w:val="00CC1876"/>
    <w:rsid w:val="00CC18F8"/>
    <w:rsid w:val="00CC193C"/>
    <w:rsid w:val="00CC1A95"/>
    <w:rsid w:val="00CC1B85"/>
    <w:rsid w:val="00CC1BBA"/>
    <w:rsid w:val="00CC1C84"/>
    <w:rsid w:val="00CC1CD2"/>
    <w:rsid w:val="00CC1E24"/>
    <w:rsid w:val="00CC1EE7"/>
    <w:rsid w:val="00CC1FA3"/>
    <w:rsid w:val="00CC1FA9"/>
    <w:rsid w:val="00CC1FBB"/>
    <w:rsid w:val="00CC1FED"/>
    <w:rsid w:val="00CC2071"/>
    <w:rsid w:val="00CC2215"/>
    <w:rsid w:val="00CC24AC"/>
    <w:rsid w:val="00CC261F"/>
    <w:rsid w:val="00CC26C0"/>
    <w:rsid w:val="00CC26DC"/>
    <w:rsid w:val="00CC28B8"/>
    <w:rsid w:val="00CC28FD"/>
    <w:rsid w:val="00CC290D"/>
    <w:rsid w:val="00CC294E"/>
    <w:rsid w:val="00CC2A72"/>
    <w:rsid w:val="00CC2C3E"/>
    <w:rsid w:val="00CC2D85"/>
    <w:rsid w:val="00CC2DF3"/>
    <w:rsid w:val="00CC2E08"/>
    <w:rsid w:val="00CC2E27"/>
    <w:rsid w:val="00CC2EB1"/>
    <w:rsid w:val="00CC2F11"/>
    <w:rsid w:val="00CC2F26"/>
    <w:rsid w:val="00CC2FFD"/>
    <w:rsid w:val="00CC31A2"/>
    <w:rsid w:val="00CC328B"/>
    <w:rsid w:val="00CC32D1"/>
    <w:rsid w:val="00CC33C8"/>
    <w:rsid w:val="00CC3755"/>
    <w:rsid w:val="00CC37D5"/>
    <w:rsid w:val="00CC3812"/>
    <w:rsid w:val="00CC382D"/>
    <w:rsid w:val="00CC397D"/>
    <w:rsid w:val="00CC39D4"/>
    <w:rsid w:val="00CC39D5"/>
    <w:rsid w:val="00CC39DB"/>
    <w:rsid w:val="00CC39ED"/>
    <w:rsid w:val="00CC3A87"/>
    <w:rsid w:val="00CC3B77"/>
    <w:rsid w:val="00CC3C17"/>
    <w:rsid w:val="00CC3C54"/>
    <w:rsid w:val="00CC3DA4"/>
    <w:rsid w:val="00CC3DF5"/>
    <w:rsid w:val="00CC3F03"/>
    <w:rsid w:val="00CC3F5E"/>
    <w:rsid w:val="00CC3FAA"/>
    <w:rsid w:val="00CC4081"/>
    <w:rsid w:val="00CC41A2"/>
    <w:rsid w:val="00CC437A"/>
    <w:rsid w:val="00CC43AC"/>
    <w:rsid w:val="00CC4456"/>
    <w:rsid w:val="00CC44AD"/>
    <w:rsid w:val="00CC4586"/>
    <w:rsid w:val="00CC46BA"/>
    <w:rsid w:val="00CC46FD"/>
    <w:rsid w:val="00CC475E"/>
    <w:rsid w:val="00CC48D1"/>
    <w:rsid w:val="00CC48E6"/>
    <w:rsid w:val="00CC4950"/>
    <w:rsid w:val="00CC4A13"/>
    <w:rsid w:val="00CC4AB6"/>
    <w:rsid w:val="00CC4CCE"/>
    <w:rsid w:val="00CC4CDE"/>
    <w:rsid w:val="00CC4CF7"/>
    <w:rsid w:val="00CC4E72"/>
    <w:rsid w:val="00CC4F34"/>
    <w:rsid w:val="00CC501E"/>
    <w:rsid w:val="00CC5091"/>
    <w:rsid w:val="00CC511C"/>
    <w:rsid w:val="00CC5207"/>
    <w:rsid w:val="00CC520D"/>
    <w:rsid w:val="00CC523C"/>
    <w:rsid w:val="00CC5376"/>
    <w:rsid w:val="00CC53D3"/>
    <w:rsid w:val="00CC5459"/>
    <w:rsid w:val="00CC54C6"/>
    <w:rsid w:val="00CC561C"/>
    <w:rsid w:val="00CC564E"/>
    <w:rsid w:val="00CC56C3"/>
    <w:rsid w:val="00CC5911"/>
    <w:rsid w:val="00CC599A"/>
    <w:rsid w:val="00CC59B5"/>
    <w:rsid w:val="00CC59F6"/>
    <w:rsid w:val="00CC5AFF"/>
    <w:rsid w:val="00CC5B1C"/>
    <w:rsid w:val="00CC5D88"/>
    <w:rsid w:val="00CC5E51"/>
    <w:rsid w:val="00CC5F4B"/>
    <w:rsid w:val="00CC5F61"/>
    <w:rsid w:val="00CC605C"/>
    <w:rsid w:val="00CC60E1"/>
    <w:rsid w:val="00CC6172"/>
    <w:rsid w:val="00CC624E"/>
    <w:rsid w:val="00CC6325"/>
    <w:rsid w:val="00CC6442"/>
    <w:rsid w:val="00CC6530"/>
    <w:rsid w:val="00CC659E"/>
    <w:rsid w:val="00CC6607"/>
    <w:rsid w:val="00CC671A"/>
    <w:rsid w:val="00CC67AE"/>
    <w:rsid w:val="00CC67D1"/>
    <w:rsid w:val="00CC689D"/>
    <w:rsid w:val="00CC6927"/>
    <w:rsid w:val="00CC696D"/>
    <w:rsid w:val="00CC6B32"/>
    <w:rsid w:val="00CC6B8C"/>
    <w:rsid w:val="00CC6B90"/>
    <w:rsid w:val="00CC6C0E"/>
    <w:rsid w:val="00CC6C1B"/>
    <w:rsid w:val="00CC6C31"/>
    <w:rsid w:val="00CC6C4B"/>
    <w:rsid w:val="00CC6D7B"/>
    <w:rsid w:val="00CC6D7F"/>
    <w:rsid w:val="00CC6D84"/>
    <w:rsid w:val="00CC6E3A"/>
    <w:rsid w:val="00CC6FDE"/>
    <w:rsid w:val="00CC6FE3"/>
    <w:rsid w:val="00CC6FF9"/>
    <w:rsid w:val="00CC7056"/>
    <w:rsid w:val="00CC70B3"/>
    <w:rsid w:val="00CC714B"/>
    <w:rsid w:val="00CC7190"/>
    <w:rsid w:val="00CC73A6"/>
    <w:rsid w:val="00CC7408"/>
    <w:rsid w:val="00CC7462"/>
    <w:rsid w:val="00CC74D0"/>
    <w:rsid w:val="00CC75D2"/>
    <w:rsid w:val="00CC760C"/>
    <w:rsid w:val="00CC78AB"/>
    <w:rsid w:val="00CC7935"/>
    <w:rsid w:val="00CC7976"/>
    <w:rsid w:val="00CC799B"/>
    <w:rsid w:val="00CC79B0"/>
    <w:rsid w:val="00CC79E8"/>
    <w:rsid w:val="00CC79F3"/>
    <w:rsid w:val="00CC7A76"/>
    <w:rsid w:val="00CC7A97"/>
    <w:rsid w:val="00CC7AE3"/>
    <w:rsid w:val="00CC7C7A"/>
    <w:rsid w:val="00CC7CC8"/>
    <w:rsid w:val="00CC7D1D"/>
    <w:rsid w:val="00CC7D9E"/>
    <w:rsid w:val="00CC7DDD"/>
    <w:rsid w:val="00CC7E86"/>
    <w:rsid w:val="00CC7F00"/>
    <w:rsid w:val="00CC7FED"/>
    <w:rsid w:val="00CD003D"/>
    <w:rsid w:val="00CD006E"/>
    <w:rsid w:val="00CD00FE"/>
    <w:rsid w:val="00CD0132"/>
    <w:rsid w:val="00CD01BA"/>
    <w:rsid w:val="00CD01E4"/>
    <w:rsid w:val="00CD026A"/>
    <w:rsid w:val="00CD0305"/>
    <w:rsid w:val="00CD0362"/>
    <w:rsid w:val="00CD0370"/>
    <w:rsid w:val="00CD0407"/>
    <w:rsid w:val="00CD0451"/>
    <w:rsid w:val="00CD0559"/>
    <w:rsid w:val="00CD059B"/>
    <w:rsid w:val="00CD0636"/>
    <w:rsid w:val="00CD0661"/>
    <w:rsid w:val="00CD0684"/>
    <w:rsid w:val="00CD06A8"/>
    <w:rsid w:val="00CD0721"/>
    <w:rsid w:val="00CD0733"/>
    <w:rsid w:val="00CD0785"/>
    <w:rsid w:val="00CD07F2"/>
    <w:rsid w:val="00CD0856"/>
    <w:rsid w:val="00CD0939"/>
    <w:rsid w:val="00CD0975"/>
    <w:rsid w:val="00CD0A04"/>
    <w:rsid w:val="00CD0A48"/>
    <w:rsid w:val="00CD0A71"/>
    <w:rsid w:val="00CD0AC9"/>
    <w:rsid w:val="00CD0AEA"/>
    <w:rsid w:val="00CD0B68"/>
    <w:rsid w:val="00CD0BC5"/>
    <w:rsid w:val="00CD0D3A"/>
    <w:rsid w:val="00CD0E25"/>
    <w:rsid w:val="00CD0E4F"/>
    <w:rsid w:val="00CD0F48"/>
    <w:rsid w:val="00CD0F5B"/>
    <w:rsid w:val="00CD0FDD"/>
    <w:rsid w:val="00CD108D"/>
    <w:rsid w:val="00CD10D0"/>
    <w:rsid w:val="00CD10D3"/>
    <w:rsid w:val="00CD1131"/>
    <w:rsid w:val="00CD121B"/>
    <w:rsid w:val="00CD1243"/>
    <w:rsid w:val="00CD125D"/>
    <w:rsid w:val="00CD1289"/>
    <w:rsid w:val="00CD12C7"/>
    <w:rsid w:val="00CD130C"/>
    <w:rsid w:val="00CD13C0"/>
    <w:rsid w:val="00CD1572"/>
    <w:rsid w:val="00CD15C9"/>
    <w:rsid w:val="00CD17AC"/>
    <w:rsid w:val="00CD17FC"/>
    <w:rsid w:val="00CD1864"/>
    <w:rsid w:val="00CD18E1"/>
    <w:rsid w:val="00CD1AA5"/>
    <w:rsid w:val="00CD1BA5"/>
    <w:rsid w:val="00CD1C49"/>
    <w:rsid w:val="00CD1C58"/>
    <w:rsid w:val="00CD1DC3"/>
    <w:rsid w:val="00CD1E88"/>
    <w:rsid w:val="00CD1EF0"/>
    <w:rsid w:val="00CD1F37"/>
    <w:rsid w:val="00CD1FD5"/>
    <w:rsid w:val="00CD1FDE"/>
    <w:rsid w:val="00CD1FEB"/>
    <w:rsid w:val="00CD2066"/>
    <w:rsid w:val="00CD213C"/>
    <w:rsid w:val="00CD2151"/>
    <w:rsid w:val="00CD2196"/>
    <w:rsid w:val="00CD2318"/>
    <w:rsid w:val="00CD23BC"/>
    <w:rsid w:val="00CD240D"/>
    <w:rsid w:val="00CD2442"/>
    <w:rsid w:val="00CD24DE"/>
    <w:rsid w:val="00CD26E2"/>
    <w:rsid w:val="00CD27E6"/>
    <w:rsid w:val="00CD2807"/>
    <w:rsid w:val="00CD2817"/>
    <w:rsid w:val="00CD2833"/>
    <w:rsid w:val="00CD28A0"/>
    <w:rsid w:val="00CD28D9"/>
    <w:rsid w:val="00CD28EB"/>
    <w:rsid w:val="00CD290E"/>
    <w:rsid w:val="00CD291F"/>
    <w:rsid w:val="00CD294C"/>
    <w:rsid w:val="00CD2A4D"/>
    <w:rsid w:val="00CD2ABB"/>
    <w:rsid w:val="00CD2B27"/>
    <w:rsid w:val="00CD2B83"/>
    <w:rsid w:val="00CD2C21"/>
    <w:rsid w:val="00CD2C6E"/>
    <w:rsid w:val="00CD2D34"/>
    <w:rsid w:val="00CD2D88"/>
    <w:rsid w:val="00CD2DBA"/>
    <w:rsid w:val="00CD2EB6"/>
    <w:rsid w:val="00CD2EEA"/>
    <w:rsid w:val="00CD2EF7"/>
    <w:rsid w:val="00CD2FB6"/>
    <w:rsid w:val="00CD3020"/>
    <w:rsid w:val="00CD305F"/>
    <w:rsid w:val="00CD30B7"/>
    <w:rsid w:val="00CD30FC"/>
    <w:rsid w:val="00CD327B"/>
    <w:rsid w:val="00CD3302"/>
    <w:rsid w:val="00CD340A"/>
    <w:rsid w:val="00CD343F"/>
    <w:rsid w:val="00CD344A"/>
    <w:rsid w:val="00CD348D"/>
    <w:rsid w:val="00CD3506"/>
    <w:rsid w:val="00CD35CA"/>
    <w:rsid w:val="00CD3626"/>
    <w:rsid w:val="00CD3703"/>
    <w:rsid w:val="00CD3946"/>
    <w:rsid w:val="00CD3972"/>
    <w:rsid w:val="00CD3AE8"/>
    <w:rsid w:val="00CD3B71"/>
    <w:rsid w:val="00CD3B94"/>
    <w:rsid w:val="00CD3BEA"/>
    <w:rsid w:val="00CD3EF6"/>
    <w:rsid w:val="00CD3F30"/>
    <w:rsid w:val="00CD4033"/>
    <w:rsid w:val="00CD403B"/>
    <w:rsid w:val="00CD424E"/>
    <w:rsid w:val="00CD4286"/>
    <w:rsid w:val="00CD4292"/>
    <w:rsid w:val="00CD4359"/>
    <w:rsid w:val="00CD43FD"/>
    <w:rsid w:val="00CD4457"/>
    <w:rsid w:val="00CD450F"/>
    <w:rsid w:val="00CD45D7"/>
    <w:rsid w:val="00CD46EB"/>
    <w:rsid w:val="00CD47E6"/>
    <w:rsid w:val="00CD47F3"/>
    <w:rsid w:val="00CD4910"/>
    <w:rsid w:val="00CD4A1F"/>
    <w:rsid w:val="00CD4AFC"/>
    <w:rsid w:val="00CD4B05"/>
    <w:rsid w:val="00CD4B4B"/>
    <w:rsid w:val="00CD4B8E"/>
    <w:rsid w:val="00CD4BE0"/>
    <w:rsid w:val="00CD4CB0"/>
    <w:rsid w:val="00CD4CBA"/>
    <w:rsid w:val="00CD4CFA"/>
    <w:rsid w:val="00CD4D15"/>
    <w:rsid w:val="00CD4D20"/>
    <w:rsid w:val="00CD4F62"/>
    <w:rsid w:val="00CD4FCB"/>
    <w:rsid w:val="00CD4FD1"/>
    <w:rsid w:val="00CD4FE9"/>
    <w:rsid w:val="00CD5016"/>
    <w:rsid w:val="00CD5021"/>
    <w:rsid w:val="00CD5044"/>
    <w:rsid w:val="00CD50C2"/>
    <w:rsid w:val="00CD520E"/>
    <w:rsid w:val="00CD5273"/>
    <w:rsid w:val="00CD5285"/>
    <w:rsid w:val="00CD53B5"/>
    <w:rsid w:val="00CD53C5"/>
    <w:rsid w:val="00CD53E8"/>
    <w:rsid w:val="00CD5405"/>
    <w:rsid w:val="00CD5492"/>
    <w:rsid w:val="00CD54C4"/>
    <w:rsid w:val="00CD5560"/>
    <w:rsid w:val="00CD55D1"/>
    <w:rsid w:val="00CD55F8"/>
    <w:rsid w:val="00CD560D"/>
    <w:rsid w:val="00CD56C9"/>
    <w:rsid w:val="00CD56CB"/>
    <w:rsid w:val="00CD5710"/>
    <w:rsid w:val="00CD5890"/>
    <w:rsid w:val="00CD58F7"/>
    <w:rsid w:val="00CD5928"/>
    <w:rsid w:val="00CD5A73"/>
    <w:rsid w:val="00CD5A7C"/>
    <w:rsid w:val="00CD5A85"/>
    <w:rsid w:val="00CD5A92"/>
    <w:rsid w:val="00CD5C3E"/>
    <w:rsid w:val="00CD5C67"/>
    <w:rsid w:val="00CD5D2F"/>
    <w:rsid w:val="00CD5D4D"/>
    <w:rsid w:val="00CD5DA4"/>
    <w:rsid w:val="00CD5DFC"/>
    <w:rsid w:val="00CD5E9F"/>
    <w:rsid w:val="00CD6046"/>
    <w:rsid w:val="00CD6124"/>
    <w:rsid w:val="00CD613B"/>
    <w:rsid w:val="00CD617B"/>
    <w:rsid w:val="00CD621F"/>
    <w:rsid w:val="00CD640C"/>
    <w:rsid w:val="00CD6426"/>
    <w:rsid w:val="00CD664B"/>
    <w:rsid w:val="00CD6653"/>
    <w:rsid w:val="00CD66A7"/>
    <w:rsid w:val="00CD66DA"/>
    <w:rsid w:val="00CD67DF"/>
    <w:rsid w:val="00CD683D"/>
    <w:rsid w:val="00CD6847"/>
    <w:rsid w:val="00CD68D9"/>
    <w:rsid w:val="00CD68F4"/>
    <w:rsid w:val="00CD695D"/>
    <w:rsid w:val="00CD6A51"/>
    <w:rsid w:val="00CD6A5B"/>
    <w:rsid w:val="00CD6A6D"/>
    <w:rsid w:val="00CD6D0C"/>
    <w:rsid w:val="00CD6D0D"/>
    <w:rsid w:val="00CD6EBA"/>
    <w:rsid w:val="00CD6F4F"/>
    <w:rsid w:val="00CD6FDB"/>
    <w:rsid w:val="00CD7030"/>
    <w:rsid w:val="00CD7046"/>
    <w:rsid w:val="00CD72B2"/>
    <w:rsid w:val="00CD73EA"/>
    <w:rsid w:val="00CD753F"/>
    <w:rsid w:val="00CD757A"/>
    <w:rsid w:val="00CD75D6"/>
    <w:rsid w:val="00CD75D9"/>
    <w:rsid w:val="00CD76D9"/>
    <w:rsid w:val="00CD772E"/>
    <w:rsid w:val="00CD7A3D"/>
    <w:rsid w:val="00CD7A4B"/>
    <w:rsid w:val="00CD7A54"/>
    <w:rsid w:val="00CD7AF8"/>
    <w:rsid w:val="00CD7B41"/>
    <w:rsid w:val="00CD7C42"/>
    <w:rsid w:val="00CD7DB2"/>
    <w:rsid w:val="00CD7DC3"/>
    <w:rsid w:val="00CD7E10"/>
    <w:rsid w:val="00CD7E96"/>
    <w:rsid w:val="00CD7F0E"/>
    <w:rsid w:val="00CD7F47"/>
    <w:rsid w:val="00CE0048"/>
    <w:rsid w:val="00CE0068"/>
    <w:rsid w:val="00CE00A4"/>
    <w:rsid w:val="00CE0122"/>
    <w:rsid w:val="00CE0274"/>
    <w:rsid w:val="00CE0291"/>
    <w:rsid w:val="00CE02A6"/>
    <w:rsid w:val="00CE02F1"/>
    <w:rsid w:val="00CE032C"/>
    <w:rsid w:val="00CE040D"/>
    <w:rsid w:val="00CE046D"/>
    <w:rsid w:val="00CE0572"/>
    <w:rsid w:val="00CE05DD"/>
    <w:rsid w:val="00CE05EF"/>
    <w:rsid w:val="00CE0640"/>
    <w:rsid w:val="00CE0740"/>
    <w:rsid w:val="00CE076E"/>
    <w:rsid w:val="00CE0799"/>
    <w:rsid w:val="00CE07C1"/>
    <w:rsid w:val="00CE08A2"/>
    <w:rsid w:val="00CE08E8"/>
    <w:rsid w:val="00CE09A1"/>
    <w:rsid w:val="00CE0A0B"/>
    <w:rsid w:val="00CE0A31"/>
    <w:rsid w:val="00CE0B96"/>
    <w:rsid w:val="00CE0BC4"/>
    <w:rsid w:val="00CE0C83"/>
    <w:rsid w:val="00CE0CF1"/>
    <w:rsid w:val="00CE0D4D"/>
    <w:rsid w:val="00CE0D81"/>
    <w:rsid w:val="00CE0E33"/>
    <w:rsid w:val="00CE0EC6"/>
    <w:rsid w:val="00CE0FAC"/>
    <w:rsid w:val="00CE10ED"/>
    <w:rsid w:val="00CE1229"/>
    <w:rsid w:val="00CE1283"/>
    <w:rsid w:val="00CE1358"/>
    <w:rsid w:val="00CE14D0"/>
    <w:rsid w:val="00CE15CC"/>
    <w:rsid w:val="00CE15E1"/>
    <w:rsid w:val="00CE15EA"/>
    <w:rsid w:val="00CE1602"/>
    <w:rsid w:val="00CE1617"/>
    <w:rsid w:val="00CE16FE"/>
    <w:rsid w:val="00CE17AB"/>
    <w:rsid w:val="00CE17FB"/>
    <w:rsid w:val="00CE183B"/>
    <w:rsid w:val="00CE1AAF"/>
    <w:rsid w:val="00CE1AE1"/>
    <w:rsid w:val="00CE1C6B"/>
    <w:rsid w:val="00CE1D1C"/>
    <w:rsid w:val="00CE1D64"/>
    <w:rsid w:val="00CE1D72"/>
    <w:rsid w:val="00CE1DBB"/>
    <w:rsid w:val="00CE1FCF"/>
    <w:rsid w:val="00CE20A6"/>
    <w:rsid w:val="00CE2114"/>
    <w:rsid w:val="00CE216E"/>
    <w:rsid w:val="00CE21FB"/>
    <w:rsid w:val="00CE22FC"/>
    <w:rsid w:val="00CE2442"/>
    <w:rsid w:val="00CE24A8"/>
    <w:rsid w:val="00CE25C6"/>
    <w:rsid w:val="00CE278C"/>
    <w:rsid w:val="00CE2859"/>
    <w:rsid w:val="00CE28C0"/>
    <w:rsid w:val="00CE2969"/>
    <w:rsid w:val="00CE2A1C"/>
    <w:rsid w:val="00CE2A64"/>
    <w:rsid w:val="00CE2A75"/>
    <w:rsid w:val="00CE2A9A"/>
    <w:rsid w:val="00CE2ABA"/>
    <w:rsid w:val="00CE2B94"/>
    <w:rsid w:val="00CE2BAF"/>
    <w:rsid w:val="00CE2BD8"/>
    <w:rsid w:val="00CE2BED"/>
    <w:rsid w:val="00CE2C5A"/>
    <w:rsid w:val="00CE2C8A"/>
    <w:rsid w:val="00CE2DFB"/>
    <w:rsid w:val="00CE2F24"/>
    <w:rsid w:val="00CE3105"/>
    <w:rsid w:val="00CE3155"/>
    <w:rsid w:val="00CE3167"/>
    <w:rsid w:val="00CE31CA"/>
    <w:rsid w:val="00CE32FC"/>
    <w:rsid w:val="00CE33C2"/>
    <w:rsid w:val="00CE3470"/>
    <w:rsid w:val="00CE34F4"/>
    <w:rsid w:val="00CE3749"/>
    <w:rsid w:val="00CE3786"/>
    <w:rsid w:val="00CE3788"/>
    <w:rsid w:val="00CE3821"/>
    <w:rsid w:val="00CE38F4"/>
    <w:rsid w:val="00CE390B"/>
    <w:rsid w:val="00CE390D"/>
    <w:rsid w:val="00CE39E1"/>
    <w:rsid w:val="00CE3A1B"/>
    <w:rsid w:val="00CE3AE8"/>
    <w:rsid w:val="00CE3AEE"/>
    <w:rsid w:val="00CE3D6F"/>
    <w:rsid w:val="00CE3DC8"/>
    <w:rsid w:val="00CE3E40"/>
    <w:rsid w:val="00CE3E93"/>
    <w:rsid w:val="00CE4112"/>
    <w:rsid w:val="00CE41CE"/>
    <w:rsid w:val="00CE426B"/>
    <w:rsid w:val="00CE4368"/>
    <w:rsid w:val="00CE442C"/>
    <w:rsid w:val="00CE448A"/>
    <w:rsid w:val="00CE4519"/>
    <w:rsid w:val="00CE4655"/>
    <w:rsid w:val="00CE4792"/>
    <w:rsid w:val="00CE47B9"/>
    <w:rsid w:val="00CE47BE"/>
    <w:rsid w:val="00CE4809"/>
    <w:rsid w:val="00CE4844"/>
    <w:rsid w:val="00CE4920"/>
    <w:rsid w:val="00CE49CC"/>
    <w:rsid w:val="00CE49D0"/>
    <w:rsid w:val="00CE4A34"/>
    <w:rsid w:val="00CE4A4A"/>
    <w:rsid w:val="00CE4AEB"/>
    <w:rsid w:val="00CE4AFC"/>
    <w:rsid w:val="00CE4B40"/>
    <w:rsid w:val="00CE4C47"/>
    <w:rsid w:val="00CE4CC2"/>
    <w:rsid w:val="00CE4DE5"/>
    <w:rsid w:val="00CE4E87"/>
    <w:rsid w:val="00CE4E92"/>
    <w:rsid w:val="00CE4F14"/>
    <w:rsid w:val="00CE50CD"/>
    <w:rsid w:val="00CE50E3"/>
    <w:rsid w:val="00CE5133"/>
    <w:rsid w:val="00CE5139"/>
    <w:rsid w:val="00CE515D"/>
    <w:rsid w:val="00CE531F"/>
    <w:rsid w:val="00CE5361"/>
    <w:rsid w:val="00CE566E"/>
    <w:rsid w:val="00CE57F8"/>
    <w:rsid w:val="00CE583F"/>
    <w:rsid w:val="00CE5BFA"/>
    <w:rsid w:val="00CE5C3C"/>
    <w:rsid w:val="00CE5C56"/>
    <w:rsid w:val="00CE5DA6"/>
    <w:rsid w:val="00CE5E7F"/>
    <w:rsid w:val="00CE5FB9"/>
    <w:rsid w:val="00CE6011"/>
    <w:rsid w:val="00CE6027"/>
    <w:rsid w:val="00CE6191"/>
    <w:rsid w:val="00CE61DE"/>
    <w:rsid w:val="00CE627A"/>
    <w:rsid w:val="00CE6395"/>
    <w:rsid w:val="00CE6398"/>
    <w:rsid w:val="00CE6403"/>
    <w:rsid w:val="00CE6464"/>
    <w:rsid w:val="00CE64CC"/>
    <w:rsid w:val="00CE6501"/>
    <w:rsid w:val="00CE65AD"/>
    <w:rsid w:val="00CE6657"/>
    <w:rsid w:val="00CE668B"/>
    <w:rsid w:val="00CE6715"/>
    <w:rsid w:val="00CE67E6"/>
    <w:rsid w:val="00CE6812"/>
    <w:rsid w:val="00CE681B"/>
    <w:rsid w:val="00CE6992"/>
    <w:rsid w:val="00CE6A6E"/>
    <w:rsid w:val="00CE6D11"/>
    <w:rsid w:val="00CE6DA3"/>
    <w:rsid w:val="00CE6EA5"/>
    <w:rsid w:val="00CE6FAF"/>
    <w:rsid w:val="00CE70C8"/>
    <w:rsid w:val="00CE710A"/>
    <w:rsid w:val="00CE718A"/>
    <w:rsid w:val="00CE719F"/>
    <w:rsid w:val="00CE71A2"/>
    <w:rsid w:val="00CE7231"/>
    <w:rsid w:val="00CE72B9"/>
    <w:rsid w:val="00CE73AA"/>
    <w:rsid w:val="00CE73B3"/>
    <w:rsid w:val="00CE74A9"/>
    <w:rsid w:val="00CE761F"/>
    <w:rsid w:val="00CE768D"/>
    <w:rsid w:val="00CE76DB"/>
    <w:rsid w:val="00CE77AC"/>
    <w:rsid w:val="00CE782A"/>
    <w:rsid w:val="00CE7840"/>
    <w:rsid w:val="00CE7886"/>
    <w:rsid w:val="00CE78B5"/>
    <w:rsid w:val="00CE78E4"/>
    <w:rsid w:val="00CE796E"/>
    <w:rsid w:val="00CE79F0"/>
    <w:rsid w:val="00CE7B7C"/>
    <w:rsid w:val="00CE7C29"/>
    <w:rsid w:val="00CE7DDF"/>
    <w:rsid w:val="00CE7E11"/>
    <w:rsid w:val="00CE7E9C"/>
    <w:rsid w:val="00CE7F06"/>
    <w:rsid w:val="00CE7FA1"/>
    <w:rsid w:val="00CE7FFA"/>
    <w:rsid w:val="00CF02FF"/>
    <w:rsid w:val="00CF033D"/>
    <w:rsid w:val="00CF05B6"/>
    <w:rsid w:val="00CF05FB"/>
    <w:rsid w:val="00CF0602"/>
    <w:rsid w:val="00CF0747"/>
    <w:rsid w:val="00CF0783"/>
    <w:rsid w:val="00CF0797"/>
    <w:rsid w:val="00CF0825"/>
    <w:rsid w:val="00CF092D"/>
    <w:rsid w:val="00CF0942"/>
    <w:rsid w:val="00CF095E"/>
    <w:rsid w:val="00CF0A63"/>
    <w:rsid w:val="00CF0B09"/>
    <w:rsid w:val="00CF0B23"/>
    <w:rsid w:val="00CF0F68"/>
    <w:rsid w:val="00CF1017"/>
    <w:rsid w:val="00CF1074"/>
    <w:rsid w:val="00CF11D4"/>
    <w:rsid w:val="00CF123A"/>
    <w:rsid w:val="00CF1247"/>
    <w:rsid w:val="00CF133F"/>
    <w:rsid w:val="00CF13F7"/>
    <w:rsid w:val="00CF145A"/>
    <w:rsid w:val="00CF15ED"/>
    <w:rsid w:val="00CF16DA"/>
    <w:rsid w:val="00CF1781"/>
    <w:rsid w:val="00CF1863"/>
    <w:rsid w:val="00CF19F1"/>
    <w:rsid w:val="00CF1A00"/>
    <w:rsid w:val="00CF1A18"/>
    <w:rsid w:val="00CF1AA2"/>
    <w:rsid w:val="00CF1AD3"/>
    <w:rsid w:val="00CF1AFF"/>
    <w:rsid w:val="00CF1B19"/>
    <w:rsid w:val="00CF1BF5"/>
    <w:rsid w:val="00CF1C10"/>
    <w:rsid w:val="00CF1C37"/>
    <w:rsid w:val="00CF1C3C"/>
    <w:rsid w:val="00CF1C4B"/>
    <w:rsid w:val="00CF1D3B"/>
    <w:rsid w:val="00CF1DB9"/>
    <w:rsid w:val="00CF1E4F"/>
    <w:rsid w:val="00CF1EAC"/>
    <w:rsid w:val="00CF1EC4"/>
    <w:rsid w:val="00CF1EE6"/>
    <w:rsid w:val="00CF1F1A"/>
    <w:rsid w:val="00CF1F5F"/>
    <w:rsid w:val="00CF1FAF"/>
    <w:rsid w:val="00CF1FBC"/>
    <w:rsid w:val="00CF2056"/>
    <w:rsid w:val="00CF20B3"/>
    <w:rsid w:val="00CF2128"/>
    <w:rsid w:val="00CF2143"/>
    <w:rsid w:val="00CF229E"/>
    <w:rsid w:val="00CF22E2"/>
    <w:rsid w:val="00CF2303"/>
    <w:rsid w:val="00CF23C1"/>
    <w:rsid w:val="00CF2428"/>
    <w:rsid w:val="00CF2438"/>
    <w:rsid w:val="00CF245E"/>
    <w:rsid w:val="00CF24DA"/>
    <w:rsid w:val="00CF2592"/>
    <w:rsid w:val="00CF25EE"/>
    <w:rsid w:val="00CF2655"/>
    <w:rsid w:val="00CF2661"/>
    <w:rsid w:val="00CF26E4"/>
    <w:rsid w:val="00CF26EB"/>
    <w:rsid w:val="00CF26F6"/>
    <w:rsid w:val="00CF26FC"/>
    <w:rsid w:val="00CF26FE"/>
    <w:rsid w:val="00CF277C"/>
    <w:rsid w:val="00CF27C4"/>
    <w:rsid w:val="00CF2948"/>
    <w:rsid w:val="00CF2982"/>
    <w:rsid w:val="00CF29CA"/>
    <w:rsid w:val="00CF2AD4"/>
    <w:rsid w:val="00CF2B2D"/>
    <w:rsid w:val="00CF2B50"/>
    <w:rsid w:val="00CF2BC6"/>
    <w:rsid w:val="00CF2BF4"/>
    <w:rsid w:val="00CF2D79"/>
    <w:rsid w:val="00CF2D7A"/>
    <w:rsid w:val="00CF2D85"/>
    <w:rsid w:val="00CF2E17"/>
    <w:rsid w:val="00CF2E25"/>
    <w:rsid w:val="00CF2E4E"/>
    <w:rsid w:val="00CF2E61"/>
    <w:rsid w:val="00CF2F26"/>
    <w:rsid w:val="00CF2F27"/>
    <w:rsid w:val="00CF2F29"/>
    <w:rsid w:val="00CF2F38"/>
    <w:rsid w:val="00CF2F72"/>
    <w:rsid w:val="00CF2FFE"/>
    <w:rsid w:val="00CF3036"/>
    <w:rsid w:val="00CF3156"/>
    <w:rsid w:val="00CF3160"/>
    <w:rsid w:val="00CF31D6"/>
    <w:rsid w:val="00CF31E3"/>
    <w:rsid w:val="00CF33B3"/>
    <w:rsid w:val="00CF33FE"/>
    <w:rsid w:val="00CF344D"/>
    <w:rsid w:val="00CF34F1"/>
    <w:rsid w:val="00CF352A"/>
    <w:rsid w:val="00CF3555"/>
    <w:rsid w:val="00CF3741"/>
    <w:rsid w:val="00CF37EB"/>
    <w:rsid w:val="00CF38B5"/>
    <w:rsid w:val="00CF38B8"/>
    <w:rsid w:val="00CF38ED"/>
    <w:rsid w:val="00CF391C"/>
    <w:rsid w:val="00CF399B"/>
    <w:rsid w:val="00CF3A1D"/>
    <w:rsid w:val="00CF3A27"/>
    <w:rsid w:val="00CF3AA6"/>
    <w:rsid w:val="00CF3B15"/>
    <w:rsid w:val="00CF3B3C"/>
    <w:rsid w:val="00CF3B79"/>
    <w:rsid w:val="00CF3C1B"/>
    <w:rsid w:val="00CF3C8D"/>
    <w:rsid w:val="00CF3D1A"/>
    <w:rsid w:val="00CF3D80"/>
    <w:rsid w:val="00CF3DAF"/>
    <w:rsid w:val="00CF3E07"/>
    <w:rsid w:val="00CF3E1E"/>
    <w:rsid w:val="00CF3EA1"/>
    <w:rsid w:val="00CF3EE6"/>
    <w:rsid w:val="00CF3F80"/>
    <w:rsid w:val="00CF3FA9"/>
    <w:rsid w:val="00CF3FB8"/>
    <w:rsid w:val="00CF405E"/>
    <w:rsid w:val="00CF4173"/>
    <w:rsid w:val="00CF4312"/>
    <w:rsid w:val="00CF433E"/>
    <w:rsid w:val="00CF4427"/>
    <w:rsid w:val="00CF452A"/>
    <w:rsid w:val="00CF455D"/>
    <w:rsid w:val="00CF45ED"/>
    <w:rsid w:val="00CF4610"/>
    <w:rsid w:val="00CF46BD"/>
    <w:rsid w:val="00CF4753"/>
    <w:rsid w:val="00CF4903"/>
    <w:rsid w:val="00CF4B85"/>
    <w:rsid w:val="00CF4C3F"/>
    <w:rsid w:val="00CF4C6B"/>
    <w:rsid w:val="00CF4CAD"/>
    <w:rsid w:val="00CF4D7F"/>
    <w:rsid w:val="00CF4D8A"/>
    <w:rsid w:val="00CF4DA6"/>
    <w:rsid w:val="00CF4FA3"/>
    <w:rsid w:val="00CF518B"/>
    <w:rsid w:val="00CF5226"/>
    <w:rsid w:val="00CF52BC"/>
    <w:rsid w:val="00CF5385"/>
    <w:rsid w:val="00CF5601"/>
    <w:rsid w:val="00CF56D7"/>
    <w:rsid w:val="00CF5704"/>
    <w:rsid w:val="00CF5706"/>
    <w:rsid w:val="00CF5775"/>
    <w:rsid w:val="00CF5931"/>
    <w:rsid w:val="00CF59E7"/>
    <w:rsid w:val="00CF5B6F"/>
    <w:rsid w:val="00CF5BBF"/>
    <w:rsid w:val="00CF5C03"/>
    <w:rsid w:val="00CF5C4D"/>
    <w:rsid w:val="00CF5CA1"/>
    <w:rsid w:val="00CF5D5D"/>
    <w:rsid w:val="00CF5D7F"/>
    <w:rsid w:val="00CF5DBF"/>
    <w:rsid w:val="00CF5EB4"/>
    <w:rsid w:val="00CF5F1A"/>
    <w:rsid w:val="00CF5FCD"/>
    <w:rsid w:val="00CF6083"/>
    <w:rsid w:val="00CF622E"/>
    <w:rsid w:val="00CF630F"/>
    <w:rsid w:val="00CF65C7"/>
    <w:rsid w:val="00CF6658"/>
    <w:rsid w:val="00CF674C"/>
    <w:rsid w:val="00CF67F5"/>
    <w:rsid w:val="00CF6852"/>
    <w:rsid w:val="00CF68F8"/>
    <w:rsid w:val="00CF6928"/>
    <w:rsid w:val="00CF6A53"/>
    <w:rsid w:val="00CF6AFC"/>
    <w:rsid w:val="00CF6B6C"/>
    <w:rsid w:val="00CF6BD8"/>
    <w:rsid w:val="00CF6C19"/>
    <w:rsid w:val="00CF6C42"/>
    <w:rsid w:val="00CF6E40"/>
    <w:rsid w:val="00CF6E97"/>
    <w:rsid w:val="00CF6EBB"/>
    <w:rsid w:val="00CF6EDA"/>
    <w:rsid w:val="00CF6FB3"/>
    <w:rsid w:val="00CF6FC4"/>
    <w:rsid w:val="00CF7157"/>
    <w:rsid w:val="00CF721A"/>
    <w:rsid w:val="00CF721D"/>
    <w:rsid w:val="00CF72D7"/>
    <w:rsid w:val="00CF72F1"/>
    <w:rsid w:val="00CF7319"/>
    <w:rsid w:val="00CF7342"/>
    <w:rsid w:val="00CF7346"/>
    <w:rsid w:val="00CF7368"/>
    <w:rsid w:val="00CF742C"/>
    <w:rsid w:val="00CF7544"/>
    <w:rsid w:val="00CF7617"/>
    <w:rsid w:val="00CF7666"/>
    <w:rsid w:val="00CF770E"/>
    <w:rsid w:val="00CF77E7"/>
    <w:rsid w:val="00CF7857"/>
    <w:rsid w:val="00CF79C0"/>
    <w:rsid w:val="00CF79FF"/>
    <w:rsid w:val="00CF7A0A"/>
    <w:rsid w:val="00CF7AA5"/>
    <w:rsid w:val="00CF7B9E"/>
    <w:rsid w:val="00CF7E1F"/>
    <w:rsid w:val="00D00081"/>
    <w:rsid w:val="00D000BE"/>
    <w:rsid w:val="00D00116"/>
    <w:rsid w:val="00D00120"/>
    <w:rsid w:val="00D00274"/>
    <w:rsid w:val="00D002BC"/>
    <w:rsid w:val="00D002EB"/>
    <w:rsid w:val="00D00372"/>
    <w:rsid w:val="00D0038C"/>
    <w:rsid w:val="00D00397"/>
    <w:rsid w:val="00D003D0"/>
    <w:rsid w:val="00D003F8"/>
    <w:rsid w:val="00D003F9"/>
    <w:rsid w:val="00D00468"/>
    <w:rsid w:val="00D00474"/>
    <w:rsid w:val="00D00580"/>
    <w:rsid w:val="00D005B8"/>
    <w:rsid w:val="00D006FB"/>
    <w:rsid w:val="00D007D7"/>
    <w:rsid w:val="00D00802"/>
    <w:rsid w:val="00D00873"/>
    <w:rsid w:val="00D00876"/>
    <w:rsid w:val="00D00929"/>
    <w:rsid w:val="00D0094F"/>
    <w:rsid w:val="00D00953"/>
    <w:rsid w:val="00D009E9"/>
    <w:rsid w:val="00D009ED"/>
    <w:rsid w:val="00D00A65"/>
    <w:rsid w:val="00D00B08"/>
    <w:rsid w:val="00D00C6F"/>
    <w:rsid w:val="00D00CDC"/>
    <w:rsid w:val="00D00D31"/>
    <w:rsid w:val="00D00DCD"/>
    <w:rsid w:val="00D00EC5"/>
    <w:rsid w:val="00D00ED7"/>
    <w:rsid w:val="00D00EE7"/>
    <w:rsid w:val="00D00F38"/>
    <w:rsid w:val="00D00F39"/>
    <w:rsid w:val="00D01138"/>
    <w:rsid w:val="00D0114A"/>
    <w:rsid w:val="00D0125F"/>
    <w:rsid w:val="00D01272"/>
    <w:rsid w:val="00D012C4"/>
    <w:rsid w:val="00D013B9"/>
    <w:rsid w:val="00D0149B"/>
    <w:rsid w:val="00D01516"/>
    <w:rsid w:val="00D01655"/>
    <w:rsid w:val="00D01687"/>
    <w:rsid w:val="00D0168E"/>
    <w:rsid w:val="00D0170A"/>
    <w:rsid w:val="00D01751"/>
    <w:rsid w:val="00D01759"/>
    <w:rsid w:val="00D01783"/>
    <w:rsid w:val="00D017FF"/>
    <w:rsid w:val="00D01827"/>
    <w:rsid w:val="00D018B9"/>
    <w:rsid w:val="00D018D6"/>
    <w:rsid w:val="00D01994"/>
    <w:rsid w:val="00D01A56"/>
    <w:rsid w:val="00D01BBE"/>
    <w:rsid w:val="00D01BFE"/>
    <w:rsid w:val="00D01C11"/>
    <w:rsid w:val="00D01C18"/>
    <w:rsid w:val="00D01D41"/>
    <w:rsid w:val="00D01E29"/>
    <w:rsid w:val="00D01E61"/>
    <w:rsid w:val="00D01F08"/>
    <w:rsid w:val="00D01F76"/>
    <w:rsid w:val="00D01FFC"/>
    <w:rsid w:val="00D02299"/>
    <w:rsid w:val="00D023B6"/>
    <w:rsid w:val="00D02406"/>
    <w:rsid w:val="00D0249B"/>
    <w:rsid w:val="00D0256F"/>
    <w:rsid w:val="00D025D3"/>
    <w:rsid w:val="00D025E8"/>
    <w:rsid w:val="00D026CB"/>
    <w:rsid w:val="00D026E3"/>
    <w:rsid w:val="00D0271B"/>
    <w:rsid w:val="00D02884"/>
    <w:rsid w:val="00D028E7"/>
    <w:rsid w:val="00D029EA"/>
    <w:rsid w:val="00D02B65"/>
    <w:rsid w:val="00D02B70"/>
    <w:rsid w:val="00D02C58"/>
    <w:rsid w:val="00D02CBB"/>
    <w:rsid w:val="00D02CCB"/>
    <w:rsid w:val="00D02D8B"/>
    <w:rsid w:val="00D02F42"/>
    <w:rsid w:val="00D03029"/>
    <w:rsid w:val="00D03077"/>
    <w:rsid w:val="00D030D0"/>
    <w:rsid w:val="00D030DD"/>
    <w:rsid w:val="00D03145"/>
    <w:rsid w:val="00D0323E"/>
    <w:rsid w:val="00D03381"/>
    <w:rsid w:val="00D03396"/>
    <w:rsid w:val="00D03397"/>
    <w:rsid w:val="00D03456"/>
    <w:rsid w:val="00D034DB"/>
    <w:rsid w:val="00D03516"/>
    <w:rsid w:val="00D03553"/>
    <w:rsid w:val="00D03660"/>
    <w:rsid w:val="00D0375E"/>
    <w:rsid w:val="00D03791"/>
    <w:rsid w:val="00D03A8F"/>
    <w:rsid w:val="00D03BB6"/>
    <w:rsid w:val="00D03C55"/>
    <w:rsid w:val="00D03C65"/>
    <w:rsid w:val="00D03CB3"/>
    <w:rsid w:val="00D03CB7"/>
    <w:rsid w:val="00D03D0C"/>
    <w:rsid w:val="00D03DA4"/>
    <w:rsid w:val="00D03DDE"/>
    <w:rsid w:val="00D03DFE"/>
    <w:rsid w:val="00D03E03"/>
    <w:rsid w:val="00D03FF1"/>
    <w:rsid w:val="00D03FFB"/>
    <w:rsid w:val="00D041DE"/>
    <w:rsid w:val="00D042AF"/>
    <w:rsid w:val="00D04316"/>
    <w:rsid w:val="00D04385"/>
    <w:rsid w:val="00D043CA"/>
    <w:rsid w:val="00D04499"/>
    <w:rsid w:val="00D044E7"/>
    <w:rsid w:val="00D04535"/>
    <w:rsid w:val="00D04813"/>
    <w:rsid w:val="00D0493D"/>
    <w:rsid w:val="00D04B0B"/>
    <w:rsid w:val="00D04C7F"/>
    <w:rsid w:val="00D04E03"/>
    <w:rsid w:val="00D04F19"/>
    <w:rsid w:val="00D04FFD"/>
    <w:rsid w:val="00D0506D"/>
    <w:rsid w:val="00D05071"/>
    <w:rsid w:val="00D05090"/>
    <w:rsid w:val="00D051A9"/>
    <w:rsid w:val="00D051E1"/>
    <w:rsid w:val="00D052F4"/>
    <w:rsid w:val="00D05300"/>
    <w:rsid w:val="00D05406"/>
    <w:rsid w:val="00D0541C"/>
    <w:rsid w:val="00D0543B"/>
    <w:rsid w:val="00D05576"/>
    <w:rsid w:val="00D0558D"/>
    <w:rsid w:val="00D05681"/>
    <w:rsid w:val="00D056B0"/>
    <w:rsid w:val="00D056C4"/>
    <w:rsid w:val="00D05739"/>
    <w:rsid w:val="00D05753"/>
    <w:rsid w:val="00D057B4"/>
    <w:rsid w:val="00D05838"/>
    <w:rsid w:val="00D0585A"/>
    <w:rsid w:val="00D058B6"/>
    <w:rsid w:val="00D05AAB"/>
    <w:rsid w:val="00D05ADE"/>
    <w:rsid w:val="00D05AE6"/>
    <w:rsid w:val="00D05B33"/>
    <w:rsid w:val="00D05CFC"/>
    <w:rsid w:val="00D05E2B"/>
    <w:rsid w:val="00D05E36"/>
    <w:rsid w:val="00D05FD0"/>
    <w:rsid w:val="00D05FD5"/>
    <w:rsid w:val="00D06100"/>
    <w:rsid w:val="00D061C1"/>
    <w:rsid w:val="00D061F5"/>
    <w:rsid w:val="00D0622A"/>
    <w:rsid w:val="00D06291"/>
    <w:rsid w:val="00D0643C"/>
    <w:rsid w:val="00D06547"/>
    <w:rsid w:val="00D0656B"/>
    <w:rsid w:val="00D06584"/>
    <w:rsid w:val="00D06597"/>
    <w:rsid w:val="00D066DE"/>
    <w:rsid w:val="00D0678D"/>
    <w:rsid w:val="00D06952"/>
    <w:rsid w:val="00D06962"/>
    <w:rsid w:val="00D06A9B"/>
    <w:rsid w:val="00D06B2E"/>
    <w:rsid w:val="00D06B7A"/>
    <w:rsid w:val="00D06B7F"/>
    <w:rsid w:val="00D06BFD"/>
    <w:rsid w:val="00D06C53"/>
    <w:rsid w:val="00D06C57"/>
    <w:rsid w:val="00D06C6B"/>
    <w:rsid w:val="00D06CA5"/>
    <w:rsid w:val="00D06DB7"/>
    <w:rsid w:val="00D06EB8"/>
    <w:rsid w:val="00D0703C"/>
    <w:rsid w:val="00D07052"/>
    <w:rsid w:val="00D070D6"/>
    <w:rsid w:val="00D071E6"/>
    <w:rsid w:val="00D071E9"/>
    <w:rsid w:val="00D07212"/>
    <w:rsid w:val="00D07273"/>
    <w:rsid w:val="00D072BE"/>
    <w:rsid w:val="00D07344"/>
    <w:rsid w:val="00D07367"/>
    <w:rsid w:val="00D074F7"/>
    <w:rsid w:val="00D07709"/>
    <w:rsid w:val="00D07744"/>
    <w:rsid w:val="00D07774"/>
    <w:rsid w:val="00D077DE"/>
    <w:rsid w:val="00D07904"/>
    <w:rsid w:val="00D07A29"/>
    <w:rsid w:val="00D07BEF"/>
    <w:rsid w:val="00D07CE9"/>
    <w:rsid w:val="00D07D12"/>
    <w:rsid w:val="00D07D7F"/>
    <w:rsid w:val="00D07E05"/>
    <w:rsid w:val="00D10055"/>
    <w:rsid w:val="00D1023D"/>
    <w:rsid w:val="00D10257"/>
    <w:rsid w:val="00D10271"/>
    <w:rsid w:val="00D1041C"/>
    <w:rsid w:val="00D1046B"/>
    <w:rsid w:val="00D1048D"/>
    <w:rsid w:val="00D1053C"/>
    <w:rsid w:val="00D105B1"/>
    <w:rsid w:val="00D10614"/>
    <w:rsid w:val="00D106A0"/>
    <w:rsid w:val="00D10761"/>
    <w:rsid w:val="00D10871"/>
    <w:rsid w:val="00D1087C"/>
    <w:rsid w:val="00D10956"/>
    <w:rsid w:val="00D109D2"/>
    <w:rsid w:val="00D10A36"/>
    <w:rsid w:val="00D10AC2"/>
    <w:rsid w:val="00D10B45"/>
    <w:rsid w:val="00D10B49"/>
    <w:rsid w:val="00D10B79"/>
    <w:rsid w:val="00D10BA5"/>
    <w:rsid w:val="00D10BA7"/>
    <w:rsid w:val="00D10CEA"/>
    <w:rsid w:val="00D10DC1"/>
    <w:rsid w:val="00D10DF8"/>
    <w:rsid w:val="00D10E1C"/>
    <w:rsid w:val="00D11038"/>
    <w:rsid w:val="00D1106C"/>
    <w:rsid w:val="00D11241"/>
    <w:rsid w:val="00D1134D"/>
    <w:rsid w:val="00D11498"/>
    <w:rsid w:val="00D115A8"/>
    <w:rsid w:val="00D11644"/>
    <w:rsid w:val="00D11862"/>
    <w:rsid w:val="00D119F2"/>
    <w:rsid w:val="00D11A31"/>
    <w:rsid w:val="00D11A38"/>
    <w:rsid w:val="00D11A72"/>
    <w:rsid w:val="00D11B28"/>
    <w:rsid w:val="00D11B56"/>
    <w:rsid w:val="00D11C7E"/>
    <w:rsid w:val="00D11D38"/>
    <w:rsid w:val="00D11E0A"/>
    <w:rsid w:val="00D11EAF"/>
    <w:rsid w:val="00D11F21"/>
    <w:rsid w:val="00D11F2B"/>
    <w:rsid w:val="00D11F6C"/>
    <w:rsid w:val="00D12162"/>
    <w:rsid w:val="00D1222F"/>
    <w:rsid w:val="00D1229F"/>
    <w:rsid w:val="00D1236A"/>
    <w:rsid w:val="00D124E0"/>
    <w:rsid w:val="00D1252F"/>
    <w:rsid w:val="00D12600"/>
    <w:rsid w:val="00D1278B"/>
    <w:rsid w:val="00D127F5"/>
    <w:rsid w:val="00D128EE"/>
    <w:rsid w:val="00D12A69"/>
    <w:rsid w:val="00D12AAB"/>
    <w:rsid w:val="00D12CDE"/>
    <w:rsid w:val="00D12D72"/>
    <w:rsid w:val="00D12DA6"/>
    <w:rsid w:val="00D12E47"/>
    <w:rsid w:val="00D12E88"/>
    <w:rsid w:val="00D12E9D"/>
    <w:rsid w:val="00D12F61"/>
    <w:rsid w:val="00D12F8D"/>
    <w:rsid w:val="00D13067"/>
    <w:rsid w:val="00D132D5"/>
    <w:rsid w:val="00D133EA"/>
    <w:rsid w:val="00D1361C"/>
    <w:rsid w:val="00D13647"/>
    <w:rsid w:val="00D1365C"/>
    <w:rsid w:val="00D136DB"/>
    <w:rsid w:val="00D137EB"/>
    <w:rsid w:val="00D1382B"/>
    <w:rsid w:val="00D138E8"/>
    <w:rsid w:val="00D13927"/>
    <w:rsid w:val="00D1392D"/>
    <w:rsid w:val="00D13949"/>
    <w:rsid w:val="00D13AB3"/>
    <w:rsid w:val="00D13B56"/>
    <w:rsid w:val="00D13D87"/>
    <w:rsid w:val="00D13DEE"/>
    <w:rsid w:val="00D13EC4"/>
    <w:rsid w:val="00D140A2"/>
    <w:rsid w:val="00D14134"/>
    <w:rsid w:val="00D141C1"/>
    <w:rsid w:val="00D141F8"/>
    <w:rsid w:val="00D14221"/>
    <w:rsid w:val="00D142BA"/>
    <w:rsid w:val="00D1441F"/>
    <w:rsid w:val="00D1450D"/>
    <w:rsid w:val="00D1453B"/>
    <w:rsid w:val="00D14778"/>
    <w:rsid w:val="00D14793"/>
    <w:rsid w:val="00D147D7"/>
    <w:rsid w:val="00D14851"/>
    <w:rsid w:val="00D14989"/>
    <w:rsid w:val="00D14A03"/>
    <w:rsid w:val="00D14AF3"/>
    <w:rsid w:val="00D14B06"/>
    <w:rsid w:val="00D14BCC"/>
    <w:rsid w:val="00D14C24"/>
    <w:rsid w:val="00D14C80"/>
    <w:rsid w:val="00D14C89"/>
    <w:rsid w:val="00D14CB1"/>
    <w:rsid w:val="00D14D2A"/>
    <w:rsid w:val="00D14E5C"/>
    <w:rsid w:val="00D14EA8"/>
    <w:rsid w:val="00D14F5B"/>
    <w:rsid w:val="00D15072"/>
    <w:rsid w:val="00D15164"/>
    <w:rsid w:val="00D1526F"/>
    <w:rsid w:val="00D1539B"/>
    <w:rsid w:val="00D154BD"/>
    <w:rsid w:val="00D154E3"/>
    <w:rsid w:val="00D154E5"/>
    <w:rsid w:val="00D15528"/>
    <w:rsid w:val="00D155FA"/>
    <w:rsid w:val="00D1567B"/>
    <w:rsid w:val="00D1568E"/>
    <w:rsid w:val="00D156BB"/>
    <w:rsid w:val="00D15763"/>
    <w:rsid w:val="00D15817"/>
    <w:rsid w:val="00D158A0"/>
    <w:rsid w:val="00D159E7"/>
    <w:rsid w:val="00D15AB3"/>
    <w:rsid w:val="00D15B5F"/>
    <w:rsid w:val="00D15C04"/>
    <w:rsid w:val="00D15C1C"/>
    <w:rsid w:val="00D15D88"/>
    <w:rsid w:val="00D15DD6"/>
    <w:rsid w:val="00D15DEB"/>
    <w:rsid w:val="00D15E64"/>
    <w:rsid w:val="00D15E9F"/>
    <w:rsid w:val="00D15F22"/>
    <w:rsid w:val="00D15FD4"/>
    <w:rsid w:val="00D16237"/>
    <w:rsid w:val="00D16354"/>
    <w:rsid w:val="00D163BC"/>
    <w:rsid w:val="00D1642E"/>
    <w:rsid w:val="00D1644A"/>
    <w:rsid w:val="00D164FD"/>
    <w:rsid w:val="00D1651B"/>
    <w:rsid w:val="00D1653C"/>
    <w:rsid w:val="00D166CE"/>
    <w:rsid w:val="00D166F0"/>
    <w:rsid w:val="00D1673A"/>
    <w:rsid w:val="00D16942"/>
    <w:rsid w:val="00D16A2B"/>
    <w:rsid w:val="00D16A54"/>
    <w:rsid w:val="00D16AF0"/>
    <w:rsid w:val="00D16B9E"/>
    <w:rsid w:val="00D16BCA"/>
    <w:rsid w:val="00D16C3E"/>
    <w:rsid w:val="00D16CE5"/>
    <w:rsid w:val="00D16E1F"/>
    <w:rsid w:val="00D16E43"/>
    <w:rsid w:val="00D16E98"/>
    <w:rsid w:val="00D16F37"/>
    <w:rsid w:val="00D16F86"/>
    <w:rsid w:val="00D1702F"/>
    <w:rsid w:val="00D1705E"/>
    <w:rsid w:val="00D17082"/>
    <w:rsid w:val="00D170B7"/>
    <w:rsid w:val="00D170BC"/>
    <w:rsid w:val="00D171C7"/>
    <w:rsid w:val="00D17308"/>
    <w:rsid w:val="00D1733D"/>
    <w:rsid w:val="00D1738B"/>
    <w:rsid w:val="00D173F5"/>
    <w:rsid w:val="00D1745C"/>
    <w:rsid w:val="00D175B2"/>
    <w:rsid w:val="00D175BC"/>
    <w:rsid w:val="00D175BF"/>
    <w:rsid w:val="00D176A7"/>
    <w:rsid w:val="00D176DC"/>
    <w:rsid w:val="00D1778E"/>
    <w:rsid w:val="00D177E0"/>
    <w:rsid w:val="00D1789E"/>
    <w:rsid w:val="00D178BB"/>
    <w:rsid w:val="00D178E4"/>
    <w:rsid w:val="00D17981"/>
    <w:rsid w:val="00D17A4F"/>
    <w:rsid w:val="00D17A70"/>
    <w:rsid w:val="00D17D45"/>
    <w:rsid w:val="00D17DBD"/>
    <w:rsid w:val="00D17DDD"/>
    <w:rsid w:val="00D17E61"/>
    <w:rsid w:val="00D17EBC"/>
    <w:rsid w:val="00D17EF8"/>
    <w:rsid w:val="00D17EFF"/>
    <w:rsid w:val="00D17F0E"/>
    <w:rsid w:val="00D17F92"/>
    <w:rsid w:val="00D17FAC"/>
    <w:rsid w:val="00D20059"/>
    <w:rsid w:val="00D20145"/>
    <w:rsid w:val="00D20181"/>
    <w:rsid w:val="00D201C6"/>
    <w:rsid w:val="00D20230"/>
    <w:rsid w:val="00D2041F"/>
    <w:rsid w:val="00D20432"/>
    <w:rsid w:val="00D2044E"/>
    <w:rsid w:val="00D20528"/>
    <w:rsid w:val="00D205A7"/>
    <w:rsid w:val="00D2079C"/>
    <w:rsid w:val="00D2083A"/>
    <w:rsid w:val="00D20844"/>
    <w:rsid w:val="00D20916"/>
    <w:rsid w:val="00D209B7"/>
    <w:rsid w:val="00D20A85"/>
    <w:rsid w:val="00D20AEE"/>
    <w:rsid w:val="00D20B23"/>
    <w:rsid w:val="00D20B50"/>
    <w:rsid w:val="00D20B52"/>
    <w:rsid w:val="00D20D06"/>
    <w:rsid w:val="00D20DA7"/>
    <w:rsid w:val="00D20DAC"/>
    <w:rsid w:val="00D20DBA"/>
    <w:rsid w:val="00D20E0B"/>
    <w:rsid w:val="00D20E51"/>
    <w:rsid w:val="00D20EE1"/>
    <w:rsid w:val="00D20F85"/>
    <w:rsid w:val="00D20FF1"/>
    <w:rsid w:val="00D21073"/>
    <w:rsid w:val="00D21218"/>
    <w:rsid w:val="00D21313"/>
    <w:rsid w:val="00D2136A"/>
    <w:rsid w:val="00D213E4"/>
    <w:rsid w:val="00D213F0"/>
    <w:rsid w:val="00D21513"/>
    <w:rsid w:val="00D2155A"/>
    <w:rsid w:val="00D215CE"/>
    <w:rsid w:val="00D2167A"/>
    <w:rsid w:val="00D21838"/>
    <w:rsid w:val="00D2192A"/>
    <w:rsid w:val="00D21931"/>
    <w:rsid w:val="00D21B0C"/>
    <w:rsid w:val="00D21B7F"/>
    <w:rsid w:val="00D21BC5"/>
    <w:rsid w:val="00D21BE8"/>
    <w:rsid w:val="00D21D27"/>
    <w:rsid w:val="00D21E69"/>
    <w:rsid w:val="00D21F02"/>
    <w:rsid w:val="00D220B6"/>
    <w:rsid w:val="00D220E5"/>
    <w:rsid w:val="00D22136"/>
    <w:rsid w:val="00D221E1"/>
    <w:rsid w:val="00D22254"/>
    <w:rsid w:val="00D222B8"/>
    <w:rsid w:val="00D22372"/>
    <w:rsid w:val="00D223C5"/>
    <w:rsid w:val="00D223D3"/>
    <w:rsid w:val="00D22429"/>
    <w:rsid w:val="00D2259E"/>
    <w:rsid w:val="00D225FE"/>
    <w:rsid w:val="00D22676"/>
    <w:rsid w:val="00D226C6"/>
    <w:rsid w:val="00D228A3"/>
    <w:rsid w:val="00D228E5"/>
    <w:rsid w:val="00D22AAE"/>
    <w:rsid w:val="00D23040"/>
    <w:rsid w:val="00D2307A"/>
    <w:rsid w:val="00D231AA"/>
    <w:rsid w:val="00D231D1"/>
    <w:rsid w:val="00D23250"/>
    <w:rsid w:val="00D23269"/>
    <w:rsid w:val="00D23275"/>
    <w:rsid w:val="00D2328C"/>
    <w:rsid w:val="00D232A3"/>
    <w:rsid w:val="00D232B8"/>
    <w:rsid w:val="00D2337B"/>
    <w:rsid w:val="00D23391"/>
    <w:rsid w:val="00D233EC"/>
    <w:rsid w:val="00D233F8"/>
    <w:rsid w:val="00D2341D"/>
    <w:rsid w:val="00D2341E"/>
    <w:rsid w:val="00D2342A"/>
    <w:rsid w:val="00D2375C"/>
    <w:rsid w:val="00D237CD"/>
    <w:rsid w:val="00D23976"/>
    <w:rsid w:val="00D239F6"/>
    <w:rsid w:val="00D23A2C"/>
    <w:rsid w:val="00D23A60"/>
    <w:rsid w:val="00D23AC9"/>
    <w:rsid w:val="00D23C42"/>
    <w:rsid w:val="00D23D78"/>
    <w:rsid w:val="00D23D95"/>
    <w:rsid w:val="00D23FAF"/>
    <w:rsid w:val="00D240ED"/>
    <w:rsid w:val="00D24107"/>
    <w:rsid w:val="00D2412A"/>
    <w:rsid w:val="00D24187"/>
    <w:rsid w:val="00D243AC"/>
    <w:rsid w:val="00D243BD"/>
    <w:rsid w:val="00D243E5"/>
    <w:rsid w:val="00D2441F"/>
    <w:rsid w:val="00D24478"/>
    <w:rsid w:val="00D24495"/>
    <w:rsid w:val="00D24527"/>
    <w:rsid w:val="00D2454D"/>
    <w:rsid w:val="00D24581"/>
    <w:rsid w:val="00D24631"/>
    <w:rsid w:val="00D2463E"/>
    <w:rsid w:val="00D246FC"/>
    <w:rsid w:val="00D2478C"/>
    <w:rsid w:val="00D247EF"/>
    <w:rsid w:val="00D2483C"/>
    <w:rsid w:val="00D24868"/>
    <w:rsid w:val="00D248B4"/>
    <w:rsid w:val="00D24DAA"/>
    <w:rsid w:val="00D24E2B"/>
    <w:rsid w:val="00D24E49"/>
    <w:rsid w:val="00D24F40"/>
    <w:rsid w:val="00D24FD1"/>
    <w:rsid w:val="00D2504B"/>
    <w:rsid w:val="00D25068"/>
    <w:rsid w:val="00D250E0"/>
    <w:rsid w:val="00D25193"/>
    <w:rsid w:val="00D25312"/>
    <w:rsid w:val="00D25327"/>
    <w:rsid w:val="00D25339"/>
    <w:rsid w:val="00D253F7"/>
    <w:rsid w:val="00D2549C"/>
    <w:rsid w:val="00D254E4"/>
    <w:rsid w:val="00D254F6"/>
    <w:rsid w:val="00D255D6"/>
    <w:rsid w:val="00D25639"/>
    <w:rsid w:val="00D2584B"/>
    <w:rsid w:val="00D25898"/>
    <w:rsid w:val="00D25959"/>
    <w:rsid w:val="00D25A01"/>
    <w:rsid w:val="00D25A2B"/>
    <w:rsid w:val="00D25AC8"/>
    <w:rsid w:val="00D25AD7"/>
    <w:rsid w:val="00D25C23"/>
    <w:rsid w:val="00D25C33"/>
    <w:rsid w:val="00D25C90"/>
    <w:rsid w:val="00D25CCC"/>
    <w:rsid w:val="00D25D3D"/>
    <w:rsid w:val="00D25EC5"/>
    <w:rsid w:val="00D25F5B"/>
    <w:rsid w:val="00D2600E"/>
    <w:rsid w:val="00D26033"/>
    <w:rsid w:val="00D26142"/>
    <w:rsid w:val="00D26240"/>
    <w:rsid w:val="00D2629C"/>
    <w:rsid w:val="00D262D5"/>
    <w:rsid w:val="00D2632B"/>
    <w:rsid w:val="00D2633B"/>
    <w:rsid w:val="00D2639C"/>
    <w:rsid w:val="00D26501"/>
    <w:rsid w:val="00D2652A"/>
    <w:rsid w:val="00D26555"/>
    <w:rsid w:val="00D26610"/>
    <w:rsid w:val="00D26690"/>
    <w:rsid w:val="00D266C5"/>
    <w:rsid w:val="00D266E1"/>
    <w:rsid w:val="00D2681C"/>
    <w:rsid w:val="00D268F3"/>
    <w:rsid w:val="00D2698A"/>
    <w:rsid w:val="00D269A0"/>
    <w:rsid w:val="00D269B8"/>
    <w:rsid w:val="00D26A31"/>
    <w:rsid w:val="00D26AE7"/>
    <w:rsid w:val="00D26C5A"/>
    <w:rsid w:val="00D26ED1"/>
    <w:rsid w:val="00D26F89"/>
    <w:rsid w:val="00D2704F"/>
    <w:rsid w:val="00D27199"/>
    <w:rsid w:val="00D271CA"/>
    <w:rsid w:val="00D27463"/>
    <w:rsid w:val="00D27582"/>
    <w:rsid w:val="00D275CB"/>
    <w:rsid w:val="00D27668"/>
    <w:rsid w:val="00D276EA"/>
    <w:rsid w:val="00D276F6"/>
    <w:rsid w:val="00D27727"/>
    <w:rsid w:val="00D2775E"/>
    <w:rsid w:val="00D27959"/>
    <w:rsid w:val="00D27A06"/>
    <w:rsid w:val="00D27A87"/>
    <w:rsid w:val="00D27BF7"/>
    <w:rsid w:val="00D27C36"/>
    <w:rsid w:val="00D27C66"/>
    <w:rsid w:val="00D27D04"/>
    <w:rsid w:val="00D27D16"/>
    <w:rsid w:val="00D27D86"/>
    <w:rsid w:val="00D27DA7"/>
    <w:rsid w:val="00D27E4A"/>
    <w:rsid w:val="00D27FA4"/>
    <w:rsid w:val="00D27FAE"/>
    <w:rsid w:val="00D300C3"/>
    <w:rsid w:val="00D3018A"/>
    <w:rsid w:val="00D301CD"/>
    <w:rsid w:val="00D3037E"/>
    <w:rsid w:val="00D303B4"/>
    <w:rsid w:val="00D303D4"/>
    <w:rsid w:val="00D304C2"/>
    <w:rsid w:val="00D3058C"/>
    <w:rsid w:val="00D305F4"/>
    <w:rsid w:val="00D306BD"/>
    <w:rsid w:val="00D307E9"/>
    <w:rsid w:val="00D30850"/>
    <w:rsid w:val="00D30870"/>
    <w:rsid w:val="00D308AC"/>
    <w:rsid w:val="00D308BC"/>
    <w:rsid w:val="00D30922"/>
    <w:rsid w:val="00D30969"/>
    <w:rsid w:val="00D30AAE"/>
    <w:rsid w:val="00D30AB4"/>
    <w:rsid w:val="00D30B6E"/>
    <w:rsid w:val="00D30C48"/>
    <w:rsid w:val="00D30C83"/>
    <w:rsid w:val="00D30CC0"/>
    <w:rsid w:val="00D30CEC"/>
    <w:rsid w:val="00D30F3E"/>
    <w:rsid w:val="00D30FF9"/>
    <w:rsid w:val="00D3100C"/>
    <w:rsid w:val="00D31013"/>
    <w:rsid w:val="00D3109D"/>
    <w:rsid w:val="00D31157"/>
    <w:rsid w:val="00D311A3"/>
    <w:rsid w:val="00D311BA"/>
    <w:rsid w:val="00D31272"/>
    <w:rsid w:val="00D312D5"/>
    <w:rsid w:val="00D31313"/>
    <w:rsid w:val="00D3137D"/>
    <w:rsid w:val="00D31396"/>
    <w:rsid w:val="00D313B7"/>
    <w:rsid w:val="00D31481"/>
    <w:rsid w:val="00D3149A"/>
    <w:rsid w:val="00D31510"/>
    <w:rsid w:val="00D3157E"/>
    <w:rsid w:val="00D3159A"/>
    <w:rsid w:val="00D315FE"/>
    <w:rsid w:val="00D31843"/>
    <w:rsid w:val="00D3198F"/>
    <w:rsid w:val="00D319AF"/>
    <w:rsid w:val="00D31A96"/>
    <w:rsid w:val="00D31B43"/>
    <w:rsid w:val="00D31C02"/>
    <w:rsid w:val="00D31C12"/>
    <w:rsid w:val="00D31D77"/>
    <w:rsid w:val="00D31D7D"/>
    <w:rsid w:val="00D31DDF"/>
    <w:rsid w:val="00D31E69"/>
    <w:rsid w:val="00D31EC2"/>
    <w:rsid w:val="00D32059"/>
    <w:rsid w:val="00D321DF"/>
    <w:rsid w:val="00D32247"/>
    <w:rsid w:val="00D32489"/>
    <w:rsid w:val="00D3258A"/>
    <w:rsid w:val="00D32651"/>
    <w:rsid w:val="00D326B3"/>
    <w:rsid w:val="00D326F3"/>
    <w:rsid w:val="00D3271C"/>
    <w:rsid w:val="00D328C8"/>
    <w:rsid w:val="00D329F6"/>
    <w:rsid w:val="00D32A19"/>
    <w:rsid w:val="00D32D3A"/>
    <w:rsid w:val="00D32D53"/>
    <w:rsid w:val="00D32E1F"/>
    <w:rsid w:val="00D32E2C"/>
    <w:rsid w:val="00D32F5A"/>
    <w:rsid w:val="00D33053"/>
    <w:rsid w:val="00D33072"/>
    <w:rsid w:val="00D330F2"/>
    <w:rsid w:val="00D33101"/>
    <w:rsid w:val="00D33149"/>
    <w:rsid w:val="00D33339"/>
    <w:rsid w:val="00D3345F"/>
    <w:rsid w:val="00D3348C"/>
    <w:rsid w:val="00D33602"/>
    <w:rsid w:val="00D33631"/>
    <w:rsid w:val="00D3365F"/>
    <w:rsid w:val="00D33672"/>
    <w:rsid w:val="00D3370C"/>
    <w:rsid w:val="00D338E4"/>
    <w:rsid w:val="00D338FB"/>
    <w:rsid w:val="00D33963"/>
    <w:rsid w:val="00D33A52"/>
    <w:rsid w:val="00D33AB0"/>
    <w:rsid w:val="00D33B19"/>
    <w:rsid w:val="00D33E47"/>
    <w:rsid w:val="00D33E4C"/>
    <w:rsid w:val="00D33E70"/>
    <w:rsid w:val="00D33F8F"/>
    <w:rsid w:val="00D34006"/>
    <w:rsid w:val="00D34023"/>
    <w:rsid w:val="00D3406A"/>
    <w:rsid w:val="00D341AF"/>
    <w:rsid w:val="00D3426E"/>
    <w:rsid w:val="00D342AD"/>
    <w:rsid w:val="00D34327"/>
    <w:rsid w:val="00D34464"/>
    <w:rsid w:val="00D345EE"/>
    <w:rsid w:val="00D34642"/>
    <w:rsid w:val="00D34662"/>
    <w:rsid w:val="00D346AB"/>
    <w:rsid w:val="00D346D7"/>
    <w:rsid w:val="00D347C0"/>
    <w:rsid w:val="00D347C9"/>
    <w:rsid w:val="00D34809"/>
    <w:rsid w:val="00D349A8"/>
    <w:rsid w:val="00D34A52"/>
    <w:rsid w:val="00D34A61"/>
    <w:rsid w:val="00D34A63"/>
    <w:rsid w:val="00D34B08"/>
    <w:rsid w:val="00D34B36"/>
    <w:rsid w:val="00D34B7D"/>
    <w:rsid w:val="00D34D50"/>
    <w:rsid w:val="00D34DC9"/>
    <w:rsid w:val="00D34EBD"/>
    <w:rsid w:val="00D34EDA"/>
    <w:rsid w:val="00D34FB7"/>
    <w:rsid w:val="00D3508A"/>
    <w:rsid w:val="00D350AC"/>
    <w:rsid w:val="00D351DB"/>
    <w:rsid w:val="00D35246"/>
    <w:rsid w:val="00D352BB"/>
    <w:rsid w:val="00D352F9"/>
    <w:rsid w:val="00D353AA"/>
    <w:rsid w:val="00D353C1"/>
    <w:rsid w:val="00D35435"/>
    <w:rsid w:val="00D3554C"/>
    <w:rsid w:val="00D35552"/>
    <w:rsid w:val="00D35669"/>
    <w:rsid w:val="00D3568E"/>
    <w:rsid w:val="00D358CA"/>
    <w:rsid w:val="00D35916"/>
    <w:rsid w:val="00D359C7"/>
    <w:rsid w:val="00D35A76"/>
    <w:rsid w:val="00D35ABE"/>
    <w:rsid w:val="00D35B14"/>
    <w:rsid w:val="00D35B3B"/>
    <w:rsid w:val="00D35BF7"/>
    <w:rsid w:val="00D35C63"/>
    <w:rsid w:val="00D35D73"/>
    <w:rsid w:val="00D35DC7"/>
    <w:rsid w:val="00D35F36"/>
    <w:rsid w:val="00D35FCC"/>
    <w:rsid w:val="00D36050"/>
    <w:rsid w:val="00D36114"/>
    <w:rsid w:val="00D361CF"/>
    <w:rsid w:val="00D361E9"/>
    <w:rsid w:val="00D36206"/>
    <w:rsid w:val="00D36244"/>
    <w:rsid w:val="00D362DC"/>
    <w:rsid w:val="00D3644A"/>
    <w:rsid w:val="00D364F9"/>
    <w:rsid w:val="00D36540"/>
    <w:rsid w:val="00D36728"/>
    <w:rsid w:val="00D3685B"/>
    <w:rsid w:val="00D36A6B"/>
    <w:rsid w:val="00D36A70"/>
    <w:rsid w:val="00D36A71"/>
    <w:rsid w:val="00D36B02"/>
    <w:rsid w:val="00D36C4D"/>
    <w:rsid w:val="00D36C8A"/>
    <w:rsid w:val="00D36EA3"/>
    <w:rsid w:val="00D36EA7"/>
    <w:rsid w:val="00D36F9A"/>
    <w:rsid w:val="00D36F9E"/>
    <w:rsid w:val="00D36FC4"/>
    <w:rsid w:val="00D37089"/>
    <w:rsid w:val="00D370AC"/>
    <w:rsid w:val="00D370D9"/>
    <w:rsid w:val="00D37106"/>
    <w:rsid w:val="00D37291"/>
    <w:rsid w:val="00D373C9"/>
    <w:rsid w:val="00D3749A"/>
    <w:rsid w:val="00D37542"/>
    <w:rsid w:val="00D3767E"/>
    <w:rsid w:val="00D376D7"/>
    <w:rsid w:val="00D376F1"/>
    <w:rsid w:val="00D3785A"/>
    <w:rsid w:val="00D37930"/>
    <w:rsid w:val="00D37A50"/>
    <w:rsid w:val="00D37A6B"/>
    <w:rsid w:val="00D37C14"/>
    <w:rsid w:val="00D37C81"/>
    <w:rsid w:val="00D37DB1"/>
    <w:rsid w:val="00D37DBD"/>
    <w:rsid w:val="00D37DF1"/>
    <w:rsid w:val="00D37F1C"/>
    <w:rsid w:val="00D4009F"/>
    <w:rsid w:val="00D400B2"/>
    <w:rsid w:val="00D40120"/>
    <w:rsid w:val="00D4018C"/>
    <w:rsid w:val="00D401D8"/>
    <w:rsid w:val="00D40238"/>
    <w:rsid w:val="00D40269"/>
    <w:rsid w:val="00D402FC"/>
    <w:rsid w:val="00D402FE"/>
    <w:rsid w:val="00D4033B"/>
    <w:rsid w:val="00D4046A"/>
    <w:rsid w:val="00D40558"/>
    <w:rsid w:val="00D4055B"/>
    <w:rsid w:val="00D4067E"/>
    <w:rsid w:val="00D40939"/>
    <w:rsid w:val="00D40970"/>
    <w:rsid w:val="00D409FC"/>
    <w:rsid w:val="00D40BE6"/>
    <w:rsid w:val="00D40C06"/>
    <w:rsid w:val="00D40CAA"/>
    <w:rsid w:val="00D40CB8"/>
    <w:rsid w:val="00D40D67"/>
    <w:rsid w:val="00D40D69"/>
    <w:rsid w:val="00D40DA6"/>
    <w:rsid w:val="00D40DD1"/>
    <w:rsid w:val="00D40DE6"/>
    <w:rsid w:val="00D40F40"/>
    <w:rsid w:val="00D40F77"/>
    <w:rsid w:val="00D40F94"/>
    <w:rsid w:val="00D40FC0"/>
    <w:rsid w:val="00D410F7"/>
    <w:rsid w:val="00D410FF"/>
    <w:rsid w:val="00D411BE"/>
    <w:rsid w:val="00D411DA"/>
    <w:rsid w:val="00D4124F"/>
    <w:rsid w:val="00D4126A"/>
    <w:rsid w:val="00D41393"/>
    <w:rsid w:val="00D413DD"/>
    <w:rsid w:val="00D4144E"/>
    <w:rsid w:val="00D41474"/>
    <w:rsid w:val="00D41557"/>
    <w:rsid w:val="00D41665"/>
    <w:rsid w:val="00D41757"/>
    <w:rsid w:val="00D417A3"/>
    <w:rsid w:val="00D417EA"/>
    <w:rsid w:val="00D41887"/>
    <w:rsid w:val="00D418AD"/>
    <w:rsid w:val="00D418E4"/>
    <w:rsid w:val="00D419AA"/>
    <w:rsid w:val="00D41B18"/>
    <w:rsid w:val="00D41B52"/>
    <w:rsid w:val="00D41CB2"/>
    <w:rsid w:val="00D41CEA"/>
    <w:rsid w:val="00D41CFD"/>
    <w:rsid w:val="00D41DD4"/>
    <w:rsid w:val="00D41E8F"/>
    <w:rsid w:val="00D41EF5"/>
    <w:rsid w:val="00D41F39"/>
    <w:rsid w:val="00D41F64"/>
    <w:rsid w:val="00D421DC"/>
    <w:rsid w:val="00D42317"/>
    <w:rsid w:val="00D423FF"/>
    <w:rsid w:val="00D42439"/>
    <w:rsid w:val="00D42747"/>
    <w:rsid w:val="00D42849"/>
    <w:rsid w:val="00D4284F"/>
    <w:rsid w:val="00D428D1"/>
    <w:rsid w:val="00D42A03"/>
    <w:rsid w:val="00D42B68"/>
    <w:rsid w:val="00D42B73"/>
    <w:rsid w:val="00D42B9C"/>
    <w:rsid w:val="00D42CD7"/>
    <w:rsid w:val="00D42CF8"/>
    <w:rsid w:val="00D42D60"/>
    <w:rsid w:val="00D42DE3"/>
    <w:rsid w:val="00D42F24"/>
    <w:rsid w:val="00D42F49"/>
    <w:rsid w:val="00D42FCE"/>
    <w:rsid w:val="00D431BA"/>
    <w:rsid w:val="00D432CE"/>
    <w:rsid w:val="00D4333D"/>
    <w:rsid w:val="00D433D2"/>
    <w:rsid w:val="00D4341B"/>
    <w:rsid w:val="00D4354D"/>
    <w:rsid w:val="00D43575"/>
    <w:rsid w:val="00D435A2"/>
    <w:rsid w:val="00D435D6"/>
    <w:rsid w:val="00D43673"/>
    <w:rsid w:val="00D43730"/>
    <w:rsid w:val="00D439B6"/>
    <w:rsid w:val="00D439B7"/>
    <w:rsid w:val="00D439CF"/>
    <w:rsid w:val="00D43AA7"/>
    <w:rsid w:val="00D43BB6"/>
    <w:rsid w:val="00D43C61"/>
    <w:rsid w:val="00D43CD6"/>
    <w:rsid w:val="00D43D48"/>
    <w:rsid w:val="00D43DF4"/>
    <w:rsid w:val="00D43E2F"/>
    <w:rsid w:val="00D43EAA"/>
    <w:rsid w:val="00D43EAD"/>
    <w:rsid w:val="00D43FD9"/>
    <w:rsid w:val="00D44103"/>
    <w:rsid w:val="00D44111"/>
    <w:rsid w:val="00D4417C"/>
    <w:rsid w:val="00D4421A"/>
    <w:rsid w:val="00D44233"/>
    <w:rsid w:val="00D44256"/>
    <w:rsid w:val="00D443AF"/>
    <w:rsid w:val="00D44486"/>
    <w:rsid w:val="00D44512"/>
    <w:rsid w:val="00D44519"/>
    <w:rsid w:val="00D445B1"/>
    <w:rsid w:val="00D446EE"/>
    <w:rsid w:val="00D4477C"/>
    <w:rsid w:val="00D447E1"/>
    <w:rsid w:val="00D4483A"/>
    <w:rsid w:val="00D449C4"/>
    <w:rsid w:val="00D44A3A"/>
    <w:rsid w:val="00D44C0C"/>
    <w:rsid w:val="00D44C15"/>
    <w:rsid w:val="00D44D70"/>
    <w:rsid w:val="00D44DC6"/>
    <w:rsid w:val="00D44E34"/>
    <w:rsid w:val="00D44F10"/>
    <w:rsid w:val="00D44F29"/>
    <w:rsid w:val="00D44F59"/>
    <w:rsid w:val="00D44FA3"/>
    <w:rsid w:val="00D4516C"/>
    <w:rsid w:val="00D4517A"/>
    <w:rsid w:val="00D45183"/>
    <w:rsid w:val="00D451DD"/>
    <w:rsid w:val="00D45357"/>
    <w:rsid w:val="00D45478"/>
    <w:rsid w:val="00D45558"/>
    <w:rsid w:val="00D4559B"/>
    <w:rsid w:val="00D455CE"/>
    <w:rsid w:val="00D45618"/>
    <w:rsid w:val="00D456BA"/>
    <w:rsid w:val="00D456C8"/>
    <w:rsid w:val="00D457F6"/>
    <w:rsid w:val="00D4580D"/>
    <w:rsid w:val="00D45838"/>
    <w:rsid w:val="00D4590A"/>
    <w:rsid w:val="00D45A9A"/>
    <w:rsid w:val="00D45AD8"/>
    <w:rsid w:val="00D45BE3"/>
    <w:rsid w:val="00D45C9A"/>
    <w:rsid w:val="00D45CD8"/>
    <w:rsid w:val="00D45CE5"/>
    <w:rsid w:val="00D45D61"/>
    <w:rsid w:val="00D45E3B"/>
    <w:rsid w:val="00D45FFF"/>
    <w:rsid w:val="00D46018"/>
    <w:rsid w:val="00D4604A"/>
    <w:rsid w:val="00D46064"/>
    <w:rsid w:val="00D460D8"/>
    <w:rsid w:val="00D46159"/>
    <w:rsid w:val="00D461C6"/>
    <w:rsid w:val="00D46259"/>
    <w:rsid w:val="00D462AC"/>
    <w:rsid w:val="00D46387"/>
    <w:rsid w:val="00D465A5"/>
    <w:rsid w:val="00D46671"/>
    <w:rsid w:val="00D46744"/>
    <w:rsid w:val="00D46788"/>
    <w:rsid w:val="00D467C0"/>
    <w:rsid w:val="00D46812"/>
    <w:rsid w:val="00D46827"/>
    <w:rsid w:val="00D469EA"/>
    <w:rsid w:val="00D46D20"/>
    <w:rsid w:val="00D46D74"/>
    <w:rsid w:val="00D46EA0"/>
    <w:rsid w:val="00D46EBE"/>
    <w:rsid w:val="00D46F57"/>
    <w:rsid w:val="00D47164"/>
    <w:rsid w:val="00D471DD"/>
    <w:rsid w:val="00D47213"/>
    <w:rsid w:val="00D4733C"/>
    <w:rsid w:val="00D4733F"/>
    <w:rsid w:val="00D47439"/>
    <w:rsid w:val="00D4746A"/>
    <w:rsid w:val="00D4747B"/>
    <w:rsid w:val="00D4752F"/>
    <w:rsid w:val="00D4766D"/>
    <w:rsid w:val="00D4768F"/>
    <w:rsid w:val="00D476DA"/>
    <w:rsid w:val="00D477CD"/>
    <w:rsid w:val="00D478C6"/>
    <w:rsid w:val="00D479EE"/>
    <w:rsid w:val="00D47A04"/>
    <w:rsid w:val="00D47A24"/>
    <w:rsid w:val="00D47A50"/>
    <w:rsid w:val="00D47A6D"/>
    <w:rsid w:val="00D47AE1"/>
    <w:rsid w:val="00D47CFE"/>
    <w:rsid w:val="00D47D24"/>
    <w:rsid w:val="00D47D25"/>
    <w:rsid w:val="00D47D78"/>
    <w:rsid w:val="00D47E3C"/>
    <w:rsid w:val="00D47E63"/>
    <w:rsid w:val="00D47FC7"/>
    <w:rsid w:val="00D50001"/>
    <w:rsid w:val="00D50122"/>
    <w:rsid w:val="00D50254"/>
    <w:rsid w:val="00D502AA"/>
    <w:rsid w:val="00D502B1"/>
    <w:rsid w:val="00D50391"/>
    <w:rsid w:val="00D504BA"/>
    <w:rsid w:val="00D50620"/>
    <w:rsid w:val="00D50798"/>
    <w:rsid w:val="00D507C0"/>
    <w:rsid w:val="00D507F2"/>
    <w:rsid w:val="00D50988"/>
    <w:rsid w:val="00D509BA"/>
    <w:rsid w:val="00D509E1"/>
    <w:rsid w:val="00D50B66"/>
    <w:rsid w:val="00D50BAF"/>
    <w:rsid w:val="00D50BF3"/>
    <w:rsid w:val="00D50C6E"/>
    <w:rsid w:val="00D50D40"/>
    <w:rsid w:val="00D50D43"/>
    <w:rsid w:val="00D50F3A"/>
    <w:rsid w:val="00D50FBE"/>
    <w:rsid w:val="00D5103B"/>
    <w:rsid w:val="00D510E5"/>
    <w:rsid w:val="00D51136"/>
    <w:rsid w:val="00D51175"/>
    <w:rsid w:val="00D51190"/>
    <w:rsid w:val="00D512A0"/>
    <w:rsid w:val="00D51302"/>
    <w:rsid w:val="00D5132A"/>
    <w:rsid w:val="00D513C0"/>
    <w:rsid w:val="00D51404"/>
    <w:rsid w:val="00D51455"/>
    <w:rsid w:val="00D51767"/>
    <w:rsid w:val="00D5176F"/>
    <w:rsid w:val="00D5178D"/>
    <w:rsid w:val="00D517A6"/>
    <w:rsid w:val="00D517A7"/>
    <w:rsid w:val="00D517C7"/>
    <w:rsid w:val="00D517E6"/>
    <w:rsid w:val="00D51870"/>
    <w:rsid w:val="00D518AC"/>
    <w:rsid w:val="00D518CB"/>
    <w:rsid w:val="00D51982"/>
    <w:rsid w:val="00D519C6"/>
    <w:rsid w:val="00D51A01"/>
    <w:rsid w:val="00D51A05"/>
    <w:rsid w:val="00D51AB5"/>
    <w:rsid w:val="00D51B43"/>
    <w:rsid w:val="00D51BD3"/>
    <w:rsid w:val="00D51BD7"/>
    <w:rsid w:val="00D51C02"/>
    <w:rsid w:val="00D51C25"/>
    <w:rsid w:val="00D51C27"/>
    <w:rsid w:val="00D51DC9"/>
    <w:rsid w:val="00D51F25"/>
    <w:rsid w:val="00D51FFD"/>
    <w:rsid w:val="00D52006"/>
    <w:rsid w:val="00D521B0"/>
    <w:rsid w:val="00D52207"/>
    <w:rsid w:val="00D5244F"/>
    <w:rsid w:val="00D524CF"/>
    <w:rsid w:val="00D524DD"/>
    <w:rsid w:val="00D52535"/>
    <w:rsid w:val="00D52787"/>
    <w:rsid w:val="00D52853"/>
    <w:rsid w:val="00D528B3"/>
    <w:rsid w:val="00D528EE"/>
    <w:rsid w:val="00D5290A"/>
    <w:rsid w:val="00D52965"/>
    <w:rsid w:val="00D5299F"/>
    <w:rsid w:val="00D52A27"/>
    <w:rsid w:val="00D52A9E"/>
    <w:rsid w:val="00D52AFB"/>
    <w:rsid w:val="00D52B86"/>
    <w:rsid w:val="00D52BD4"/>
    <w:rsid w:val="00D52BEB"/>
    <w:rsid w:val="00D52C62"/>
    <w:rsid w:val="00D52E1B"/>
    <w:rsid w:val="00D52FD6"/>
    <w:rsid w:val="00D53171"/>
    <w:rsid w:val="00D5318D"/>
    <w:rsid w:val="00D5327D"/>
    <w:rsid w:val="00D532AB"/>
    <w:rsid w:val="00D535CB"/>
    <w:rsid w:val="00D535DC"/>
    <w:rsid w:val="00D53655"/>
    <w:rsid w:val="00D53687"/>
    <w:rsid w:val="00D536F9"/>
    <w:rsid w:val="00D53A59"/>
    <w:rsid w:val="00D53AF4"/>
    <w:rsid w:val="00D53CDE"/>
    <w:rsid w:val="00D53D15"/>
    <w:rsid w:val="00D53DC3"/>
    <w:rsid w:val="00D53E32"/>
    <w:rsid w:val="00D53E71"/>
    <w:rsid w:val="00D53E86"/>
    <w:rsid w:val="00D53EA1"/>
    <w:rsid w:val="00D53F50"/>
    <w:rsid w:val="00D53F95"/>
    <w:rsid w:val="00D53F9C"/>
    <w:rsid w:val="00D540CE"/>
    <w:rsid w:val="00D54125"/>
    <w:rsid w:val="00D54148"/>
    <w:rsid w:val="00D54151"/>
    <w:rsid w:val="00D54439"/>
    <w:rsid w:val="00D546BC"/>
    <w:rsid w:val="00D54749"/>
    <w:rsid w:val="00D547BD"/>
    <w:rsid w:val="00D54921"/>
    <w:rsid w:val="00D5494F"/>
    <w:rsid w:val="00D54B64"/>
    <w:rsid w:val="00D54BC4"/>
    <w:rsid w:val="00D54C91"/>
    <w:rsid w:val="00D54CE7"/>
    <w:rsid w:val="00D54D1E"/>
    <w:rsid w:val="00D54E2F"/>
    <w:rsid w:val="00D54EB7"/>
    <w:rsid w:val="00D54EDB"/>
    <w:rsid w:val="00D54FD2"/>
    <w:rsid w:val="00D55087"/>
    <w:rsid w:val="00D550AB"/>
    <w:rsid w:val="00D55191"/>
    <w:rsid w:val="00D553C4"/>
    <w:rsid w:val="00D553DE"/>
    <w:rsid w:val="00D55494"/>
    <w:rsid w:val="00D554FB"/>
    <w:rsid w:val="00D55555"/>
    <w:rsid w:val="00D5555A"/>
    <w:rsid w:val="00D5557F"/>
    <w:rsid w:val="00D55734"/>
    <w:rsid w:val="00D557B8"/>
    <w:rsid w:val="00D55882"/>
    <w:rsid w:val="00D558F9"/>
    <w:rsid w:val="00D5590A"/>
    <w:rsid w:val="00D55957"/>
    <w:rsid w:val="00D55971"/>
    <w:rsid w:val="00D55A53"/>
    <w:rsid w:val="00D55B28"/>
    <w:rsid w:val="00D55BE6"/>
    <w:rsid w:val="00D55C15"/>
    <w:rsid w:val="00D55DA9"/>
    <w:rsid w:val="00D55E1E"/>
    <w:rsid w:val="00D55F3A"/>
    <w:rsid w:val="00D56310"/>
    <w:rsid w:val="00D563B0"/>
    <w:rsid w:val="00D563F2"/>
    <w:rsid w:val="00D56504"/>
    <w:rsid w:val="00D565C4"/>
    <w:rsid w:val="00D56646"/>
    <w:rsid w:val="00D5665E"/>
    <w:rsid w:val="00D566B5"/>
    <w:rsid w:val="00D566C2"/>
    <w:rsid w:val="00D56781"/>
    <w:rsid w:val="00D567EE"/>
    <w:rsid w:val="00D568E4"/>
    <w:rsid w:val="00D56915"/>
    <w:rsid w:val="00D56983"/>
    <w:rsid w:val="00D56984"/>
    <w:rsid w:val="00D56AED"/>
    <w:rsid w:val="00D56B77"/>
    <w:rsid w:val="00D56B9B"/>
    <w:rsid w:val="00D56BF7"/>
    <w:rsid w:val="00D56CF3"/>
    <w:rsid w:val="00D56D01"/>
    <w:rsid w:val="00D56D17"/>
    <w:rsid w:val="00D56D8E"/>
    <w:rsid w:val="00D56DC2"/>
    <w:rsid w:val="00D56EC3"/>
    <w:rsid w:val="00D56ED1"/>
    <w:rsid w:val="00D57348"/>
    <w:rsid w:val="00D57493"/>
    <w:rsid w:val="00D574E8"/>
    <w:rsid w:val="00D5751B"/>
    <w:rsid w:val="00D57566"/>
    <w:rsid w:val="00D57598"/>
    <w:rsid w:val="00D575D1"/>
    <w:rsid w:val="00D5769B"/>
    <w:rsid w:val="00D576F8"/>
    <w:rsid w:val="00D57796"/>
    <w:rsid w:val="00D57847"/>
    <w:rsid w:val="00D57898"/>
    <w:rsid w:val="00D57945"/>
    <w:rsid w:val="00D57950"/>
    <w:rsid w:val="00D57984"/>
    <w:rsid w:val="00D57A50"/>
    <w:rsid w:val="00D57A78"/>
    <w:rsid w:val="00D57D7A"/>
    <w:rsid w:val="00D57F74"/>
    <w:rsid w:val="00D600C8"/>
    <w:rsid w:val="00D60103"/>
    <w:rsid w:val="00D6014E"/>
    <w:rsid w:val="00D601C9"/>
    <w:rsid w:val="00D602AB"/>
    <w:rsid w:val="00D6033C"/>
    <w:rsid w:val="00D603E5"/>
    <w:rsid w:val="00D6051A"/>
    <w:rsid w:val="00D605B0"/>
    <w:rsid w:val="00D60620"/>
    <w:rsid w:val="00D60628"/>
    <w:rsid w:val="00D60650"/>
    <w:rsid w:val="00D6065F"/>
    <w:rsid w:val="00D6067B"/>
    <w:rsid w:val="00D608EE"/>
    <w:rsid w:val="00D60932"/>
    <w:rsid w:val="00D609B2"/>
    <w:rsid w:val="00D60A94"/>
    <w:rsid w:val="00D60A9F"/>
    <w:rsid w:val="00D60B22"/>
    <w:rsid w:val="00D60B8F"/>
    <w:rsid w:val="00D60B99"/>
    <w:rsid w:val="00D60C0F"/>
    <w:rsid w:val="00D60C23"/>
    <w:rsid w:val="00D60DAB"/>
    <w:rsid w:val="00D60DB6"/>
    <w:rsid w:val="00D60ED5"/>
    <w:rsid w:val="00D60F78"/>
    <w:rsid w:val="00D60F7A"/>
    <w:rsid w:val="00D60FEB"/>
    <w:rsid w:val="00D610D9"/>
    <w:rsid w:val="00D6111E"/>
    <w:rsid w:val="00D61278"/>
    <w:rsid w:val="00D612AA"/>
    <w:rsid w:val="00D612C4"/>
    <w:rsid w:val="00D6132E"/>
    <w:rsid w:val="00D61358"/>
    <w:rsid w:val="00D613A8"/>
    <w:rsid w:val="00D613FC"/>
    <w:rsid w:val="00D61488"/>
    <w:rsid w:val="00D61575"/>
    <w:rsid w:val="00D615D3"/>
    <w:rsid w:val="00D615D9"/>
    <w:rsid w:val="00D615E2"/>
    <w:rsid w:val="00D615E4"/>
    <w:rsid w:val="00D616EC"/>
    <w:rsid w:val="00D6174B"/>
    <w:rsid w:val="00D6195F"/>
    <w:rsid w:val="00D61995"/>
    <w:rsid w:val="00D61B34"/>
    <w:rsid w:val="00D61BF7"/>
    <w:rsid w:val="00D61CBD"/>
    <w:rsid w:val="00D61D86"/>
    <w:rsid w:val="00D61E70"/>
    <w:rsid w:val="00D61EE3"/>
    <w:rsid w:val="00D61F05"/>
    <w:rsid w:val="00D61F0E"/>
    <w:rsid w:val="00D61F35"/>
    <w:rsid w:val="00D61F73"/>
    <w:rsid w:val="00D62061"/>
    <w:rsid w:val="00D62070"/>
    <w:rsid w:val="00D620CC"/>
    <w:rsid w:val="00D6212D"/>
    <w:rsid w:val="00D6219B"/>
    <w:rsid w:val="00D621BC"/>
    <w:rsid w:val="00D62287"/>
    <w:rsid w:val="00D623E2"/>
    <w:rsid w:val="00D6240F"/>
    <w:rsid w:val="00D62476"/>
    <w:rsid w:val="00D624DE"/>
    <w:rsid w:val="00D625CA"/>
    <w:rsid w:val="00D626C5"/>
    <w:rsid w:val="00D62739"/>
    <w:rsid w:val="00D6278D"/>
    <w:rsid w:val="00D627FA"/>
    <w:rsid w:val="00D628A2"/>
    <w:rsid w:val="00D628B5"/>
    <w:rsid w:val="00D629FA"/>
    <w:rsid w:val="00D62A78"/>
    <w:rsid w:val="00D62B8B"/>
    <w:rsid w:val="00D62BA7"/>
    <w:rsid w:val="00D62D88"/>
    <w:rsid w:val="00D62F2F"/>
    <w:rsid w:val="00D62F3C"/>
    <w:rsid w:val="00D63032"/>
    <w:rsid w:val="00D630F7"/>
    <w:rsid w:val="00D631D6"/>
    <w:rsid w:val="00D631F5"/>
    <w:rsid w:val="00D6326F"/>
    <w:rsid w:val="00D632AB"/>
    <w:rsid w:val="00D632B0"/>
    <w:rsid w:val="00D63354"/>
    <w:rsid w:val="00D63387"/>
    <w:rsid w:val="00D6338A"/>
    <w:rsid w:val="00D6339B"/>
    <w:rsid w:val="00D634F5"/>
    <w:rsid w:val="00D63619"/>
    <w:rsid w:val="00D6362F"/>
    <w:rsid w:val="00D63718"/>
    <w:rsid w:val="00D6374E"/>
    <w:rsid w:val="00D637E6"/>
    <w:rsid w:val="00D638C3"/>
    <w:rsid w:val="00D6397E"/>
    <w:rsid w:val="00D639A7"/>
    <w:rsid w:val="00D639FE"/>
    <w:rsid w:val="00D63A55"/>
    <w:rsid w:val="00D63C4C"/>
    <w:rsid w:val="00D63E10"/>
    <w:rsid w:val="00D63E11"/>
    <w:rsid w:val="00D63EC5"/>
    <w:rsid w:val="00D63EF9"/>
    <w:rsid w:val="00D63F5C"/>
    <w:rsid w:val="00D64060"/>
    <w:rsid w:val="00D64097"/>
    <w:rsid w:val="00D6417C"/>
    <w:rsid w:val="00D641CB"/>
    <w:rsid w:val="00D64365"/>
    <w:rsid w:val="00D6438F"/>
    <w:rsid w:val="00D64406"/>
    <w:rsid w:val="00D64420"/>
    <w:rsid w:val="00D6442C"/>
    <w:rsid w:val="00D644F0"/>
    <w:rsid w:val="00D645F9"/>
    <w:rsid w:val="00D64678"/>
    <w:rsid w:val="00D64683"/>
    <w:rsid w:val="00D6484F"/>
    <w:rsid w:val="00D6487D"/>
    <w:rsid w:val="00D6489E"/>
    <w:rsid w:val="00D6492C"/>
    <w:rsid w:val="00D6495E"/>
    <w:rsid w:val="00D6496F"/>
    <w:rsid w:val="00D64A40"/>
    <w:rsid w:val="00D64B8C"/>
    <w:rsid w:val="00D64B9F"/>
    <w:rsid w:val="00D64C3D"/>
    <w:rsid w:val="00D64DE2"/>
    <w:rsid w:val="00D64E63"/>
    <w:rsid w:val="00D64E74"/>
    <w:rsid w:val="00D64EC4"/>
    <w:rsid w:val="00D64EF5"/>
    <w:rsid w:val="00D64F03"/>
    <w:rsid w:val="00D6506D"/>
    <w:rsid w:val="00D6511C"/>
    <w:rsid w:val="00D65158"/>
    <w:rsid w:val="00D652AF"/>
    <w:rsid w:val="00D653A0"/>
    <w:rsid w:val="00D654AF"/>
    <w:rsid w:val="00D654B1"/>
    <w:rsid w:val="00D65500"/>
    <w:rsid w:val="00D65508"/>
    <w:rsid w:val="00D65510"/>
    <w:rsid w:val="00D65514"/>
    <w:rsid w:val="00D6555D"/>
    <w:rsid w:val="00D65771"/>
    <w:rsid w:val="00D65803"/>
    <w:rsid w:val="00D65CC7"/>
    <w:rsid w:val="00D65DA2"/>
    <w:rsid w:val="00D65F45"/>
    <w:rsid w:val="00D66120"/>
    <w:rsid w:val="00D66168"/>
    <w:rsid w:val="00D6629A"/>
    <w:rsid w:val="00D6629C"/>
    <w:rsid w:val="00D662AA"/>
    <w:rsid w:val="00D66479"/>
    <w:rsid w:val="00D66485"/>
    <w:rsid w:val="00D664D4"/>
    <w:rsid w:val="00D665BE"/>
    <w:rsid w:val="00D6669C"/>
    <w:rsid w:val="00D666F4"/>
    <w:rsid w:val="00D66702"/>
    <w:rsid w:val="00D6689A"/>
    <w:rsid w:val="00D668FA"/>
    <w:rsid w:val="00D66953"/>
    <w:rsid w:val="00D66982"/>
    <w:rsid w:val="00D6699C"/>
    <w:rsid w:val="00D66BB6"/>
    <w:rsid w:val="00D66D0B"/>
    <w:rsid w:val="00D66E4D"/>
    <w:rsid w:val="00D6703A"/>
    <w:rsid w:val="00D67310"/>
    <w:rsid w:val="00D6731F"/>
    <w:rsid w:val="00D673CD"/>
    <w:rsid w:val="00D674B2"/>
    <w:rsid w:val="00D6751B"/>
    <w:rsid w:val="00D67576"/>
    <w:rsid w:val="00D6758D"/>
    <w:rsid w:val="00D675E7"/>
    <w:rsid w:val="00D67664"/>
    <w:rsid w:val="00D67750"/>
    <w:rsid w:val="00D677BA"/>
    <w:rsid w:val="00D677F3"/>
    <w:rsid w:val="00D67850"/>
    <w:rsid w:val="00D67983"/>
    <w:rsid w:val="00D67987"/>
    <w:rsid w:val="00D67B2C"/>
    <w:rsid w:val="00D67B81"/>
    <w:rsid w:val="00D67BFA"/>
    <w:rsid w:val="00D67DB0"/>
    <w:rsid w:val="00D67E29"/>
    <w:rsid w:val="00D67F95"/>
    <w:rsid w:val="00D70080"/>
    <w:rsid w:val="00D70084"/>
    <w:rsid w:val="00D70245"/>
    <w:rsid w:val="00D70254"/>
    <w:rsid w:val="00D70287"/>
    <w:rsid w:val="00D702FE"/>
    <w:rsid w:val="00D70482"/>
    <w:rsid w:val="00D7049B"/>
    <w:rsid w:val="00D706D3"/>
    <w:rsid w:val="00D707C4"/>
    <w:rsid w:val="00D7080D"/>
    <w:rsid w:val="00D7083D"/>
    <w:rsid w:val="00D70898"/>
    <w:rsid w:val="00D708D0"/>
    <w:rsid w:val="00D7092F"/>
    <w:rsid w:val="00D7094D"/>
    <w:rsid w:val="00D7096F"/>
    <w:rsid w:val="00D709EA"/>
    <w:rsid w:val="00D70D0A"/>
    <w:rsid w:val="00D70D10"/>
    <w:rsid w:val="00D70D4D"/>
    <w:rsid w:val="00D70D51"/>
    <w:rsid w:val="00D70D7C"/>
    <w:rsid w:val="00D70D88"/>
    <w:rsid w:val="00D70F7C"/>
    <w:rsid w:val="00D70FB0"/>
    <w:rsid w:val="00D70FB5"/>
    <w:rsid w:val="00D70FCD"/>
    <w:rsid w:val="00D7122E"/>
    <w:rsid w:val="00D712A8"/>
    <w:rsid w:val="00D712C4"/>
    <w:rsid w:val="00D71367"/>
    <w:rsid w:val="00D713D1"/>
    <w:rsid w:val="00D713FD"/>
    <w:rsid w:val="00D71404"/>
    <w:rsid w:val="00D7147E"/>
    <w:rsid w:val="00D71573"/>
    <w:rsid w:val="00D71601"/>
    <w:rsid w:val="00D717F8"/>
    <w:rsid w:val="00D71847"/>
    <w:rsid w:val="00D7184B"/>
    <w:rsid w:val="00D71898"/>
    <w:rsid w:val="00D718C0"/>
    <w:rsid w:val="00D718F8"/>
    <w:rsid w:val="00D71A67"/>
    <w:rsid w:val="00D71AB3"/>
    <w:rsid w:val="00D71B54"/>
    <w:rsid w:val="00D71BC7"/>
    <w:rsid w:val="00D71BFE"/>
    <w:rsid w:val="00D71C0F"/>
    <w:rsid w:val="00D71CAE"/>
    <w:rsid w:val="00D71D15"/>
    <w:rsid w:val="00D71D27"/>
    <w:rsid w:val="00D71DE8"/>
    <w:rsid w:val="00D71E24"/>
    <w:rsid w:val="00D71ECD"/>
    <w:rsid w:val="00D7212C"/>
    <w:rsid w:val="00D721EF"/>
    <w:rsid w:val="00D72219"/>
    <w:rsid w:val="00D723C0"/>
    <w:rsid w:val="00D724E3"/>
    <w:rsid w:val="00D72578"/>
    <w:rsid w:val="00D726D1"/>
    <w:rsid w:val="00D726F2"/>
    <w:rsid w:val="00D7272F"/>
    <w:rsid w:val="00D7273D"/>
    <w:rsid w:val="00D727D2"/>
    <w:rsid w:val="00D72912"/>
    <w:rsid w:val="00D72935"/>
    <w:rsid w:val="00D729E4"/>
    <w:rsid w:val="00D72AC6"/>
    <w:rsid w:val="00D72B3F"/>
    <w:rsid w:val="00D72B7B"/>
    <w:rsid w:val="00D72B8E"/>
    <w:rsid w:val="00D72B9E"/>
    <w:rsid w:val="00D72C1A"/>
    <w:rsid w:val="00D72CD7"/>
    <w:rsid w:val="00D72D46"/>
    <w:rsid w:val="00D72D9F"/>
    <w:rsid w:val="00D72DA5"/>
    <w:rsid w:val="00D72E9F"/>
    <w:rsid w:val="00D72ED0"/>
    <w:rsid w:val="00D72F43"/>
    <w:rsid w:val="00D72F4C"/>
    <w:rsid w:val="00D72FB0"/>
    <w:rsid w:val="00D7303B"/>
    <w:rsid w:val="00D73068"/>
    <w:rsid w:val="00D730E7"/>
    <w:rsid w:val="00D7318B"/>
    <w:rsid w:val="00D7319D"/>
    <w:rsid w:val="00D73200"/>
    <w:rsid w:val="00D7322E"/>
    <w:rsid w:val="00D732B2"/>
    <w:rsid w:val="00D73463"/>
    <w:rsid w:val="00D734EC"/>
    <w:rsid w:val="00D7358F"/>
    <w:rsid w:val="00D73639"/>
    <w:rsid w:val="00D737B9"/>
    <w:rsid w:val="00D737C0"/>
    <w:rsid w:val="00D737DD"/>
    <w:rsid w:val="00D738DB"/>
    <w:rsid w:val="00D738FC"/>
    <w:rsid w:val="00D739AD"/>
    <w:rsid w:val="00D73AA1"/>
    <w:rsid w:val="00D73AD6"/>
    <w:rsid w:val="00D73B03"/>
    <w:rsid w:val="00D73B39"/>
    <w:rsid w:val="00D73B43"/>
    <w:rsid w:val="00D73C60"/>
    <w:rsid w:val="00D73DC8"/>
    <w:rsid w:val="00D73E2E"/>
    <w:rsid w:val="00D740B2"/>
    <w:rsid w:val="00D741B4"/>
    <w:rsid w:val="00D741EE"/>
    <w:rsid w:val="00D74217"/>
    <w:rsid w:val="00D74244"/>
    <w:rsid w:val="00D74247"/>
    <w:rsid w:val="00D7438E"/>
    <w:rsid w:val="00D7445B"/>
    <w:rsid w:val="00D74540"/>
    <w:rsid w:val="00D7455C"/>
    <w:rsid w:val="00D74663"/>
    <w:rsid w:val="00D74664"/>
    <w:rsid w:val="00D746B3"/>
    <w:rsid w:val="00D746BE"/>
    <w:rsid w:val="00D7476B"/>
    <w:rsid w:val="00D747B6"/>
    <w:rsid w:val="00D74947"/>
    <w:rsid w:val="00D74A7B"/>
    <w:rsid w:val="00D74AB4"/>
    <w:rsid w:val="00D74BAD"/>
    <w:rsid w:val="00D74BEB"/>
    <w:rsid w:val="00D74D8F"/>
    <w:rsid w:val="00D74DDC"/>
    <w:rsid w:val="00D74E87"/>
    <w:rsid w:val="00D75012"/>
    <w:rsid w:val="00D7513A"/>
    <w:rsid w:val="00D7515A"/>
    <w:rsid w:val="00D751CB"/>
    <w:rsid w:val="00D751FF"/>
    <w:rsid w:val="00D7522D"/>
    <w:rsid w:val="00D75267"/>
    <w:rsid w:val="00D7537A"/>
    <w:rsid w:val="00D7538F"/>
    <w:rsid w:val="00D75534"/>
    <w:rsid w:val="00D755E8"/>
    <w:rsid w:val="00D756B2"/>
    <w:rsid w:val="00D7576E"/>
    <w:rsid w:val="00D75874"/>
    <w:rsid w:val="00D758D7"/>
    <w:rsid w:val="00D759B1"/>
    <w:rsid w:val="00D759B4"/>
    <w:rsid w:val="00D75A1B"/>
    <w:rsid w:val="00D75A36"/>
    <w:rsid w:val="00D75A6E"/>
    <w:rsid w:val="00D75A89"/>
    <w:rsid w:val="00D75B1D"/>
    <w:rsid w:val="00D75BBC"/>
    <w:rsid w:val="00D75C0E"/>
    <w:rsid w:val="00D75CB8"/>
    <w:rsid w:val="00D75CD6"/>
    <w:rsid w:val="00D75D2A"/>
    <w:rsid w:val="00D75E7B"/>
    <w:rsid w:val="00D75EE8"/>
    <w:rsid w:val="00D75FDD"/>
    <w:rsid w:val="00D76030"/>
    <w:rsid w:val="00D760DD"/>
    <w:rsid w:val="00D7623D"/>
    <w:rsid w:val="00D76326"/>
    <w:rsid w:val="00D76401"/>
    <w:rsid w:val="00D7640A"/>
    <w:rsid w:val="00D76427"/>
    <w:rsid w:val="00D7643F"/>
    <w:rsid w:val="00D7654C"/>
    <w:rsid w:val="00D7659D"/>
    <w:rsid w:val="00D7668A"/>
    <w:rsid w:val="00D768B7"/>
    <w:rsid w:val="00D768BF"/>
    <w:rsid w:val="00D769DF"/>
    <w:rsid w:val="00D76A22"/>
    <w:rsid w:val="00D76B12"/>
    <w:rsid w:val="00D76B79"/>
    <w:rsid w:val="00D76D3B"/>
    <w:rsid w:val="00D76D41"/>
    <w:rsid w:val="00D76DA6"/>
    <w:rsid w:val="00D76F85"/>
    <w:rsid w:val="00D76FBE"/>
    <w:rsid w:val="00D7708D"/>
    <w:rsid w:val="00D77116"/>
    <w:rsid w:val="00D77131"/>
    <w:rsid w:val="00D77208"/>
    <w:rsid w:val="00D77219"/>
    <w:rsid w:val="00D77477"/>
    <w:rsid w:val="00D774DB"/>
    <w:rsid w:val="00D7752B"/>
    <w:rsid w:val="00D77720"/>
    <w:rsid w:val="00D77722"/>
    <w:rsid w:val="00D77735"/>
    <w:rsid w:val="00D77871"/>
    <w:rsid w:val="00D77879"/>
    <w:rsid w:val="00D7791A"/>
    <w:rsid w:val="00D77924"/>
    <w:rsid w:val="00D77962"/>
    <w:rsid w:val="00D779A7"/>
    <w:rsid w:val="00D77AA0"/>
    <w:rsid w:val="00D77D07"/>
    <w:rsid w:val="00D77D42"/>
    <w:rsid w:val="00D77EB8"/>
    <w:rsid w:val="00D77FA4"/>
    <w:rsid w:val="00D80155"/>
    <w:rsid w:val="00D80192"/>
    <w:rsid w:val="00D80226"/>
    <w:rsid w:val="00D80291"/>
    <w:rsid w:val="00D80318"/>
    <w:rsid w:val="00D803CC"/>
    <w:rsid w:val="00D803EA"/>
    <w:rsid w:val="00D803ED"/>
    <w:rsid w:val="00D804B8"/>
    <w:rsid w:val="00D80552"/>
    <w:rsid w:val="00D80658"/>
    <w:rsid w:val="00D8067A"/>
    <w:rsid w:val="00D806BD"/>
    <w:rsid w:val="00D80944"/>
    <w:rsid w:val="00D80A0A"/>
    <w:rsid w:val="00D80A7B"/>
    <w:rsid w:val="00D80ACE"/>
    <w:rsid w:val="00D80B23"/>
    <w:rsid w:val="00D80B30"/>
    <w:rsid w:val="00D80B7F"/>
    <w:rsid w:val="00D80C22"/>
    <w:rsid w:val="00D80E0B"/>
    <w:rsid w:val="00D80E5E"/>
    <w:rsid w:val="00D80F4F"/>
    <w:rsid w:val="00D80F83"/>
    <w:rsid w:val="00D80FC1"/>
    <w:rsid w:val="00D810A2"/>
    <w:rsid w:val="00D81114"/>
    <w:rsid w:val="00D8116F"/>
    <w:rsid w:val="00D81361"/>
    <w:rsid w:val="00D81487"/>
    <w:rsid w:val="00D814A8"/>
    <w:rsid w:val="00D816BE"/>
    <w:rsid w:val="00D81705"/>
    <w:rsid w:val="00D81774"/>
    <w:rsid w:val="00D817AA"/>
    <w:rsid w:val="00D817C2"/>
    <w:rsid w:val="00D819D7"/>
    <w:rsid w:val="00D819E7"/>
    <w:rsid w:val="00D81A3B"/>
    <w:rsid w:val="00D81A4E"/>
    <w:rsid w:val="00D81C11"/>
    <w:rsid w:val="00D81C70"/>
    <w:rsid w:val="00D81C8D"/>
    <w:rsid w:val="00D81CE0"/>
    <w:rsid w:val="00D81D83"/>
    <w:rsid w:val="00D81E44"/>
    <w:rsid w:val="00D81F3A"/>
    <w:rsid w:val="00D82128"/>
    <w:rsid w:val="00D8228C"/>
    <w:rsid w:val="00D822F7"/>
    <w:rsid w:val="00D82421"/>
    <w:rsid w:val="00D82464"/>
    <w:rsid w:val="00D8249F"/>
    <w:rsid w:val="00D82578"/>
    <w:rsid w:val="00D8258A"/>
    <w:rsid w:val="00D825AF"/>
    <w:rsid w:val="00D827CB"/>
    <w:rsid w:val="00D8290C"/>
    <w:rsid w:val="00D82AB5"/>
    <w:rsid w:val="00D82B3D"/>
    <w:rsid w:val="00D82C29"/>
    <w:rsid w:val="00D82C42"/>
    <w:rsid w:val="00D82CD0"/>
    <w:rsid w:val="00D82CE7"/>
    <w:rsid w:val="00D82D07"/>
    <w:rsid w:val="00D82D53"/>
    <w:rsid w:val="00D82FDC"/>
    <w:rsid w:val="00D82FEB"/>
    <w:rsid w:val="00D83044"/>
    <w:rsid w:val="00D8309C"/>
    <w:rsid w:val="00D831D5"/>
    <w:rsid w:val="00D83294"/>
    <w:rsid w:val="00D832FC"/>
    <w:rsid w:val="00D83412"/>
    <w:rsid w:val="00D835C2"/>
    <w:rsid w:val="00D835FF"/>
    <w:rsid w:val="00D837C4"/>
    <w:rsid w:val="00D838BA"/>
    <w:rsid w:val="00D8396C"/>
    <w:rsid w:val="00D83AAD"/>
    <w:rsid w:val="00D83B3B"/>
    <w:rsid w:val="00D83B66"/>
    <w:rsid w:val="00D83BA2"/>
    <w:rsid w:val="00D83C6C"/>
    <w:rsid w:val="00D83CFE"/>
    <w:rsid w:val="00D83E3A"/>
    <w:rsid w:val="00D83EA0"/>
    <w:rsid w:val="00D83ECA"/>
    <w:rsid w:val="00D83EE0"/>
    <w:rsid w:val="00D840FD"/>
    <w:rsid w:val="00D84180"/>
    <w:rsid w:val="00D841A1"/>
    <w:rsid w:val="00D8421D"/>
    <w:rsid w:val="00D843D5"/>
    <w:rsid w:val="00D8444F"/>
    <w:rsid w:val="00D84496"/>
    <w:rsid w:val="00D844D3"/>
    <w:rsid w:val="00D8456A"/>
    <w:rsid w:val="00D845DB"/>
    <w:rsid w:val="00D84602"/>
    <w:rsid w:val="00D8468A"/>
    <w:rsid w:val="00D8471E"/>
    <w:rsid w:val="00D84814"/>
    <w:rsid w:val="00D84957"/>
    <w:rsid w:val="00D849BE"/>
    <w:rsid w:val="00D84A17"/>
    <w:rsid w:val="00D84B08"/>
    <w:rsid w:val="00D84CA8"/>
    <w:rsid w:val="00D84E0F"/>
    <w:rsid w:val="00D84E98"/>
    <w:rsid w:val="00D84F25"/>
    <w:rsid w:val="00D84FEA"/>
    <w:rsid w:val="00D84FFA"/>
    <w:rsid w:val="00D85031"/>
    <w:rsid w:val="00D850A4"/>
    <w:rsid w:val="00D853E5"/>
    <w:rsid w:val="00D854CA"/>
    <w:rsid w:val="00D855E3"/>
    <w:rsid w:val="00D85627"/>
    <w:rsid w:val="00D8580A"/>
    <w:rsid w:val="00D8585F"/>
    <w:rsid w:val="00D85882"/>
    <w:rsid w:val="00D858B2"/>
    <w:rsid w:val="00D85954"/>
    <w:rsid w:val="00D859E0"/>
    <w:rsid w:val="00D85C1E"/>
    <w:rsid w:val="00D85CF2"/>
    <w:rsid w:val="00D85FA6"/>
    <w:rsid w:val="00D860E7"/>
    <w:rsid w:val="00D8615C"/>
    <w:rsid w:val="00D8617C"/>
    <w:rsid w:val="00D862D8"/>
    <w:rsid w:val="00D86376"/>
    <w:rsid w:val="00D863C8"/>
    <w:rsid w:val="00D864BF"/>
    <w:rsid w:val="00D864EB"/>
    <w:rsid w:val="00D86634"/>
    <w:rsid w:val="00D8675F"/>
    <w:rsid w:val="00D867B7"/>
    <w:rsid w:val="00D8681C"/>
    <w:rsid w:val="00D86927"/>
    <w:rsid w:val="00D869D3"/>
    <w:rsid w:val="00D86A4D"/>
    <w:rsid w:val="00D86B92"/>
    <w:rsid w:val="00D86C69"/>
    <w:rsid w:val="00D86CB9"/>
    <w:rsid w:val="00D86D8A"/>
    <w:rsid w:val="00D86FBE"/>
    <w:rsid w:val="00D86FD4"/>
    <w:rsid w:val="00D87052"/>
    <w:rsid w:val="00D87058"/>
    <w:rsid w:val="00D873FD"/>
    <w:rsid w:val="00D87489"/>
    <w:rsid w:val="00D874C6"/>
    <w:rsid w:val="00D87600"/>
    <w:rsid w:val="00D8768E"/>
    <w:rsid w:val="00D877A0"/>
    <w:rsid w:val="00D877F4"/>
    <w:rsid w:val="00D87863"/>
    <w:rsid w:val="00D87B21"/>
    <w:rsid w:val="00D87B7E"/>
    <w:rsid w:val="00D87C6B"/>
    <w:rsid w:val="00D87D85"/>
    <w:rsid w:val="00D87D98"/>
    <w:rsid w:val="00D87DCC"/>
    <w:rsid w:val="00D87E44"/>
    <w:rsid w:val="00D87EFC"/>
    <w:rsid w:val="00D87FAF"/>
    <w:rsid w:val="00D90036"/>
    <w:rsid w:val="00D900C6"/>
    <w:rsid w:val="00D90198"/>
    <w:rsid w:val="00D90346"/>
    <w:rsid w:val="00D9034E"/>
    <w:rsid w:val="00D90353"/>
    <w:rsid w:val="00D90392"/>
    <w:rsid w:val="00D903E0"/>
    <w:rsid w:val="00D904A6"/>
    <w:rsid w:val="00D90504"/>
    <w:rsid w:val="00D90534"/>
    <w:rsid w:val="00D90554"/>
    <w:rsid w:val="00D90666"/>
    <w:rsid w:val="00D90741"/>
    <w:rsid w:val="00D907F3"/>
    <w:rsid w:val="00D907FC"/>
    <w:rsid w:val="00D908BD"/>
    <w:rsid w:val="00D908D4"/>
    <w:rsid w:val="00D90917"/>
    <w:rsid w:val="00D90919"/>
    <w:rsid w:val="00D909B6"/>
    <w:rsid w:val="00D90A4A"/>
    <w:rsid w:val="00D90A67"/>
    <w:rsid w:val="00D90BA7"/>
    <w:rsid w:val="00D90BAE"/>
    <w:rsid w:val="00D90C94"/>
    <w:rsid w:val="00D90CDE"/>
    <w:rsid w:val="00D90D0D"/>
    <w:rsid w:val="00D90D46"/>
    <w:rsid w:val="00D90E33"/>
    <w:rsid w:val="00D91019"/>
    <w:rsid w:val="00D91081"/>
    <w:rsid w:val="00D910E1"/>
    <w:rsid w:val="00D91219"/>
    <w:rsid w:val="00D9122D"/>
    <w:rsid w:val="00D912C5"/>
    <w:rsid w:val="00D9139F"/>
    <w:rsid w:val="00D91437"/>
    <w:rsid w:val="00D9143A"/>
    <w:rsid w:val="00D914C1"/>
    <w:rsid w:val="00D9159A"/>
    <w:rsid w:val="00D91620"/>
    <w:rsid w:val="00D91820"/>
    <w:rsid w:val="00D918CE"/>
    <w:rsid w:val="00D9199C"/>
    <w:rsid w:val="00D919E1"/>
    <w:rsid w:val="00D91A7A"/>
    <w:rsid w:val="00D91B08"/>
    <w:rsid w:val="00D91B29"/>
    <w:rsid w:val="00D91B73"/>
    <w:rsid w:val="00D91BA6"/>
    <w:rsid w:val="00D91BEC"/>
    <w:rsid w:val="00D91CA2"/>
    <w:rsid w:val="00D91CB1"/>
    <w:rsid w:val="00D91DB7"/>
    <w:rsid w:val="00D91DFA"/>
    <w:rsid w:val="00D91E47"/>
    <w:rsid w:val="00D91F1D"/>
    <w:rsid w:val="00D9203C"/>
    <w:rsid w:val="00D9214E"/>
    <w:rsid w:val="00D92167"/>
    <w:rsid w:val="00D922AD"/>
    <w:rsid w:val="00D9248C"/>
    <w:rsid w:val="00D924BC"/>
    <w:rsid w:val="00D924E9"/>
    <w:rsid w:val="00D9260A"/>
    <w:rsid w:val="00D9260B"/>
    <w:rsid w:val="00D9261C"/>
    <w:rsid w:val="00D92628"/>
    <w:rsid w:val="00D9271E"/>
    <w:rsid w:val="00D92723"/>
    <w:rsid w:val="00D92811"/>
    <w:rsid w:val="00D92833"/>
    <w:rsid w:val="00D92A37"/>
    <w:rsid w:val="00D92B0E"/>
    <w:rsid w:val="00D92B20"/>
    <w:rsid w:val="00D92B30"/>
    <w:rsid w:val="00D92BFC"/>
    <w:rsid w:val="00D92C09"/>
    <w:rsid w:val="00D92C9F"/>
    <w:rsid w:val="00D92CF0"/>
    <w:rsid w:val="00D92D10"/>
    <w:rsid w:val="00D92DF2"/>
    <w:rsid w:val="00D92DF7"/>
    <w:rsid w:val="00D92E00"/>
    <w:rsid w:val="00D92F18"/>
    <w:rsid w:val="00D92F1F"/>
    <w:rsid w:val="00D92F52"/>
    <w:rsid w:val="00D9302B"/>
    <w:rsid w:val="00D930AA"/>
    <w:rsid w:val="00D93144"/>
    <w:rsid w:val="00D9315B"/>
    <w:rsid w:val="00D931F9"/>
    <w:rsid w:val="00D93293"/>
    <w:rsid w:val="00D932A2"/>
    <w:rsid w:val="00D934A7"/>
    <w:rsid w:val="00D93715"/>
    <w:rsid w:val="00D93777"/>
    <w:rsid w:val="00D937C0"/>
    <w:rsid w:val="00D938A3"/>
    <w:rsid w:val="00D9395B"/>
    <w:rsid w:val="00D939A6"/>
    <w:rsid w:val="00D93A3C"/>
    <w:rsid w:val="00D93AB3"/>
    <w:rsid w:val="00D93B14"/>
    <w:rsid w:val="00D93BA3"/>
    <w:rsid w:val="00D93BF0"/>
    <w:rsid w:val="00D93C39"/>
    <w:rsid w:val="00D93C9B"/>
    <w:rsid w:val="00D93CB6"/>
    <w:rsid w:val="00D93CD7"/>
    <w:rsid w:val="00D93CE4"/>
    <w:rsid w:val="00D93D8B"/>
    <w:rsid w:val="00D93DF8"/>
    <w:rsid w:val="00D93E9D"/>
    <w:rsid w:val="00D93ECA"/>
    <w:rsid w:val="00D93EDF"/>
    <w:rsid w:val="00D93F96"/>
    <w:rsid w:val="00D93F99"/>
    <w:rsid w:val="00D93FB3"/>
    <w:rsid w:val="00D93FC3"/>
    <w:rsid w:val="00D93FCE"/>
    <w:rsid w:val="00D94050"/>
    <w:rsid w:val="00D940D1"/>
    <w:rsid w:val="00D9412D"/>
    <w:rsid w:val="00D94247"/>
    <w:rsid w:val="00D94260"/>
    <w:rsid w:val="00D942D3"/>
    <w:rsid w:val="00D94362"/>
    <w:rsid w:val="00D943C6"/>
    <w:rsid w:val="00D94434"/>
    <w:rsid w:val="00D94476"/>
    <w:rsid w:val="00D94500"/>
    <w:rsid w:val="00D945B9"/>
    <w:rsid w:val="00D94892"/>
    <w:rsid w:val="00D9499C"/>
    <w:rsid w:val="00D949CD"/>
    <w:rsid w:val="00D94A6B"/>
    <w:rsid w:val="00D94ACE"/>
    <w:rsid w:val="00D94B43"/>
    <w:rsid w:val="00D94B95"/>
    <w:rsid w:val="00D94C40"/>
    <w:rsid w:val="00D94D4E"/>
    <w:rsid w:val="00D94D73"/>
    <w:rsid w:val="00D94DB3"/>
    <w:rsid w:val="00D94DC1"/>
    <w:rsid w:val="00D94E98"/>
    <w:rsid w:val="00D94EF1"/>
    <w:rsid w:val="00D94F41"/>
    <w:rsid w:val="00D9509F"/>
    <w:rsid w:val="00D951BA"/>
    <w:rsid w:val="00D951C5"/>
    <w:rsid w:val="00D95205"/>
    <w:rsid w:val="00D95247"/>
    <w:rsid w:val="00D9534D"/>
    <w:rsid w:val="00D95367"/>
    <w:rsid w:val="00D953DF"/>
    <w:rsid w:val="00D95521"/>
    <w:rsid w:val="00D956BE"/>
    <w:rsid w:val="00D95788"/>
    <w:rsid w:val="00D95892"/>
    <w:rsid w:val="00D95980"/>
    <w:rsid w:val="00D959BA"/>
    <w:rsid w:val="00D95AA2"/>
    <w:rsid w:val="00D95B77"/>
    <w:rsid w:val="00D95C4B"/>
    <w:rsid w:val="00D95C4C"/>
    <w:rsid w:val="00D95D66"/>
    <w:rsid w:val="00D95E05"/>
    <w:rsid w:val="00D95EF7"/>
    <w:rsid w:val="00D96023"/>
    <w:rsid w:val="00D960D4"/>
    <w:rsid w:val="00D960E5"/>
    <w:rsid w:val="00D960E7"/>
    <w:rsid w:val="00D96115"/>
    <w:rsid w:val="00D96190"/>
    <w:rsid w:val="00D9620A"/>
    <w:rsid w:val="00D96219"/>
    <w:rsid w:val="00D9622D"/>
    <w:rsid w:val="00D96264"/>
    <w:rsid w:val="00D96273"/>
    <w:rsid w:val="00D9631E"/>
    <w:rsid w:val="00D9637E"/>
    <w:rsid w:val="00D96468"/>
    <w:rsid w:val="00D96623"/>
    <w:rsid w:val="00D9666F"/>
    <w:rsid w:val="00D96674"/>
    <w:rsid w:val="00D96759"/>
    <w:rsid w:val="00D96770"/>
    <w:rsid w:val="00D967AF"/>
    <w:rsid w:val="00D96894"/>
    <w:rsid w:val="00D968BB"/>
    <w:rsid w:val="00D968C7"/>
    <w:rsid w:val="00D968D6"/>
    <w:rsid w:val="00D96977"/>
    <w:rsid w:val="00D96A21"/>
    <w:rsid w:val="00D96AAA"/>
    <w:rsid w:val="00D96B34"/>
    <w:rsid w:val="00D96BC2"/>
    <w:rsid w:val="00D96CCC"/>
    <w:rsid w:val="00D96CE6"/>
    <w:rsid w:val="00D96CE7"/>
    <w:rsid w:val="00D96FE9"/>
    <w:rsid w:val="00D96FF1"/>
    <w:rsid w:val="00D9707C"/>
    <w:rsid w:val="00D970AE"/>
    <w:rsid w:val="00D97221"/>
    <w:rsid w:val="00D972E3"/>
    <w:rsid w:val="00D9738C"/>
    <w:rsid w:val="00D973B4"/>
    <w:rsid w:val="00D973C0"/>
    <w:rsid w:val="00D9748C"/>
    <w:rsid w:val="00D9754C"/>
    <w:rsid w:val="00D9763B"/>
    <w:rsid w:val="00D976B0"/>
    <w:rsid w:val="00D97756"/>
    <w:rsid w:val="00D97788"/>
    <w:rsid w:val="00D97840"/>
    <w:rsid w:val="00D9793B"/>
    <w:rsid w:val="00D979E2"/>
    <w:rsid w:val="00D97A32"/>
    <w:rsid w:val="00D97AA3"/>
    <w:rsid w:val="00D97AA7"/>
    <w:rsid w:val="00D97CD4"/>
    <w:rsid w:val="00D97DC8"/>
    <w:rsid w:val="00D97F83"/>
    <w:rsid w:val="00D97FA1"/>
    <w:rsid w:val="00D97FB7"/>
    <w:rsid w:val="00D97FDB"/>
    <w:rsid w:val="00DA006B"/>
    <w:rsid w:val="00DA0229"/>
    <w:rsid w:val="00DA02E1"/>
    <w:rsid w:val="00DA0310"/>
    <w:rsid w:val="00DA03C4"/>
    <w:rsid w:val="00DA03E8"/>
    <w:rsid w:val="00DA053E"/>
    <w:rsid w:val="00DA0549"/>
    <w:rsid w:val="00DA05FE"/>
    <w:rsid w:val="00DA061B"/>
    <w:rsid w:val="00DA0654"/>
    <w:rsid w:val="00DA0803"/>
    <w:rsid w:val="00DA0901"/>
    <w:rsid w:val="00DA0B69"/>
    <w:rsid w:val="00DA0C50"/>
    <w:rsid w:val="00DA0C5B"/>
    <w:rsid w:val="00DA0CE4"/>
    <w:rsid w:val="00DA0CE8"/>
    <w:rsid w:val="00DA0E2C"/>
    <w:rsid w:val="00DA0FD7"/>
    <w:rsid w:val="00DA109C"/>
    <w:rsid w:val="00DA11B1"/>
    <w:rsid w:val="00DA11E4"/>
    <w:rsid w:val="00DA13B4"/>
    <w:rsid w:val="00DA13F1"/>
    <w:rsid w:val="00DA14A1"/>
    <w:rsid w:val="00DA1530"/>
    <w:rsid w:val="00DA1593"/>
    <w:rsid w:val="00DA15BE"/>
    <w:rsid w:val="00DA15C7"/>
    <w:rsid w:val="00DA17AF"/>
    <w:rsid w:val="00DA1A45"/>
    <w:rsid w:val="00DA1AE8"/>
    <w:rsid w:val="00DA1B35"/>
    <w:rsid w:val="00DA1B7E"/>
    <w:rsid w:val="00DA1B93"/>
    <w:rsid w:val="00DA1C1F"/>
    <w:rsid w:val="00DA1D13"/>
    <w:rsid w:val="00DA1F18"/>
    <w:rsid w:val="00DA2123"/>
    <w:rsid w:val="00DA2157"/>
    <w:rsid w:val="00DA2172"/>
    <w:rsid w:val="00DA2247"/>
    <w:rsid w:val="00DA2345"/>
    <w:rsid w:val="00DA23B5"/>
    <w:rsid w:val="00DA23F0"/>
    <w:rsid w:val="00DA243E"/>
    <w:rsid w:val="00DA2523"/>
    <w:rsid w:val="00DA280F"/>
    <w:rsid w:val="00DA2847"/>
    <w:rsid w:val="00DA2997"/>
    <w:rsid w:val="00DA29EC"/>
    <w:rsid w:val="00DA2A9C"/>
    <w:rsid w:val="00DA2C76"/>
    <w:rsid w:val="00DA2D00"/>
    <w:rsid w:val="00DA2E9C"/>
    <w:rsid w:val="00DA2FF3"/>
    <w:rsid w:val="00DA3117"/>
    <w:rsid w:val="00DA3125"/>
    <w:rsid w:val="00DA3287"/>
    <w:rsid w:val="00DA33D1"/>
    <w:rsid w:val="00DA3455"/>
    <w:rsid w:val="00DA3602"/>
    <w:rsid w:val="00DA3669"/>
    <w:rsid w:val="00DA3674"/>
    <w:rsid w:val="00DA36D6"/>
    <w:rsid w:val="00DA37A9"/>
    <w:rsid w:val="00DA3B48"/>
    <w:rsid w:val="00DA3B66"/>
    <w:rsid w:val="00DA3B70"/>
    <w:rsid w:val="00DA3B80"/>
    <w:rsid w:val="00DA3BF5"/>
    <w:rsid w:val="00DA3C0F"/>
    <w:rsid w:val="00DA3C46"/>
    <w:rsid w:val="00DA3ED6"/>
    <w:rsid w:val="00DA3FD5"/>
    <w:rsid w:val="00DA4039"/>
    <w:rsid w:val="00DA4081"/>
    <w:rsid w:val="00DA40E5"/>
    <w:rsid w:val="00DA4226"/>
    <w:rsid w:val="00DA42D1"/>
    <w:rsid w:val="00DA439F"/>
    <w:rsid w:val="00DA4403"/>
    <w:rsid w:val="00DA4451"/>
    <w:rsid w:val="00DA4602"/>
    <w:rsid w:val="00DA4781"/>
    <w:rsid w:val="00DA47A4"/>
    <w:rsid w:val="00DA47BF"/>
    <w:rsid w:val="00DA47F7"/>
    <w:rsid w:val="00DA4856"/>
    <w:rsid w:val="00DA492F"/>
    <w:rsid w:val="00DA4967"/>
    <w:rsid w:val="00DA4983"/>
    <w:rsid w:val="00DA4C97"/>
    <w:rsid w:val="00DA4CDF"/>
    <w:rsid w:val="00DA4D78"/>
    <w:rsid w:val="00DA4D7F"/>
    <w:rsid w:val="00DA4E7E"/>
    <w:rsid w:val="00DA4F3B"/>
    <w:rsid w:val="00DA4FAB"/>
    <w:rsid w:val="00DA4FE5"/>
    <w:rsid w:val="00DA50F2"/>
    <w:rsid w:val="00DA5115"/>
    <w:rsid w:val="00DA5132"/>
    <w:rsid w:val="00DA5274"/>
    <w:rsid w:val="00DA5279"/>
    <w:rsid w:val="00DA5303"/>
    <w:rsid w:val="00DA5396"/>
    <w:rsid w:val="00DA53CE"/>
    <w:rsid w:val="00DA548F"/>
    <w:rsid w:val="00DA54F3"/>
    <w:rsid w:val="00DA5501"/>
    <w:rsid w:val="00DA55B4"/>
    <w:rsid w:val="00DA5653"/>
    <w:rsid w:val="00DA5713"/>
    <w:rsid w:val="00DA57CB"/>
    <w:rsid w:val="00DA57D5"/>
    <w:rsid w:val="00DA59FD"/>
    <w:rsid w:val="00DA5A26"/>
    <w:rsid w:val="00DA5AF8"/>
    <w:rsid w:val="00DA5B7D"/>
    <w:rsid w:val="00DA5C51"/>
    <w:rsid w:val="00DA5E55"/>
    <w:rsid w:val="00DA5E84"/>
    <w:rsid w:val="00DA5F0D"/>
    <w:rsid w:val="00DA5F51"/>
    <w:rsid w:val="00DA6065"/>
    <w:rsid w:val="00DA6068"/>
    <w:rsid w:val="00DA6109"/>
    <w:rsid w:val="00DA6159"/>
    <w:rsid w:val="00DA6166"/>
    <w:rsid w:val="00DA61B7"/>
    <w:rsid w:val="00DA6299"/>
    <w:rsid w:val="00DA631A"/>
    <w:rsid w:val="00DA63E2"/>
    <w:rsid w:val="00DA647E"/>
    <w:rsid w:val="00DA6572"/>
    <w:rsid w:val="00DA6617"/>
    <w:rsid w:val="00DA663E"/>
    <w:rsid w:val="00DA6699"/>
    <w:rsid w:val="00DA695F"/>
    <w:rsid w:val="00DA698F"/>
    <w:rsid w:val="00DA6A76"/>
    <w:rsid w:val="00DA6CBD"/>
    <w:rsid w:val="00DA6D23"/>
    <w:rsid w:val="00DA6D52"/>
    <w:rsid w:val="00DA6EC4"/>
    <w:rsid w:val="00DA6F27"/>
    <w:rsid w:val="00DA6F9E"/>
    <w:rsid w:val="00DA6FC9"/>
    <w:rsid w:val="00DA6FCC"/>
    <w:rsid w:val="00DA704D"/>
    <w:rsid w:val="00DA708E"/>
    <w:rsid w:val="00DA70C1"/>
    <w:rsid w:val="00DA71BE"/>
    <w:rsid w:val="00DA7219"/>
    <w:rsid w:val="00DA7291"/>
    <w:rsid w:val="00DA72B6"/>
    <w:rsid w:val="00DA7397"/>
    <w:rsid w:val="00DA7399"/>
    <w:rsid w:val="00DA73E5"/>
    <w:rsid w:val="00DA7438"/>
    <w:rsid w:val="00DA75F5"/>
    <w:rsid w:val="00DA76C7"/>
    <w:rsid w:val="00DA773E"/>
    <w:rsid w:val="00DA7789"/>
    <w:rsid w:val="00DA79AE"/>
    <w:rsid w:val="00DA7B6D"/>
    <w:rsid w:val="00DA7B93"/>
    <w:rsid w:val="00DA7CF8"/>
    <w:rsid w:val="00DA7D27"/>
    <w:rsid w:val="00DA7DFF"/>
    <w:rsid w:val="00DA7ECF"/>
    <w:rsid w:val="00DA7F67"/>
    <w:rsid w:val="00DA7F8C"/>
    <w:rsid w:val="00DB00A7"/>
    <w:rsid w:val="00DB00CD"/>
    <w:rsid w:val="00DB00DF"/>
    <w:rsid w:val="00DB0171"/>
    <w:rsid w:val="00DB0199"/>
    <w:rsid w:val="00DB020A"/>
    <w:rsid w:val="00DB0287"/>
    <w:rsid w:val="00DB0306"/>
    <w:rsid w:val="00DB03C4"/>
    <w:rsid w:val="00DB0422"/>
    <w:rsid w:val="00DB0569"/>
    <w:rsid w:val="00DB0649"/>
    <w:rsid w:val="00DB0697"/>
    <w:rsid w:val="00DB079B"/>
    <w:rsid w:val="00DB087F"/>
    <w:rsid w:val="00DB08D2"/>
    <w:rsid w:val="00DB08FA"/>
    <w:rsid w:val="00DB0909"/>
    <w:rsid w:val="00DB0965"/>
    <w:rsid w:val="00DB0C9A"/>
    <w:rsid w:val="00DB0D55"/>
    <w:rsid w:val="00DB0DD2"/>
    <w:rsid w:val="00DB0E66"/>
    <w:rsid w:val="00DB0E70"/>
    <w:rsid w:val="00DB0ED3"/>
    <w:rsid w:val="00DB0F8D"/>
    <w:rsid w:val="00DB0FD3"/>
    <w:rsid w:val="00DB1084"/>
    <w:rsid w:val="00DB1086"/>
    <w:rsid w:val="00DB10E1"/>
    <w:rsid w:val="00DB1123"/>
    <w:rsid w:val="00DB112C"/>
    <w:rsid w:val="00DB1139"/>
    <w:rsid w:val="00DB114D"/>
    <w:rsid w:val="00DB11D1"/>
    <w:rsid w:val="00DB1272"/>
    <w:rsid w:val="00DB12BF"/>
    <w:rsid w:val="00DB12D2"/>
    <w:rsid w:val="00DB135F"/>
    <w:rsid w:val="00DB137B"/>
    <w:rsid w:val="00DB13EC"/>
    <w:rsid w:val="00DB14E4"/>
    <w:rsid w:val="00DB16DB"/>
    <w:rsid w:val="00DB16E5"/>
    <w:rsid w:val="00DB17B3"/>
    <w:rsid w:val="00DB17B5"/>
    <w:rsid w:val="00DB17C6"/>
    <w:rsid w:val="00DB181C"/>
    <w:rsid w:val="00DB19C8"/>
    <w:rsid w:val="00DB19E5"/>
    <w:rsid w:val="00DB1A3C"/>
    <w:rsid w:val="00DB1A7E"/>
    <w:rsid w:val="00DB1A8D"/>
    <w:rsid w:val="00DB1C47"/>
    <w:rsid w:val="00DB1C7D"/>
    <w:rsid w:val="00DB1CC1"/>
    <w:rsid w:val="00DB1D0D"/>
    <w:rsid w:val="00DB1D60"/>
    <w:rsid w:val="00DB1DA6"/>
    <w:rsid w:val="00DB1DDE"/>
    <w:rsid w:val="00DB1E6F"/>
    <w:rsid w:val="00DB1F42"/>
    <w:rsid w:val="00DB1FBF"/>
    <w:rsid w:val="00DB22E4"/>
    <w:rsid w:val="00DB22EC"/>
    <w:rsid w:val="00DB2327"/>
    <w:rsid w:val="00DB23D1"/>
    <w:rsid w:val="00DB24B4"/>
    <w:rsid w:val="00DB253F"/>
    <w:rsid w:val="00DB25D8"/>
    <w:rsid w:val="00DB26BB"/>
    <w:rsid w:val="00DB27FD"/>
    <w:rsid w:val="00DB2820"/>
    <w:rsid w:val="00DB28C5"/>
    <w:rsid w:val="00DB293A"/>
    <w:rsid w:val="00DB2953"/>
    <w:rsid w:val="00DB2990"/>
    <w:rsid w:val="00DB29A5"/>
    <w:rsid w:val="00DB2A51"/>
    <w:rsid w:val="00DB2A85"/>
    <w:rsid w:val="00DB2AC8"/>
    <w:rsid w:val="00DB2B34"/>
    <w:rsid w:val="00DB2B7D"/>
    <w:rsid w:val="00DB2CED"/>
    <w:rsid w:val="00DB2D47"/>
    <w:rsid w:val="00DB2D80"/>
    <w:rsid w:val="00DB2DBE"/>
    <w:rsid w:val="00DB2DC6"/>
    <w:rsid w:val="00DB2F62"/>
    <w:rsid w:val="00DB2F6C"/>
    <w:rsid w:val="00DB305A"/>
    <w:rsid w:val="00DB3260"/>
    <w:rsid w:val="00DB339B"/>
    <w:rsid w:val="00DB348F"/>
    <w:rsid w:val="00DB34CB"/>
    <w:rsid w:val="00DB34CE"/>
    <w:rsid w:val="00DB365D"/>
    <w:rsid w:val="00DB36A0"/>
    <w:rsid w:val="00DB37AC"/>
    <w:rsid w:val="00DB394B"/>
    <w:rsid w:val="00DB3A64"/>
    <w:rsid w:val="00DB3BD0"/>
    <w:rsid w:val="00DB3C9C"/>
    <w:rsid w:val="00DB3CCC"/>
    <w:rsid w:val="00DB3CE3"/>
    <w:rsid w:val="00DB3E0A"/>
    <w:rsid w:val="00DB3E36"/>
    <w:rsid w:val="00DB3E8F"/>
    <w:rsid w:val="00DB3ED5"/>
    <w:rsid w:val="00DB3F9A"/>
    <w:rsid w:val="00DB40BF"/>
    <w:rsid w:val="00DB415A"/>
    <w:rsid w:val="00DB4161"/>
    <w:rsid w:val="00DB4207"/>
    <w:rsid w:val="00DB42A5"/>
    <w:rsid w:val="00DB4314"/>
    <w:rsid w:val="00DB4372"/>
    <w:rsid w:val="00DB4395"/>
    <w:rsid w:val="00DB4488"/>
    <w:rsid w:val="00DB4514"/>
    <w:rsid w:val="00DB451D"/>
    <w:rsid w:val="00DB467D"/>
    <w:rsid w:val="00DB46E6"/>
    <w:rsid w:val="00DB475A"/>
    <w:rsid w:val="00DB47F8"/>
    <w:rsid w:val="00DB48B8"/>
    <w:rsid w:val="00DB4958"/>
    <w:rsid w:val="00DB4978"/>
    <w:rsid w:val="00DB4A5B"/>
    <w:rsid w:val="00DB4A95"/>
    <w:rsid w:val="00DB4ABA"/>
    <w:rsid w:val="00DB4AC1"/>
    <w:rsid w:val="00DB4AEC"/>
    <w:rsid w:val="00DB4C4D"/>
    <w:rsid w:val="00DB4CD0"/>
    <w:rsid w:val="00DB4DB2"/>
    <w:rsid w:val="00DB4DC0"/>
    <w:rsid w:val="00DB518D"/>
    <w:rsid w:val="00DB51BA"/>
    <w:rsid w:val="00DB51CC"/>
    <w:rsid w:val="00DB51FE"/>
    <w:rsid w:val="00DB526C"/>
    <w:rsid w:val="00DB52EA"/>
    <w:rsid w:val="00DB5379"/>
    <w:rsid w:val="00DB5389"/>
    <w:rsid w:val="00DB5490"/>
    <w:rsid w:val="00DB5544"/>
    <w:rsid w:val="00DB55C0"/>
    <w:rsid w:val="00DB56C8"/>
    <w:rsid w:val="00DB5749"/>
    <w:rsid w:val="00DB5771"/>
    <w:rsid w:val="00DB5782"/>
    <w:rsid w:val="00DB57E2"/>
    <w:rsid w:val="00DB5858"/>
    <w:rsid w:val="00DB5AC6"/>
    <w:rsid w:val="00DB5C2A"/>
    <w:rsid w:val="00DB5C61"/>
    <w:rsid w:val="00DB5CFA"/>
    <w:rsid w:val="00DB5E11"/>
    <w:rsid w:val="00DB5F07"/>
    <w:rsid w:val="00DB5F9C"/>
    <w:rsid w:val="00DB60C1"/>
    <w:rsid w:val="00DB61B4"/>
    <w:rsid w:val="00DB61DB"/>
    <w:rsid w:val="00DB61FE"/>
    <w:rsid w:val="00DB6354"/>
    <w:rsid w:val="00DB649C"/>
    <w:rsid w:val="00DB6583"/>
    <w:rsid w:val="00DB661D"/>
    <w:rsid w:val="00DB666F"/>
    <w:rsid w:val="00DB6670"/>
    <w:rsid w:val="00DB675E"/>
    <w:rsid w:val="00DB69B6"/>
    <w:rsid w:val="00DB6A50"/>
    <w:rsid w:val="00DB6AF2"/>
    <w:rsid w:val="00DB6BA0"/>
    <w:rsid w:val="00DB6BD1"/>
    <w:rsid w:val="00DB6BE3"/>
    <w:rsid w:val="00DB6C4D"/>
    <w:rsid w:val="00DB6C88"/>
    <w:rsid w:val="00DB6D9F"/>
    <w:rsid w:val="00DB6E42"/>
    <w:rsid w:val="00DB6FAE"/>
    <w:rsid w:val="00DB702F"/>
    <w:rsid w:val="00DB718C"/>
    <w:rsid w:val="00DB71D3"/>
    <w:rsid w:val="00DB7665"/>
    <w:rsid w:val="00DB76E9"/>
    <w:rsid w:val="00DB76F9"/>
    <w:rsid w:val="00DB78D7"/>
    <w:rsid w:val="00DB7929"/>
    <w:rsid w:val="00DB7985"/>
    <w:rsid w:val="00DB7A27"/>
    <w:rsid w:val="00DB7A47"/>
    <w:rsid w:val="00DB7AF2"/>
    <w:rsid w:val="00DB7B61"/>
    <w:rsid w:val="00DB7BAC"/>
    <w:rsid w:val="00DB7C0C"/>
    <w:rsid w:val="00DB7C13"/>
    <w:rsid w:val="00DB7C4C"/>
    <w:rsid w:val="00DB7C66"/>
    <w:rsid w:val="00DB7D57"/>
    <w:rsid w:val="00DB7E17"/>
    <w:rsid w:val="00DB7EB2"/>
    <w:rsid w:val="00DB7EB8"/>
    <w:rsid w:val="00DB7ED0"/>
    <w:rsid w:val="00DB7F3D"/>
    <w:rsid w:val="00DC0074"/>
    <w:rsid w:val="00DC0136"/>
    <w:rsid w:val="00DC01A2"/>
    <w:rsid w:val="00DC021F"/>
    <w:rsid w:val="00DC02B4"/>
    <w:rsid w:val="00DC0605"/>
    <w:rsid w:val="00DC06A7"/>
    <w:rsid w:val="00DC06BD"/>
    <w:rsid w:val="00DC06DB"/>
    <w:rsid w:val="00DC0879"/>
    <w:rsid w:val="00DC09A5"/>
    <w:rsid w:val="00DC0A76"/>
    <w:rsid w:val="00DC0B2B"/>
    <w:rsid w:val="00DC0C64"/>
    <w:rsid w:val="00DC0C8D"/>
    <w:rsid w:val="00DC0C9C"/>
    <w:rsid w:val="00DC0D29"/>
    <w:rsid w:val="00DC0D4A"/>
    <w:rsid w:val="00DC0E0C"/>
    <w:rsid w:val="00DC0E40"/>
    <w:rsid w:val="00DC101D"/>
    <w:rsid w:val="00DC1049"/>
    <w:rsid w:val="00DC119D"/>
    <w:rsid w:val="00DC122D"/>
    <w:rsid w:val="00DC1250"/>
    <w:rsid w:val="00DC129D"/>
    <w:rsid w:val="00DC12C8"/>
    <w:rsid w:val="00DC12EF"/>
    <w:rsid w:val="00DC12FB"/>
    <w:rsid w:val="00DC13AE"/>
    <w:rsid w:val="00DC13E4"/>
    <w:rsid w:val="00DC15A2"/>
    <w:rsid w:val="00DC1613"/>
    <w:rsid w:val="00DC1626"/>
    <w:rsid w:val="00DC164F"/>
    <w:rsid w:val="00DC1730"/>
    <w:rsid w:val="00DC17E0"/>
    <w:rsid w:val="00DC17EE"/>
    <w:rsid w:val="00DC180C"/>
    <w:rsid w:val="00DC1A18"/>
    <w:rsid w:val="00DC1A1A"/>
    <w:rsid w:val="00DC1A92"/>
    <w:rsid w:val="00DC1AF2"/>
    <w:rsid w:val="00DC1B3E"/>
    <w:rsid w:val="00DC1D8D"/>
    <w:rsid w:val="00DC1D99"/>
    <w:rsid w:val="00DC1DC5"/>
    <w:rsid w:val="00DC1E72"/>
    <w:rsid w:val="00DC1FBC"/>
    <w:rsid w:val="00DC2021"/>
    <w:rsid w:val="00DC2027"/>
    <w:rsid w:val="00DC20A8"/>
    <w:rsid w:val="00DC2188"/>
    <w:rsid w:val="00DC2241"/>
    <w:rsid w:val="00DC23CB"/>
    <w:rsid w:val="00DC23D5"/>
    <w:rsid w:val="00DC2491"/>
    <w:rsid w:val="00DC24BA"/>
    <w:rsid w:val="00DC24E3"/>
    <w:rsid w:val="00DC25CC"/>
    <w:rsid w:val="00DC260D"/>
    <w:rsid w:val="00DC2639"/>
    <w:rsid w:val="00DC2695"/>
    <w:rsid w:val="00DC26C3"/>
    <w:rsid w:val="00DC27AE"/>
    <w:rsid w:val="00DC29B8"/>
    <w:rsid w:val="00DC2A80"/>
    <w:rsid w:val="00DC2A8C"/>
    <w:rsid w:val="00DC2AC9"/>
    <w:rsid w:val="00DC2B52"/>
    <w:rsid w:val="00DC2C32"/>
    <w:rsid w:val="00DC2F90"/>
    <w:rsid w:val="00DC2FFB"/>
    <w:rsid w:val="00DC31AF"/>
    <w:rsid w:val="00DC32B7"/>
    <w:rsid w:val="00DC331E"/>
    <w:rsid w:val="00DC357B"/>
    <w:rsid w:val="00DC36BB"/>
    <w:rsid w:val="00DC3708"/>
    <w:rsid w:val="00DC3747"/>
    <w:rsid w:val="00DC3764"/>
    <w:rsid w:val="00DC37D6"/>
    <w:rsid w:val="00DC381F"/>
    <w:rsid w:val="00DC3828"/>
    <w:rsid w:val="00DC3849"/>
    <w:rsid w:val="00DC38E0"/>
    <w:rsid w:val="00DC390A"/>
    <w:rsid w:val="00DC3935"/>
    <w:rsid w:val="00DC39EE"/>
    <w:rsid w:val="00DC3A24"/>
    <w:rsid w:val="00DC3B2A"/>
    <w:rsid w:val="00DC3C2D"/>
    <w:rsid w:val="00DC3D49"/>
    <w:rsid w:val="00DC3EC6"/>
    <w:rsid w:val="00DC404B"/>
    <w:rsid w:val="00DC430E"/>
    <w:rsid w:val="00DC4316"/>
    <w:rsid w:val="00DC44B5"/>
    <w:rsid w:val="00DC464F"/>
    <w:rsid w:val="00DC4718"/>
    <w:rsid w:val="00DC4755"/>
    <w:rsid w:val="00DC47D7"/>
    <w:rsid w:val="00DC4858"/>
    <w:rsid w:val="00DC4A25"/>
    <w:rsid w:val="00DC4A64"/>
    <w:rsid w:val="00DC4B34"/>
    <w:rsid w:val="00DC4BD5"/>
    <w:rsid w:val="00DC4BE0"/>
    <w:rsid w:val="00DC4CCE"/>
    <w:rsid w:val="00DC4CD2"/>
    <w:rsid w:val="00DC4D5B"/>
    <w:rsid w:val="00DC4D9F"/>
    <w:rsid w:val="00DC4F36"/>
    <w:rsid w:val="00DC504E"/>
    <w:rsid w:val="00DC512D"/>
    <w:rsid w:val="00DC5177"/>
    <w:rsid w:val="00DC518A"/>
    <w:rsid w:val="00DC5232"/>
    <w:rsid w:val="00DC5267"/>
    <w:rsid w:val="00DC53E7"/>
    <w:rsid w:val="00DC5459"/>
    <w:rsid w:val="00DC5674"/>
    <w:rsid w:val="00DC571E"/>
    <w:rsid w:val="00DC574C"/>
    <w:rsid w:val="00DC5860"/>
    <w:rsid w:val="00DC58E0"/>
    <w:rsid w:val="00DC5A28"/>
    <w:rsid w:val="00DC5BA3"/>
    <w:rsid w:val="00DC5BF9"/>
    <w:rsid w:val="00DC5DD9"/>
    <w:rsid w:val="00DC5DE0"/>
    <w:rsid w:val="00DC5E50"/>
    <w:rsid w:val="00DC5E65"/>
    <w:rsid w:val="00DC5EC0"/>
    <w:rsid w:val="00DC5F7E"/>
    <w:rsid w:val="00DC60A4"/>
    <w:rsid w:val="00DC61DA"/>
    <w:rsid w:val="00DC6520"/>
    <w:rsid w:val="00DC6550"/>
    <w:rsid w:val="00DC68E2"/>
    <w:rsid w:val="00DC698C"/>
    <w:rsid w:val="00DC6A08"/>
    <w:rsid w:val="00DC6A64"/>
    <w:rsid w:val="00DC6A92"/>
    <w:rsid w:val="00DC6AA9"/>
    <w:rsid w:val="00DC6B66"/>
    <w:rsid w:val="00DC6BD1"/>
    <w:rsid w:val="00DC6C20"/>
    <w:rsid w:val="00DC6C95"/>
    <w:rsid w:val="00DC6CF7"/>
    <w:rsid w:val="00DC6E74"/>
    <w:rsid w:val="00DC6FAA"/>
    <w:rsid w:val="00DC70DD"/>
    <w:rsid w:val="00DC7101"/>
    <w:rsid w:val="00DC7155"/>
    <w:rsid w:val="00DC7234"/>
    <w:rsid w:val="00DC727B"/>
    <w:rsid w:val="00DC7432"/>
    <w:rsid w:val="00DC74C5"/>
    <w:rsid w:val="00DC7577"/>
    <w:rsid w:val="00DC75F9"/>
    <w:rsid w:val="00DC762C"/>
    <w:rsid w:val="00DC7745"/>
    <w:rsid w:val="00DC7974"/>
    <w:rsid w:val="00DC79E1"/>
    <w:rsid w:val="00DC7A50"/>
    <w:rsid w:val="00DC7AE0"/>
    <w:rsid w:val="00DC7B0A"/>
    <w:rsid w:val="00DC7BC1"/>
    <w:rsid w:val="00DC7BE3"/>
    <w:rsid w:val="00DC7C13"/>
    <w:rsid w:val="00DC7C34"/>
    <w:rsid w:val="00DC7D48"/>
    <w:rsid w:val="00DC7DF0"/>
    <w:rsid w:val="00DC7E1F"/>
    <w:rsid w:val="00DC7E34"/>
    <w:rsid w:val="00DC7F27"/>
    <w:rsid w:val="00DC7FA8"/>
    <w:rsid w:val="00DC8864"/>
    <w:rsid w:val="00DD0008"/>
    <w:rsid w:val="00DD00FE"/>
    <w:rsid w:val="00DD0252"/>
    <w:rsid w:val="00DD037B"/>
    <w:rsid w:val="00DD0393"/>
    <w:rsid w:val="00DD04C1"/>
    <w:rsid w:val="00DD04F7"/>
    <w:rsid w:val="00DD051D"/>
    <w:rsid w:val="00DD0563"/>
    <w:rsid w:val="00DD05A3"/>
    <w:rsid w:val="00DD072B"/>
    <w:rsid w:val="00DD078B"/>
    <w:rsid w:val="00DD078D"/>
    <w:rsid w:val="00DD083E"/>
    <w:rsid w:val="00DD084D"/>
    <w:rsid w:val="00DD088E"/>
    <w:rsid w:val="00DD09DE"/>
    <w:rsid w:val="00DD09F7"/>
    <w:rsid w:val="00DD0A2B"/>
    <w:rsid w:val="00DD0AB4"/>
    <w:rsid w:val="00DD0B23"/>
    <w:rsid w:val="00DD0BAF"/>
    <w:rsid w:val="00DD0CC3"/>
    <w:rsid w:val="00DD0E21"/>
    <w:rsid w:val="00DD0E65"/>
    <w:rsid w:val="00DD0EC7"/>
    <w:rsid w:val="00DD0FFE"/>
    <w:rsid w:val="00DD1126"/>
    <w:rsid w:val="00DD11F6"/>
    <w:rsid w:val="00DD12C4"/>
    <w:rsid w:val="00DD1317"/>
    <w:rsid w:val="00DD1372"/>
    <w:rsid w:val="00DD1447"/>
    <w:rsid w:val="00DD1555"/>
    <w:rsid w:val="00DD155E"/>
    <w:rsid w:val="00DD15C3"/>
    <w:rsid w:val="00DD1645"/>
    <w:rsid w:val="00DD17ED"/>
    <w:rsid w:val="00DD1854"/>
    <w:rsid w:val="00DD185F"/>
    <w:rsid w:val="00DD1979"/>
    <w:rsid w:val="00DD1C7A"/>
    <w:rsid w:val="00DD1C96"/>
    <w:rsid w:val="00DD1CA9"/>
    <w:rsid w:val="00DD1E3D"/>
    <w:rsid w:val="00DD2143"/>
    <w:rsid w:val="00DD21C7"/>
    <w:rsid w:val="00DD2296"/>
    <w:rsid w:val="00DD24EE"/>
    <w:rsid w:val="00DD2524"/>
    <w:rsid w:val="00DD266D"/>
    <w:rsid w:val="00DD277B"/>
    <w:rsid w:val="00DD285F"/>
    <w:rsid w:val="00DD28A8"/>
    <w:rsid w:val="00DD2AE2"/>
    <w:rsid w:val="00DD2C08"/>
    <w:rsid w:val="00DD2D19"/>
    <w:rsid w:val="00DD2E18"/>
    <w:rsid w:val="00DD2E1F"/>
    <w:rsid w:val="00DD2E89"/>
    <w:rsid w:val="00DD2EB4"/>
    <w:rsid w:val="00DD2EC2"/>
    <w:rsid w:val="00DD2EC3"/>
    <w:rsid w:val="00DD2F29"/>
    <w:rsid w:val="00DD2F67"/>
    <w:rsid w:val="00DD2FEA"/>
    <w:rsid w:val="00DD3037"/>
    <w:rsid w:val="00DD3161"/>
    <w:rsid w:val="00DD320E"/>
    <w:rsid w:val="00DD32B0"/>
    <w:rsid w:val="00DD332B"/>
    <w:rsid w:val="00DD34C3"/>
    <w:rsid w:val="00DD35DE"/>
    <w:rsid w:val="00DD38EA"/>
    <w:rsid w:val="00DD396C"/>
    <w:rsid w:val="00DD3989"/>
    <w:rsid w:val="00DD39E9"/>
    <w:rsid w:val="00DD3AC0"/>
    <w:rsid w:val="00DD3B2B"/>
    <w:rsid w:val="00DD3B37"/>
    <w:rsid w:val="00DD3BE6"/>
    <w:rsid w:val="00DD3C60"/>
    <w:rsid w:val="00DD3D3A"/>
    <w:rsid w:val="00DD3D98"/>
    <w:rsid w:val="00DD3E7F"/>
    <w:rsid w:val="00DD4113"/>
    <w:rsid w:val="00DD4175"/>
    <w:rsid w:val="00DD41DB"/>
    <w:rsid w:val="00DD4268"/>
    <w:rsid w:val="00DD42E3"/>
    <w:rsid w:val="00DD42F5"/>
    <w:rsid w:val="00DD455C"/>
    <w:rsid w:val="00DD4603"/>
    <w:rsid w:val="00DD46F6"/>
    <w:rsid w:val="00DD4763"/>
    <w:rsid w:val="00DD4810"/>
    <w:rsid w:val="00DD495A"/>
    <w:rsid w:val="00DD4984"/>
    <w:rsid w:val="00DD4A44"/>
    <w:rsid w:val="00DD4A91"/>
    <w:rsid w:val="00DD4AD8"/>
    <w:rsid w:val="00DD4EB1"/>
    <w:rsid w:val="00DD4F16"/>
    <w:rsid w:val="00DD5050"/>
    <w:rsid w:val="00DD5073"/>
    <w:rsid w:val="00DD5117"/>
    <w:rsid w:val="00DD511D"/>
    <w:rsid w:val="00DD51CA"/>
    <w:rsid w:val="00DD5238"/>
    <w:rsid w:val="00DD52B9"/>
    <w:rsid w:val="00DD534A"/>
    <w:rsid w:val="00DD53CB"/>
    <w:rsid w:val="00DD540E"/>
    <w:rsid w:val="00DD56B0"/>
    <w:rsid w:val="00DD583D"/>
    <w:rsid w:val="00DD5915"/>
    <w:rsid w:val="00DD59FC"/>
    <w:rsid w:val="00DD5AED"/>
    <w:rsid w:val="00DD5AFE"/>
    <w:rsid w:val="00DD5B5D"/>
    <w:rsid w:val="00DD5B80"/>
    <w:rsid w:val="00DD5BD1"/>
    <w:rsid w:val="00DD5C7F"/>
    <w:rsid w:val="00DD5D70"/>
    <w:rsid w:val="00DD5EAB"/>
    <w:rsid w:val="00DD5EB2"/>
    <w:rsid w:val="00DD5F4A"/>
    <w:rsid w:val="00DD5F78"/>
    <w:rsid w:val="00DD5FB0"/>
    <w:rsid w:val="00DD6183"/>
    <w:rsid w:val="00DD61F8"/>
    <w:rsid w:val="00DD62EC"/>
    <w:rsid w:val="00DD644A"/>
    <w:rsid w:val="00DD6637"/>
    <w:rsid w:val="00DD67D8"/>
    <w:rsid w:val="00DD6805"/>
    <w:rsid w:val="00DD69C0"/>
    <w:rsid w:val="00DD6B37"/>
    <w:rsid w:val="00DD6BE9"/>
    <w:rsid w:val="00DD6BEF"/>
    <w:rsid w:val="00DD6C59"/>
    <w:rsid w:val="00DD6CB7"/>
    <w:rsid w:val="00DD6D80"/>
    <w:rsid w:val="00DD6E7D"/>
    <w:rsid w:val="00DD701F"/>
    <w:rsid w:val="00DD70B8"/>
    <w:rsid w:val="00DD70C0"/>
    <w:rsid w:val="00DD70E1"/>
    <w:rsid w:val="00DD7154"/>
    <w:rsid w:val="00DD742E"/>
    <w:rsid w:val="00DD7614"/>
    <w:rsid w:val="00DD763E"/>
    <w:rsid w:val="00DD7738"/>
    <w:rsid w:val="00DD778F"/>
    <w:rsid w:val="00DD77A9"/>
    <w:rsid w:val="00DD78E1"/>
    <w:rsid w:val="00DD7933"/>
    <w:rsid w:val="00DD797C"/>
    <w:rsid w:val="00DD79F3"/>
    <w:rsid w:val="00DD7B21"/>
    <w:rsid w:val="00DD7B4A"/>
    <w:rsid w:val="00DD7B5E"/>
    <w:rsid w:val="00DD7B7F"/>
    <w:rsid w:val="00DD7C28"/>
    <w:rsid w:val="00DD7C8E"/>
    <w:rsid w:val="00DD7D35"/>
    <w:rsid w:val="00DD7D55"/>
    <w:rsid w:val="00DD7EAF"/>
    <w:rsid w:val="00DD7FC1"/>
    <w:rsid w:val="00DD7FFE"/>
    <w:rsid w:val="00DE0106"/>
    <w:rsid w:val="00DE0159"/>
    <w:rsid w:val="00DE016D"/>
    <w:rsid w:val="00DE0196"/>
    <w:rsid w:val="00DE0201"/>
    <w:rsid w:val="00DE027E"/>
    <w:rsid w:val="00DE030C"/>
    <w:rsid w:val="00DE036C"/>
    <w:rsid w:val="00DE0424"/>
    <w:rsid w:val="00DE0497"/>
    <w:rsid w:val="00DE059D"/>
    <w:rsid w:val="00DE063C"/>
    <w:rsid w:val="00DE06AA"/>
    <w:rsid w:val="00DE070D"/>
    <w:rsid w:val="00DE0806"/>
    <w:rsid w:val="00DE0882"/>
    <w:rsid w:val="00DE0897"/>
    <w:rsid w:val="00DE098F"/>
    <w:rsid w:val="00DE09AF"/>
    <w:rsid w:val="00DE0A08"/>
    <w:rsid w:val="00DE0B1D"/>
    <w:rsid w:val="00DE0B28"/>
    <w:rsid w:val="00DE0B56"/>
    <w:rsid w:val="00DE0B72"/>
    <w:rsid w:val="00DE0BA8"/>
    <w:rsid w:val="00DE0BB1"/>
    <w:rsid w:val="00DE0C0E"/>
    <w:rsid w:val="00DE0D10"/>
    <w:rsid w:val="00DE0D44"/>
    <w:rsid w:val="00DE0D85"/>
    <w:rsid w:val="00DE0ED7"/>
    <w:rsid w:val="00DE0FBB"/>
    <w:rsid w:val="00DE0FC0"/>
    <w:rsid w:val="00DE0FC2"/>
    <w:rsid w:val="00DE108C"/>
    <w:rsid w:val="00DE113B"/>
    <w:rsid w:val="00DE124D"/>
    <w:rsid w:val="00DE1260"/>
    <w:rsid w:val="00DE1291"/>
    <w:rsid w:val="00DE129C"/>
    <w:rsid w:val="00DE1336"/>
    <w:rsid w:val="00DE1339"/>
    <w:rsid w:val="00DE13C2"/>
    <w:rsid w:val="00DE1589"/>
    <w:rsid w:val="00DE165D"/>
    <w:rsid w:val="00DE193B"/>
    <w:rsid w:val="00DE19F2"/>
    <w:rsid w:val="00DE1C46"/>
    <w:rsid w:val="00DE1C4B"/>
    <w:rsid w:val="00DE1C7B"/>
    <w:rsid w:val="00DE1D37"/>
    <w:rsid w:val="00DE1EA4"/>
    <w:rsid w:val="00DE206E"/>
    <w:rsid w:val="00DE209B"/>
    <w:rsid w:val="00DE20C7"/>
    <w:rsid w:val="00DE2171"/>
    <w:rsid w:val="00DE219E"/>
    <w:rsid w:val="00DE21F2"/>
    <w:rsid w:val="00DE221D"/>
    <w:rsid w:val="00DE2232"/>
    <w:rsid w:val="00DE23D1"/>
    <w:rsid w:val="00DE245D"/>
    <w:rsid w:val="00DE24AF"/>
    <w:rsid w:val="00DE2619"/>
    <w:rsid w:val="00DE2692"/>
    <w:rsid w:val="00DE26B8"/>
    <w:rsid w:val="00DE273E"/>
    <w:rsid w:val="00DE292D"/>
    <w:rsid w:val="00DE2955"/>
    <w:rsid w:val="00DE29A9"/>
    <w:rsid w:val="00DE29BF"/>
    <w:rsid w:val="00DE2A12"/>
    <w:rsid w:val="00DE2A61"/>
    <w:rsid w:val="00DE2B11"/>
    <w:rsid w:val="00DE2C66"/>
    <w:rsid w:val="00DE2C8C"/>
    <w:rsid w:val="00DE2D5A"/>
    <w:rsid w:val="00DE2DF0"/>
    <w:rsid w:val="00DE2E42"/>
    <w:rsid w:val="00DE2E89"/>
    <w:rsid w:val="00DE2F07"/>
    <w:rsid w:val="00DE2F4C"/>
    <w:rsid w:val="00DE2F75"/>
    <w:rsid w:val="00DE2FE3"/>
    <w:rsid w:val="00DE31B1"/>
    <w:rsid w:val="00DE31C5"/>
    <w:rsid w:val="00DE3228"/>
    <w:rsid w:val="00DE325F"/>
    <w:rsid w:val="00DE3456"/>
    <w:rsid w:val="00DE34BB"/>
    <w:rsid w:val="00DE353E"/>
    <w:rsid w:val="00DE3559"/>
    <w:rsid w:val="00DE35A8"/>
    <w:rsid w:val="00DE35C2"/>
    <w:rsid w:val="00DE35CB"/>
    <w:rsid w:val="00DE35E0"/>
    <w:rsid w:val="00DE3814"/>
    <w:rsid w:val="00DE38C0"/>
    <w:rsid w:val="00DE38D4"/>
    <w:rsid w:val="00DE38E2"/>
    <w:rsid w:val="00DE3909"/>
    <w:rsid w:val="00DE3949"/>
    <w:rsid w:val="00DE39A5"/>
    <w:rsid w:val="00DE39D4"/>
    <w:rsid w:val="00DE3A07"/>
    <w:rsid w:val="00DE3B2A"/>
    <w:rsid w:val="00DE3B6A"/>
    <w:rsid w:val="00DE3BCA"/>
    <w:rsid w:val="00DE3BEC"/>
    <w:rsid w:val="00DE3C18"/>
    <w:rsid w:val="00DE3C5F"/>
    <w:rsid w:val="00DE3D25"/>
    <w:rsid w:val="00DE3D37"/>
    <w:rsid w:val="00DE3D69"/>
    <w:rsid w:val="00DE3DE1"/>
    <w:rsid w:val="00DE3E34"/>
    <w:rsid w:val="00DE3EBE"/>
    <w:rsid w:val="00DE3F40"/>
    <w:rsid w:val="00DE3F57"/>
    <w:rsid w:val="00DE402D"/>
    <w:rsid w:val="00DE4048"/>
    <w:rsid w:val="00DE4060"/>
    <w:rsid w:val="00DE4093"/>
    <w:rsid w:val="00DE41D5"/>
    <w:rsid w:val="00DE42F3"/>
    <w:rsid w:val="00DE4319"/>
    <w:rsid w:val="00DE439C"/>
    <w:rsid w:val="00DE43B9"/>
    <w:rsid w:val="00DE43C6"/>
    <w:rsid w:val="00DE45D7"/>
    <w:rsid w:val="00DE45F9"/>
    <w:rsid w:val="00DE463D"/>
    <w:rsid w:val="00DE4887"/>
    <w:rsid w:val="00DE48C5"/>
    <w:rsid w:val="00DE4998"/>
    <w:rsid w:val="00DE4A39"/>
    <w:rsid w:val="00DE4A5C"/>
    <w:rsid w:val="00DE4B3D"/>
    <w:rsid w:val="00DE4B4A"/>
    <w:rsid w:val="00DE4D39"/>
    <w:rsid w:val="00DE4D60"/>
    <w:rsid w:val="00DE4DAB"/>
    <w:rsid w:val="00DE4E35"/>
    <w:rsid w:val="00DE4EA5"/>
    <w:rsid w:val="00DE4EA7"/>
    <w:rsid w:val="00DE4FAF"/>
    <w:rsid w:val="00DE501F"/>
    <w:rsid w:val="00DE5024"/>
    <w:rsid w:val="00DE508C"/>
    <w:rsid w:val="00DE50EC"/>
    <w:rsid w:val="00DE5251"/>
    <w:rsid w:val="00DE526F"/>
    <w:rsid w:val="00DE52EE"/>
    <w:rsid w:val="00DE535A"/>
    <w:rsid w:val="00DE544D"/>
    <w:rsid w:val="00DE549A"/>
    <w:rsid w:val="00DE54D7"/>
    <w:rsid w:val="00DE5662"/>
    <w:rsid w:val="00DE5692"/>
    <w:rsid w:val="00DE56B9"/>
    <w:rsid w:val="00DE57D2"/>
    <w:rsid w:val="00DE5878"/>
    <w:rsid w:val="00DE591E"/>
    <w:rsid w:val="00DE5A11"/>
    <w:rsid w:val="00DE5A19"/>
    <w:rsid w:val="00DE5A47"/>
    <w:rsid w:val="00DE5AB9"/>
    <w:rsid w:val="00DE5B28"/>
    <w:rsid w:val="00DE5C68"/>
    <w:rsid w:val="00DE5C71"/>
    <w:rsid w:val="00DE5D76"/>
    <w:rsid w:val="00DE5F42"/>
    <w:rsid w:val="00DE5FB6"/>
    <w:rsid w:val="00DE60C2"/>
    <w:rsid w:val="00DE617A"/>
    <w:rsid w:val="00DE629F"/>
    <w:rsid w:val="00DE62DF"/>
    <w:rsid w:val="00DE6303"/>
    <w:rsid w:val="00DE63D9"/>
    <w:rsid w:val="00DE646B"/>
    <w:rsid w:val="00DE65C8"/>
    <w:rsid w:val="00DE65D2"/>
    <w:rsid w:val="00DE65FF"/>
    <w:rsid w:val="00DE6648"/>
    <w:rsid w:val="00DE67E9"/>
    <w:rsid w:val="00DE6834"/>
    <w:rsid w:val="00DE6877"/>
    <w:rsid w:val="00DE68DD"/>
    <w:rsid w:val="00DE68E0"/>
    <w:rsid w:val="00DE6940"/>
    <w:rsid w:val="00DE6942"/>
    <w:rsid w:val="00DE699A"/>
    <w:rsid w:val="00DE6A8D"/>
    <w:rsid w:val="00DE6AF5"/>
    <w:rsid w:val="00DE6C31"/>
    <w:rsid w:val="00DE6C60"/>
    <w:rsid w:val="00DE6C93"/>
    <w:rsid w:val="00DE6D31"/>
    <w:rsid w:val="00DE6E92"/>
    <w:rsid w:val="00DE6FC5"/>
    <w:rsid w:val="00DE704B"/>
    <w:rsid w:val="00DE70BD"/>
    <w:rsid w:val="00DE71C6"/>
    <w:rsid w:val="00DE724D"/>
    <w:rsid w:val="00DE73B1"/>
    <w:rsid w:val="00DE751C"/>
    <w:rsid w:val="00DE75C2"/>
    <w:rsid w:val="00DE760D"/>
    <w:rsid w:val="00DE7665"/>
    <w:rsid w:val="00DE7688"/>
    <w:rsid w:val="00DE771E"/>
    <w:rsid w:val="00DE7877"/>
    <w:rsid w:val="00DE793A"/>
    <w:rsid w:val="00DE7974"/>
    <w:rsid w:val="00DE7996"/>
    <w:rsid w:val="00DE7A3D"/>
    <w:rsid w:val="00DE7AB5"/>
    <w:rsid w:val="00DE7B70"/>
    <w:rsid w:val="00DE7C2E"/>
    <w:rsid w:val="00DE7C2F"/>
    <w:rsid w:val="00DE7E08"/>
    <w:rsid w:val="00DE7E0E"/>
    <w:rsid w:val="00DE7EF3"/>
    <w:rsid w:val="00DE7EF5"/>
    <w:rsid w:val="00DE7F57"/>
    <w:rsid w:val="00DE7F88"/>
    <w:rsid w:val="00DF0063"/>
    <w:rsid w:val="00DF0088"/>
    <w:rsid w:val="00DF016D"/>
    <w:rsid w:val="00DF0198"/>
    <w:rsid w:val="00DF022F"/>
    <w:rsid w:val="00DF0349"/>
    <w:rsid w:val="00DF04EC"/>
    <w:rsid w:val="00DF0535"/>
    <w:rsid w:val="00DF0576"/>
    <w:rsid w:val="00DF0659"/>
    <w:rsid w:val="00DF06E7"/>
    <w:rsid w:val="00DF06FE"/>
    <w:rsid w:val="00DF071B"/>
    <w:rsid w:val="00DF092E"/>
    <w:rsid w:val="00DF093B"/>
    <w:rsid w:val="00DF0AD8"/>
    <w:rsid w:val="00DF0C49"/>
    <w:rsid w:val="00DF0CD6"/>
    <w:rsid w:val="00DF0D6A"/>
    <w:rsid w:val="00DF0DBB"/>
    <w:rsid w:val="00DF0E64"/>
    <w:rsid w:val="00DF0F58"/>
    <w:rsid w:val="00DF1016"/>
    <w:rsid w:val="00DF1254"/>
    <w:rsid w:val="00DF1367"/>
    <w:rsid w:val="00DF1518"/>
    <w:rsid w:val="00DF15CC"/>
    <w:rsid w:val="00DF174F"/>
    <w:rsid w:val="00DF176D"/>
    <w:rsid w:val="00DF17CC"/>
    <w:rsid w:val="00DF17E8"/>
    <w:rsid w:val="00DF17ED"/>
    <w:rsid w:val="00DF1822"/>
    <w:rsid w:val="00DF1828"/>
    <w:rsid w:val="00DF183B"/>
    <w:rsid w:val="00DF1871"/>
    <w:rsid w:val="00DF1880"/>
    <w:rsid w:val="00DF18A3"/>
    <w:rsid w:val="00DF18DA"/>
    <w:rsid w:val="00DF1901"/>
    <w:rsid w:val="00DF195B"/>
    <w:rsid w:val="00DF19C1"/>
    <w:rsid w:val="00DF1AE5"/>
    <w:rsid w:val="00DF1BA3"/>
    <w:rsid w:val="00DF1C0D"/>
    <w:rsid w:val="00DF1C88"/>
    <w:rsid w:val="00DF1D23"/>
    <w:rsid w:val="00DF1D4D"/>
    <w:rsid w:val="00DF1DF7"/>
    <w:rsid w:val="00DF1E04"/>
    <w:rsid w:val="00DF1F34"/>
    <w:rsid w:val="00DF1F95"/>
    <w:rsid w:val="00DF1FFA"/>
    <w:rsid w:val="00DF2022"/>
    <w:rsid w:val="00DF2035"/>
    <w:rsid w:val="00DF2088"/>
    <w:rsid w:val="00DF20A4"/>
    <w:rsid w:val="00DF2168"/>
    <w:rsid w:val="00DF2188"/>
    <w:rsid w:val="00DF21C8"/>
    <w:rsid w:val="00DF21C9"/>
    <w:rsid w:val="00DF2287"/>
    <w:rsid w:val="00DF2398"/>
    <w:rsid w:val="00DF23F9"/>
    <w:rsid w:val="00DF2428"/>
    <w:rsid w:val="00DF2431"/>
    <w:rsid w:val="00DF2432"/>
    <w:rsid w:val="00DF2503"/>
    <w:rsid w:val="00DF25B9"/>
    <w:rsid w:val="00DF2617"/>
    <w:rsid w:val="00DF26CA"/>
    <w:rsid w:val="00DF2723"/>
    <w:rsid w:val="00DF2791"/>
    <w:rsid w:val="00DF28B5"/>
    <w:rsid w:val="00DF28E1"/>
    <w:rsid w:val="00DF28E8"/>
    <w:rsid w:val="00DF2976"/>
    <w:rsid w:val="00DF29D9"/>
    <w:rsid w:val="00DF2A58"/>
    <w:rsid w:val="00DF2A75"/>
    <w:rsid w:val="00DF2AD8"/>
    <w:rsid w:val="00DF2AE2"/>
    <w:rsid w:val="00DF2AE5"/>
    <w:rsid w:val="00DF2AFD"/>
    <w:rsid w:val="00DF2B2D"/>
    <w:rsid w:val="00DF2B7B"/>
    <w:rsid w:val="00DF2C6E"/>
    <w:rsid w:val="00DF2CB7"/>
    <w:rsid w:val="00DF2CC9"/>
    <w:rsid w:val="00DF2DCC"/>
    <w:rsid w:val="00DF2EE3"/>
    <w:rsid w:val="00DF2F45"/>
    <w:rsid w:val="00DF2F69"/>
    <w:rsid w:val="00DF2F6B"/>
    <w:rsid w:val="00DF2FB7"/>
    <w:rsid w:val="00DF32D5"/>
    <w:rsid w:val="00DF3335"/>
    <w:rsid w:val="00DF33EB"/>
    <w:rsid w:val="00DF3438"/>
    <w:rsid w:val="00DF344A"/>
    <w:rsid w:val="00DF34E8"/>
    <w:rsid w:val="00DF3526"/>
    <w:rsid w:val="00DF3538"/>
    <w:rsid w:val="00DF354A"/>
    <w:rsid w:val="00DF3718"/>
    <w:rsid w:val="00DF3770"/>
    <w:rsid w:val="00DF37C7"/>
    <w:rsid w:val="00DF37D0"/>
    <w:rsid w:val="00DF396B"/>
    <w:rsid w:val="00DF3BA3"/>
    <w:rsid w:val="00DF3C97"/>
    <w:rsid w:val="00DF3DCF"/>
    <w:rsid w:val="00DF3DFF"/>
    <w:rsid w:val="00DF3EE6"/>
    <w:rsid w:val="00DF3FB9"/>
    <w:rsid w:val="00DF4014"/>
    <w:rsid w:val="00DF403A"/>
    <w:rsid w:val="00DF4136"/>
    <w:rsid w:val="00DF433A"/>
    <w:rsid w:val="00DF43CB"/>
    <w:rsid w:val="00DF4495"/>
    <w:rsid w:val="00DF44C5"/>
    <w:rsid w:val="00DF463F"/>
    <w:rsid w:val="00DF46AC"/>
    <w:rsid w:val="00DF4789"/>
    <w:rsid w:val="00DF4939"/>
    <w:rsid w:val="00DF494C"/>
    <w:rsid w:val="00DF4A4D"/>
    <w:rsid w:val="00DF4AD5"/>
    <w:rsid w:val="00DF4B05"/>
    <w:rsid w:val="00DF4B78"/>
    <w:rsid w:val="00DF4BE1"/>
    <w:rsid w:val="00DF4D37"/>
    <w:rsid w:val="00DF4ED9"/>
    <w:rsid w:val="00DF4F62"/>
    <w:rsid w:val="00DF4F74"/>
    <w:rsid w:val="00DF500B"/>
    <w:rsid w:val="00DF5076"/>
    <w:rsid w:val="00DF517A"/>
    <w:rsid w:val="00DF5234"/>
    <w:rsid w:val="00DF5544"/>
    <w:rsid w:val="00DF5567"/>
    <w:rsid w:val="00DF572C"/>
    <w:rsid w:val="00DF5739"/>
    <w:rsid w:val="00DF580F"/>
    <w:rsid w:val="00DF592F"/>
    <w:rsid w:val="00DF597F"/>
    <w:rsid w:val="00DF5A3A"/>
    <w:rsid w:val="00DF5A48"/>
    <w:rsid w:val="00DF5BCE"/>
    <w:rsid w:val="00DF5D1D"/>
    <w:rsid w:val="00DF5D57"/>
    <w:rsid w:val="00DF5D81"/>
    <w:rsid w:val="00DF5E52"/>
    <w:rsid w:val="00DF602E"/>
    <w:rsid w:val="00DF60B8"/>
    <w:rsid w:val="00DF610C"/>
    <w:rsid w:val="00DF6115"/>
    <w:rsid w:val="00DF6155"/>
    <w:rsid w:val="00DF619F"/>
    <w:rsid w:val="00DF61CA"/>
    <w:rsid w:val="00DF624C"/>
    <w:rsid w:val="00DF62CA"/>
    <w:rsid w:val="00DF63E1"/>
    <w:rsid w:val="00DF642E"/>
    <w:rsid w:val="00DF6458"/>
    <w:rsid w:val="00DF64CB"/>
    <w:rsid w:val="00DF6560"/>
    <w:rsid w:val="00DF665C"/>
    <w:rsid w:val="00DF6683"/>
    <w:rsid w:val="00DF6717"/>
    <w:rsid w:val="00DF67F5"/>
    <w:rsid w:val="00DF6809"/>
    <w:rsid w:val="00DF689C"/>
    <w:rsid w:val="00DF6909"/>
    <w:rsid w:val="00DF6911"/>
    <w:rsid w:val="00DF69B6"/>
    <w:rsid w:val="00DF6BA4"/>
    <w:rsid w:val="00DF6BBF"/>
    <w:rsid w:val="00DF6BD6"/>
    <w:rsid w:val="00DF6C39"/>
    <w:rsid w:val="00DF6C8E"/>
    <w:rsid w:val="00DF6D08"/>
    <w:rsid w:val="00DF6D68"/>
    <w:rsid w:val="00DF6D95"/>
    <w:rsid w:val="00DF6DCA"/>
    <w:rsid w:val="00DF6E59"/>
    <w:rsid w:val="00DF6EDB"/>
    <w:rsid w:val="00DF6F74"/>
    <w:rsid w:val="00DF6FF9"/>
    <w:rsid w:val="00DF7054"/>
    <w:rsid w:val="00DF71A7"/>
    <w:rsid w:val="00DF7205"/>
    <w:rsid w:val="00DF723D"/>
    <w:rsid w:val="00DF7286"/>
    <w:rsid w:val="00DF72EB"/>
    <w:rsid w:val="00DF7311"/>
    <w:rsid w:val="00DF7366"/>
    <w:rsid w:val="00DF7389"/>
    <w:rsid w:val="00DF740A"/>
    <w:rsid w:val="00DF7413"/>
    <w:rsid w:val="00DF751D"/>
    <w:rsid w:val="00DF7640"/>
    <w:rsid w:val="00DF7866"/>
    <w:rsid w:val="00DF786E"/>
    <w:rsid w:val="00DF7910"/>
    <w:rsid w:val="00DF7944"/>
    <w:rsid w:val="00DF7A23"/>
    <w:rsid w:val="00DF7A5D"/>
    <w:rsid w:val="00DF7C44"/>
    <w:rsid w:val="00DF7CAC"/>
    <w:rsid w:val="00DF7D1A"/>
    <w:rsid w:val="00DF7DB9"/>
    <w:rsid w:val="00DF7E15"/>
    <w:rsid w:val="00DF7EF3"/>
    <w:rsid w:val="00DF7F08"/>
    <w:rsid w:val="00DF7F3A"/>
    <w:rsid w:val="00E00117"/>
    <w:rsid w:val="00E00129"/>
    <w:rsid w:val="00E00144"/>
    <w:rsid w:val="00E00375"/>
    <w:rsid w:val="00E0040F"/>
    <w:rsid w:val="00E005C6"/>
    <w:rsid w:val="00E00741"/>
    <w:rsid w:val="00E00760"/>
    <w:rsid w:val="00E007BB"/>
    <w:rsid w:val="00E007EA"/>
    <w:rsid w:val="00E00A9F"/>
    <w:rsid w:val="00E00BC7"/>
    <w:rsid w:val="00E00E02"/>
    <w:rsid w:val="00E00F6A"/>
    <w:rsid w:val="00E00F84"/>
    <w:rsid w:val="00E0104E"/>
    <w:rsid w:val="00E010AB"/>
    <w:rsid w:val="00E010CA"/>
    <w:rsid w:val="00E011F1"/>
    <w:rsid w:val="00E01247"/>
    <w:rsid w:val="00E01465"/>
    <w:rsid w:val="00E01578"/>
    <w:rsid w:val="00E01691"/>
    <w:rsid w:val="00E016BC"/>
    <w:rsid w:val="00E016EC"/>
    <w:rsid w:val="00E017AF"/>
    <w:rsid w:val="00E01837"/>
    <w:rsid w:val="00E0194A"/>
    <w:rsid w:val="00E01A66"/>
    <w:rsid w:val="00E01C39"/>
    <w:rsid w:val="00E01D72"/>
    <w:rsid w:val="00E01FB1"/>
    <w:rsid w:val="00E02116"/>
    <w:rsid w:val="00E021A7"/>
    <w:rsid w:val="00E02216"/>
    <w:rsid w:val="00E0228D"/>
    <w:rsid w:val="00E0245E"/>
    <w:rsid w:val="00E024A4"/>
    <w:rsid w:val="00E024B8"/>
    <w:rsid w:val="00E02739"/>
    <w:rsid w:val="00E02779"/>
    <w:rsid w:val="00E0278C"/>
    <w:rsid w:val="00E02792"/>
    <w:rsid w:val="00E0279A"/>
    <w:rsid w:val="00E0280C"/>
    <w:rsid w:val="00E02833"/>
    <w:rsid w:val="00E02875"/>
    <w:rsid w:val="00E0287F"/>
    <w:rsid w:val="00E0290B"/>
    <w:rsid w:val="00E02913"/>
    <w:rsid w:val="00E029DA"/>
    <w:rsid w:val="00E02A83"/>
    <w:rsid w:val="00E02AEE"/>
    <w:rsid w:val="00E02AF1"/>
    <w:rsid w:val="00E02B70"/>
    <w:rsid w:val="00E02B90"/>
    <w:rsid w:val="00E02C4A"/>
    <w:rsid w:val="00E02E69"/>
    <w:rsid w:val="00E02F0D"/>
    <w:rsid w:val="00E02F41"/>
    <w:rsid w:val="00E03058"/>
    <w:rsid w:val="00E03089"/>
    <w:rsid w:val="00E030D0"/>
    <w:rsid w:val="00E032AD"/>
    <w:rsid w:val="00E032FF"/>
    <w:rsid w:val="00E03315"/>
    <w:rsid w:val="00E0338E"/>
    <w:rsid w:val="00E033A3"/>
    <w:rsid w:val="00E033C1"/>
    <w:rsid w:val="00E03556"/>
    <w:rsid w:val="00E035B3"/>
    <w:rsid w:val="00E037D1"/>
    <w:rsid w:val="00E038D9"/>
    <w:rsid w:val="00E038FF"/>
    <w:rsid w:val="00E0390F"/>
    <w:rsid w:val="00E039B3"/>
    <w:rsid w:val="00E039C6"/>
    <w:rsid w:val="00E039D3"/>
    <w:rsid w:val="00E03A03"/>
    <w:rsid w:val="00E03A22"/>
    <w:rsid w:val="00E03A53"/>
    <w:rsid w:val="00E03A76"/>
    <w:rsid w:val="00E03ABA"/>
    <w:rsid w:val="00E03AC7"/>
    <w:rsid w:val="00E03B2D"/>
    <w:rsid w:val="00E03C31"/>
    <w:rsid w:val="00E03C6F"/>
    <w:rsid w:val="00E03CDA"/>
    <w:rsid w:val="00E03D9F"/>
    <w:rsid w:val="00E03E1F"/>
    <w:rsid w:val="00E03E26"/>
    <w:rsid w:val="00E03F09"/>
    <w:rsid w:val="00E03F29"/>
    <w:rsid w:val="00E03FA7"/>
    <w:rsid w:val="00E0404F"/>
    <w:rsid w:val="00E04064"/>
    <w:rsid w:val="00E041DE"/>
    <w:rsid w:val="00E04200"/>
    <w:rsid w:val="00E0426D"/>
    <w:rsid w:val="00E042A8"/>
    <w:rsid w:val="00E04475"/>
    <w:rsid w:val="00E044DB"/>
    <w:rsid w:val="00E044FE"/>
    <w:rsid w:val="00E04533"/>
    <w:rsid w:val="00E04657"/>
    <w:rsid w:val="00E049CB"/>
    <w:rsid w:val="00E04A4C"/>
    <w:rsid w:val="00E04A6E"/>
    <w:rsid w:val="00E04B06"/>
    <w:rsid w:val="00E04B48"/>
    <w:rsid w:val="00E04C32"/>
    <w:rsid w:val="00E04C79"/>
    <w:rsid w:val="00E04CBB"/>
    <w:rsid w:val="00E04E3B"/>
    <w:rsid w:val="00E04FA2"/>
    <w:rsid w:val="00E05036"/>
    <w:rsid w:val="00E0506C"/>
    <w:rsid w:val="00E0506E"/>
    <w:rsid w:val="00E05117"/>
    <w:rsid w:val="00E0513D"/>
    <w:rsid w:val="00E05164"/>
    <w:rsid w:val="00E0516F"/>
    <w:rsid w:val="00E0517F"/>
    <w:rsid w:val="00E051B4"/>
    <w:rsid w:val="00E052EA"/>
    <w:rsid w:val="00E052F8"/>
    <w:rsid w:val="00E053AE"/>
    <w:rsid w:val="00E05428"/>
    <w:rsid w:val="00E054B4"/>
    <w:rsid w:val="00E05530"/>
    <w:rsid w:val="00E055D1"/>
    <w:rsid w:val="00E0561D"/>
    <w:rsid w:val="00E0568F"/>
    <w:rsid w:val="00E056F7"/>
    <w:rsid w:val="00E057FF"/>
    <w:rsid w:val="00E05876"/>
    <w:rsid w:val="00E0594D"/>
    <w:rsid w:val="00E05985"/>
    <w:rsid w:val="00E05A00"/>
    <w:rsid w:val="00E05A1C"/>
    <w:rsid w:val="00E05A29"/>
    <w:rsid w:val="00E05A2D"/>
    <w:rsid w:val="00E05A74"/>
    <w:rsid w:val="00E05B69"/>
    <w:rsid w:val="00E05B78"/>
    <w:rsid w:val="00E05BB6"/>
    <w:rsid w:val="00E05BC7"/>
    <w:rsid w:val="00E05CC9"/>
    <w:rsid w:val="00E05E2B"/>
    <w:rsid w:val="00E05E3C"/>
    <w:rsid w:val="00E05E6B"/>
    <w:rsid w:val="00E0604E"/>
    <w:rsid w:val="00E06060"/>
    <w:rsid w:val="00E060BE"/>
    <w:rsid w:val="00E060E3"/>
    <w:rsid w:val="00E0616A"/>
    <w:rsid w:val="00E06286"/>
    <w:rsid w:val="00E063BF"/>
    <w:rsid w:val="00E06458"/>
    <w:rsid w:val="00E0656A"/>
    <w:rsid w:val="00E065A7"/>
    <w:rsid w:val="00E065CF"/>
    <w:rsid w:val="00E0664A"/>
    <w:rsid w:val="00E066C1"/>
    <w:rsid w:val="00E068AF"/>
    <w:rsid w:val="00E068B2"/>
    <w:rsid w:val="00E068C0"/>
    <w:rsid w:val="00E068E1"/>
    <w:rsid w:val="00E06A88"/>
    <w:rsid w:val="00E06CE5"/>
    <w:rsid w:val="00E06D42"/>
    <w:rsid w:val="00E06F8B"/>
    <w:rsid w:val="00E070D6"/>
    <w:rsid w:val="00E071D3"/>
    <w:rsid w:val="00E0725A"/>
    <w:rsid w:val="00E0733A"/>
    <w:rsid w:val="00E07595"/>
    <w:rsid w:val="00E075AC"/>
    <w:rsid w:val="00E0761E"/>
    <w:rsid w:val="00E07692"/>
    <w:rsid w:val="00E076B4"/>
    <w:rsid w:val="00E076F2"/>
    <w:rsid w:val="00E07719"/>
    <w:rsid w:val="00E077AE"/>
    <w:rsid w:val="00E077CF"/>
    <w:rsid w:val="00E07843"/>
    <w:rsid w:val="00E07A6E"/>
    <w:rsid w:val="00E07AC6"/>
    <w:rsid w:val="00E07AE2"/>
    <w:rsid w:val="00E07AF3"/>
    <w:rsid w:val="00E07CB4"/>
    <w:rsid w:val="00E07E3A"/>
    <w:rsid w:val="00E07E6D"/>
    <w:rsid w:val="00E07EEB"/>
    <w:rsid w:val="00E07F07"/>
    <w:rsid w:val="00E07F50"/>
    <w:rsid w:val="00E07FD2"/>
    <w:rsid w:val="00E1000F"/>
    <w:rsid w:val="00E1020F"/>
    <w:rsid w:val="00E10219"/>
    <w:rsid w:val="00E102D0"/>
    <w:rsid w:val="00E102E8"/>
    <w:rsid w:val="00E10338"/>
    <w:rsid w:val="00E103E2"/>
    <w:rsid w:val="00E104D7"/>
    <w:rsid w:val="00E10503"/>
    <w:rsid w:val="00E10626"/>
    <w:rsid w:val="00E106F0"/>
    <w:rsid w:val="00E10716"/>
    <w:rsid w:val="00E109F7"/>
    <w:rsid w:val="00E10ABC"/>
    <w:rsid w:val="00E10B0A"/>
    <w:rsid w:val="00E10E16"/>
    <w:rsid w:val="00E10E8C"/>
    <w:rsid w:val="00E10FDB"/>
    <w:rsid w:val="00E11033"/>
    <w:rsid w:val="00E11198"/>
    <w:rsid w:val="00E11208"/>
    <w:rsid w:val="00E112A0"/>
    <w:rsid w:val="00E1131C"/>
    <w:rsid w:val="00E11372"/>
    <w:rsid w:val="00E1137E"/>
    <w:rsid w:val="00E114DB"/>
    <w:rsid w:val="00E114F1"/>
    <w:rsid w:val="00E11526"/>
    <w:rsid w:val="00E11559"/>
    <w:rsid w:val="00E11637"/>
    <w:rsid w:val="00E116D3"/>
    <w:rsid w:val="00E11750"/>
    <w:rsid w:val="00E11844"/>
    <w:rsid w:val="00E11877"/>
    <w:rsid w:val="00E11886"/>
    <w:rsid w:val="00E118DA"/>
    <w:rsid w:val="00E11AD1"/>
    <w:rsid w:val="00E11BD3"/>
    <w:rsid w:val="00E11EDA"/>
    <w:rsid w:val="00E11F06"/>
    <w:rsid w:val="00E11FE4"/>
    <w:rsid w:val="00E12000"/>
    <w:rsid w:val="00E12099"/>
    <w:rsid w:val="00E12124"/>
    <w:rsid w:val="00E1220C"/>
    <w:rsid w:val="00E1226E"/>
    <w:rsid w:val="00E122E7"/>
    <w:rsid w:val="00E12456"/>
    <w:rsid w:val="00E12464"/>
    <w:rsid w:val="00E124A6"/>
    <w:rsid w:val="00E125A2"/>
    <w:rsid w:val="00E125FE"/>
    <w:rsid w:val="00E1260A"/>
    <w:rsid w:val="00E126C1"/>
    <w:rsid w:val="00E126D9"/>
    <w:rsid w:val="00E12763"/>
    <w:rsid w:val="00E1288D"/>
    <w:rsid w:val="00E129E0"/>
    <w:rsid w:val="00E12A2F"/>
    <w:rsid w:val="00E12A64"/>
    <w:rsid w:val="00E12ABE"/>
    <w:rsid w:val="00E12B29"/>
    <w:rsid w:val="00E12B4C"/>
    <w:rsid w:val="00E12B6C"/>
    <w:rsid w:val="00E12CFF"/>
    <w:rsid w:val="00E12D55"/>
    <w:rsid w:val="00E12DB3"/>
    <w:rsid w:val="00E12F2B"/>
    <w:rsid w:val="00E12F44"/>
    <w:rsid w:val="00E12F48"/>
    <w:rsid w:val="00E12F7B"/>
    <w:rsid w:val="00E12FF5"/>
    <w:rsid w:val="00E13038"/>
    <w:rsid w:val="00E131DC"/>
    <w:rsid w:val="00E13295"/>
    <w:rsid w:val="00E132C9"/>
    <w:rsid w:val="00E132E5"/>
    <w:rsid w:val="00E1330E"/>
    <w:rsid w:val="00E13380"/>
    <w:rsid w:val="00E1338C"/>
    <w:rsid w:val="00E1339F"/>
    <w:rsid w:val="00E136A7"/>
    <w:rsid w:val="00E13795"/>
    <w:rsid w:val="00E137A8"/>
    <w:rsid w:val="00E139B0"/>
    <w:rsid w:val="00E13ABC"/>
    <w:rsid w:val="00E13B54"/>
    <w:rsid w:val="00E13D17"/>
    <w:rsid w:val="00E13E0B"/>
    <w:rsid w:val="00E13E16"/>
    <w:rsid w:val="00E13ECA"/>
    <w:rsid w:val="00E13F1D"/>
    <w:rsid w:val="00E14077"/>
    <w:rsid w:val="00E14193"/>
    <w:rsid w:val="00E1435D"/>
    <w:rsid w:val="00E144BC"/>
    <w:rsid w:val="00E145D0"/>
    <w:rsid w:val="00E1482A"/>
    <w:rsid w:val="00E14B20"/>
    <w:rsid w:val="00E14B7B"/>
    <w:rsid w:val="00E14BD6"/>
    <w:rsid w:val="00E14C0E"/>
    <w:rsid w:val="00E14C32"/>
    <w:rsid w:val="00E14C76"/>
    <w:rsid w:val="00E14E32"/>
    <w:rsid w:val="00E14F6A"/>
    <w:rsid w:val="00E14FD2"/>
    <w:rsid w:val="00E15065"/>
    <w:rsid w:val="00E150A2"/>
    <w:rsid w:val="00E15125"/>
    <w:rsid w:val="00E1517A"/>
    <w:rsid w:val="00E151A8"/>
    <w:rsid w:val="00E151B1"/>
    <w:rsid w:val="00E1520C"/>
    <w:rsid w:val="00E1539A"/>
    <w:rsid w:val="00E153DD"/>
    <w:rsid w:val="00E1543B"/>
    <w:rsid w:val="00E15510"/>
    <w:rsid w:val="00E15543"/>
    <w:rsid w:val="00E15569"/>
    <w:rsid w:val="00E155E2"/>
    <w:rsid w:val="00E15602"/>
    <w:rsid w:val="00E15669"/>
    <w:rsid w:val="00E15704"/>
    <w:rsid w:val="00E15A08"/>
    <w:rsid w:val="00E15A8F"/>
    <w:rsid w:val="00E15AEC"/>
    <w:rsid w:val="00E15B43"/>
    <w:rsid w:val="00E15BE0"/>
    <w:rsid w:val="00E15C47"/>
    <w:rsid w:val="00E15D02"/>
    <w:rsid w:val="00E15D0A"/>
    <w:rsid w:val="00E15D41"/>
    <w:rsid w:val="00E15DD3"/>
    <w:rsid w:val="00E15E9F"/>
    <w:rsid w:val="00E15F09"/>
    <w:rsid w:val="00E15F8D"/>
    <w:rsid w:val="00E15FB2"/>
    <w:rsid w:val="00E15FE5"/>
    <w:rsid w:val="00E1611B"/>
    <w:rsid w:val="00E16268"/>
    <w:rsid w:val="00E162BE"/>
    <w:rsid w:val="00E1649B"/>
    <w:rsid w:val="00E164E7"/>
    <w:rsid w:val="00E164F2"/>
    <w:rsid w:val="00E16662"/>
    <w:rsid w:val="00E16857"/>
    <w:rsid w:val="00E16958"/>
    <w:rsid w:val="00E16979"/>
    <w:rsid w:val="00E16AAB"/>
    <w:rsid w:val="00E16AEF"/>
    <w:rsid w:val="00E16B53"/>
    <w:rsid w:val="00E16DA0"/>
    <w:rsid w:val="00E16EAC"/>
    <w:rsid w:val="00E16F0B"/>
    <w:rsid w:val="00E16F2C"/>
    <w:rsid w:val="00E16F4D"/>
    <w:rsid w:val="00E16FC3"/>
    <w:rsid w:val="00E17020"/>
    <w:rsid w:val="00E170B5"/>
    <w:rsid w:val="00E17166"/>
    <w:rsid w:val="00E171EA"/>
    <w:rsid w:val="00E17292"/>
    <w:rsid w:val="00E17482"/>
    <w:rsid w:val="00E174B6"/>
    <w:rsid w:val="00E17605"/>
    <w:rsid w:val="00E176B0"/>
    <w:rsid w:val="00E17773"/>
    <w:rsid w:val="00E17826"/>
    <w:rsid w:val="00E17836"/>
    <w:rsid w:val="00E178D5"/>
    <w:rsid w:val="00E1798F"/>
    <w:rsid w:val="00E179D5"/>
    <w:rsid w:val="00E17A29"/>
    <w:rsid w:val="00E17A37"/>
    <w:rsid w:val="00E17A39"/>
    <w:rsid w:val="00E17AD1"/>
    <w:rsid w:val="00E17B56"/>
    <w:rsid w:val="00E17B78"/>
    <w:rsid w:val="00E17C1F"/>
    <w:rsid w:val="00E17C60"/>
    <w:rsid w:val="00E17DEC"/>
    <w:rsid w:val="00E17E22"/>
    <w:rsid w:val="00E17E33"/>
    <w:rsid w:val="00E17E42"/>
    <w:rsid w:val="00E17E92"/>
    <w:rsid w:val="00E20085"/>
    <w:rsid w:val="00E2015A"/>
    <w:rsid w:val="00E2018C"/>
    <w:rsid w:val="00E2023F"/>
    <w:rsid w:val="00E203BF"/>
    <w:rsid w:val="00E2041E"/>
    <w:rsid w:val="00E20484"/>
    <w:rsid w:val="00E204C6"/>
    <w:rsid w:val="00E205F3"/>
    <w:rsid w:val="00E206C1"/>
    <w:rsid w:val="00E20724"/>
    <w:rsid w:val="00E20782"/>
    <w:rsid w:val="00E20824"/>
    <w:rsid w:val="00E20834"/>
    <w:rsid w:val="00E208D1"/>
    <w:rsid w:val="00E20A8A"/>
    <w:rsid w:val="00E20B08"/>
    <w:rsid w:val="00E20BE0"/>
    <w:rsid w:val="00E20C2C"/>
    <w:rsid w:val="00E20C2F"/>
    <w:rsid w:val="00E20C3B"/>
    <w:rsid w:val="00E20C81"/>
    <w:rsid w:val="00E20C85"/>
    <w:rsid w:val="00E20C93"/>
    <w:rsid w:val="00E20C96"/>
    <w:rsid w:val="00E20D01"/>
    <w:rsid w:val="00E20D5C"/>
    <w:rsid w:val="00E20FF1"/>
    <w:rsid w:val="00E2119E"/>
    <w:rsid w:val="00E211BB"/>
    <w:rsid w:val="00E2124C"/>
    <w:rsid w:val="00E213B6"/>
    <w:rsid w:val="00E214E0"/>
    <w:rsid w:val="00E214FF"/>
    <w:rsid w:val="00E215D8"/>
    <w:rsid w:val="00E2167C"/>
    <w:rsid w:val="00E216E1"/>
    <w:rsid w:val="00E216E7"/>
    <w:rsid w:val="00E216F3"/>
    <w:rsid w:val="00E2176C"/>
    <w:rsid w:val="00E217D2"/>
    <w:rsid w:val="00E2181E"/>
    <w:rsid w:val="00E2183A"/>
    <w:rsid w:val="00E218A1"/>
    <w:rsid w:val="00E218EF"/>
    <w:rsid w:val="00E2192E"/>
    <w:rsid w:val="00E2194C"/>
    <w:rsid w:val="00E21A1E"/>
    <w:rsid w:val="00E21A39"/>
    <w:rsid w:val="00E21B4A"/>
    <w:rsid w:val="00E21B61"/>
    <w:rsid w:val="00E21C29"/>
    <w:rsid w:val="00E21C3D"/>
    <w:rsid w:val="00E21DBC"/>
    <w:rsid w:val="00E21F96"/>
    <w:rsid w:val="00E220D4"/>
    <w:rsid w:val="00E2215E"/>
    <w:rsid w:val="00E221A5"/>
    <w:rsid w:val="00E221D2"/>
    <w:rsid w:val="00E221DD"/>
    <w:rsid w:val="00E221FB"/>
    <w:rsid w:val="00E222A1"/>
    <w:rsid w:val="00E2230B"/>
    <w:rsid w:val="00E224A6"/>
    <w:rsid w:val="00E224BB"/>
    <w:rsid w:val="00E225E0"/>
    <w:rsid w:val="00E22672"/>
    <w:rsid w:val="00E226F2"/>
    <w:rsid w:val="00E2284A"/>
    <w:rsid w:val="00E22881"/>
    <w:rsid w:val="00E2288A"/>
    <w:rsid w:val="00E229FA"/>
    <w:rsid w:val="00E22A3A"/>
    <w:rsid w:val="00E22B91"/>
    <w:rsid w:val="00E22D84"/>
    <w:rsid w:val="00E22E27"/>
    <w:rsid w:val="00E22EEF"/>
    <w:rsid w:val="00E22F1A"/>
    <w:rsid w:val="00E2301C"/>
    <w:rsid w:val="00E23033"/>
    <w:rsid w:val="00E2307C"/>
    <w:rsid w:val="00E23149"/>
    <w:rsid w:val="00E23364"/>
    <w:rsid w:val="00E23607"/>
    <w:rsid w:val="00E2368C"/>
    <w:rsid w:val="00E236CF"/>
    <w:rsid w:val="00E236D0"/>
    <w:rsid w:val="00E237AC"/>
    <w:rsid w:val="00E23A6C"/>
    <w:rsid w:val="00E23B03"/>
    <w:rsid w:val="00E23B44"/>
    <w:rsid w:val="00E23BDA"/>
    <w:rsid w:val="00E23C32"/>
    <w:rsid w:val="00E23C63"/>
    <w:rsid w:val="00E23C9E"/>
    <w:rsid w:val="00E23CEA"/>
    <w:rsid w:val="00E23E9F"/>
    <w:rsid w:val="00E23F39"/>
    <w:rsid w:val="00E240D7"/>
    <w:rsid w:val="00E240FA"/>
    <w:rsid w:val="00E24113"/>
    <w:rsid w:val="00E24174"/>
    <w:rsid w:val="00E24344"/>
    <w:rsid w:val="00E243AA"/>
    <w:rsid w:val="00E243CD"/>
    <w:rsid w:val="00E2442E"/>
    <w:rsid w:val="00E2446B"/>
    <w:rsid w:val="00E244B9"/>
    <w:rsid w:val="00E24658"/>
    <w:rsid w:val="00E24755"/>
    <w:rsid w:val="00E247BC"/>
    <w:rsid w:val="00E247FA"/>
    <w:rsid w:val="00E248BE"/>
    <w:rsid w:val="00E24970"/>
    <w:rsid w:val="00E24A25"/>
    <w:rsid w:val="00E24A9E"/>
    <w:rsid w:val="00E24B13"/>
    <w:rsid w:val="00E24C86"/>
    <w:rsid w:val="00E24C96"/>
    <w:rsid w:val="00E24DD3"/>
    <w:rsid w:val="00E24E79"/>
    <w:rsid w:val="00E24E98"/>
    <w:rsid w:val="00E24EE5"/>
    <w:rsid w:val="00E25134"/>
    <w:rsid w:val="00E253DD"/>
    <w:rsid w:val="00E2543C"/>
    <w:rsid w:val="00E254A5"/>
    <w:rsid w:val="00E25568"/>
    <w:rsid w:val="00E256A7"/>
    <w:rsid w:val="00E25913"/>
    <w:rsid w:val="00E25959"/>
    <w:rsid w:val="00E25A43"/>
    <w:rsid w:val="00E25A59"/>
    <w:rsid w:val="00E25A93"/>
    <w:rsid w:val="00E25B0D"/>
    <w:rsid w:val="00E25C25"/>
    <w:rsid w:val="00E25D84"/>
    <w:rsid w:val="00E25E4C"/>
    <w:rsid w:val="00E25ED4"/>
    <w:rsid w:val="00E26006"/>
    <w:rsid w:val="00E26115"/>
    <w:rsid w:val="00E261F0"/>
    <w:rsid w:val="00E26244"/>
    <w:rsid w:val="00E2633A"/>
    <w:rsid w:val="00E263C2"/>
    <w:rsid w:val="00E263CD"/>
    <w:rsid w:val="00E264C4"/>
    <w:rsid w:val="00E264CF"/>
    <w:rsid w:val="00E264D6"/>
    <w:rsid w:val="00E264F2"/>
    <w:rsid w:val="00E26587"/>
    <w:rsid w:val="00E265E0"/>
    <w:rsid w:val="00E26631"/>
    <w:rsid w:val="00E26691"/>
    <w:rsid w:val="00E26794"/>
    <w:rsid w:val="00E267AB"/>
    <w:rsid w:val="00E26924"/>
    <w:rsid w:val="00E26979"/>
    <w:rsid w:val="00E26999"/>
    <w:rsid w:val="00E26A23"/>
    <w:rsid w:val="00E26A52"/>
    <w:rsid w:val="00E26AB2"/>
    <w:rsid w:val="00E26AE7"/>
    <w:rsid w:val="00E26B71"/>
    <w:rsid w:val="00E26B9F"/>
    <w:rsid w:val="00E26C9F"/>
    <w:rsid w:val="00E26D36"/>
    <w:rsid w:val="00E26F2D"/>
    <w:rsid w:val="00E26F80"/>
    <w:rsid w:val="00E27017"/>
    <w:rsid w:val="00E270B3"/>
    <w:rsid w:val="00E27136"/>
    <w:rsid w:val="00E2732F"/>
    <w:rsid w:val="00E2733C"/>
    <w:rsid w:val="00E2736A"/>
    <w:rsid w:val="00E27466"/>
    <w:rsid w:val="00E2746B"/>
    <w:rsid w:val="00E274AB"/>
    <w:rsid w:val="00E2755C"/>
    <w:rsid w:val="00E27619"/>
    <w:rsid w:val="00E27689"/>
    <w:rsid w:val="00E278D5"/>
    <w:rsid w:val="00E278DF"/>
    <w:rsid w:val="00E2792E"/>
    <w:rsid w:val="00E279F9"/>
    <w:rsid w:val="00E27A25"/>
    <w:rsid w:val="00E27A26"/>
    <w:rsid w:val="00E27B75"/>
    <w:rsid w:val="00E27CBC"/>
    <w:rsid w:val="00E27D7C"/>
    <w:rsid w:val="00E27E54"/>
    <w:rsid w:val="00E27EA0"/>
    <w:rsid w:val="00E27EDE"/>
    <w:rsid w:val="00E27F1F"/>
    <w:rsid w:val="00E27FF4"/>
    <w:rsid w:val="00E3025C"/>
    <w:rsid w:val="00E30274"/>
    <w:rsid w:val="00E302C6"/>
    <w:rsid w:val="00E30311"/>
    <w:rsid w:val="00E3037A"/>
    <w:rsid w:val="00E303B5"/>
    <w:rsid w:val="00E303BC"/>
    <w:rsid w:val="00E305AB"/>
    <w:rsid w:val="00E30638"/>
    <w:rsid w:val="00E30645"/>
    <w:rsid w:val="00E306C8"/>
    <w:rsid w:val="00E30776"/>
    <w:rsid w:val="00E30789"/>
    <w:rsid w:val="00E30A7E"/>
    <w:rsid w:val="00E30AB4"/>
    <w:rsid w:val="00E30B0B"/>
    <w:rsid w:val="00E30B5E"/>
    <w:rsid w:val="00E30BCC"/>
    <w:rsid w:val="00E30CD0"/>
    <w:rsid w:val="00E30D34"/>
    <w:rsid w:val="00E30D8C"/>
    <w:rsid w:val="00E30E1F"/>
    <w:rsid w:val="00E30EA2"/>
    <w:rsid w:val="00E31024"/>
    <w:rsid w:val="00E310E2"/>
    <w:rsid w:val="00E31154"/>
    <w:rsid w:val="00E3118D"/>
    <w:rsid w:val="00E311E7"/>
    <w:rsid w:val="00E31216"/>
    <w:rsid w:val="00E31271"/>
    <w:rsid w:val="00E312A1"/>
    <w:rsid w:val="00E31302"/>
    <w:rsid w:val="00E3139C"/>
    <w:rsid w:val="00E31411"/>
    <w:rsid w:val="00E315C8"/>
    <w:rsid w:val="00E316C7"/>
    <w:rsid w:val="00E31791"/>
    <w:rsid w:val="00E31798"/>
    <w:rsid w:val="00E317C1"/>
    <w:rsid w:val="00E31812"/>
    <w:rsid w:val="00E3199D"/>
    <w:rsid w:val="00E319A2"/>
    <w:rsid w:val="00E319D0"/>
    <w:rsid w:val="00E31A49"/>
    <w:rsid w:val="00E31A53"/>
    <w:rsid w:val="00E31AC5"/>
    <w:rsid w:val="00E31B7F"/>
    <w:rsid w:val="00E31BA8"/>
    <w:rsid w:val="00E31C02"/>
    <w:rsid w:val="00E31E2C"/>
    <w:rsid w:val="00E31E47"/>
    <w:rsid w:val="00E31EA5"/>
    <w:rsid w:val="00E31EFB"/>
    <w:rsid w:val="00E31F2C"/>
    <w:rsid w:val="00E320D6"/>
    <w:rsid w:val="00E32149"/>
    <w:rsid w:val="00E321B3"/>
    <w:rsid w:val="00E323B3"/>
    <w:rsid w:val="00E323DD"/>
    <w:rsid w:val="00E324AD"/>
    <w:rsid w:val="00E32624"/>
    <w:rsid w:val="00E3263F"/>
    <w:rsid w:val="00E32683"/>
    <w:rsid w:val="00E3268E"/>
    <w:rsid w:val="00E326AB"/>
    <w:rsid w:val="00E327FB"/>
    <w:rsid w:val="00E32933"/>
    <w:rsid w:val="00E32965"/>
    <w:rsid w:val="00E32AD8"/>
    <w:rsid w:val="00E32BD4"/>
    <w:rsid w:val="00E32BDA"/>
    <w:rsid w:val="00E32D0E"/>
    <w:rsid w:val="00E32D11"/>
    <w:rsid w:val="00E32D4D"/>
    <w:rsid w:val="00E32E55"/>
    <w:rsid w:val="00E32EDC"/>
    <w:rsid w:val="00E32F4D"/>
    <w:rsid w:val="00E330D8"/>
    <w:rsid w:val="00E330FF"/>
    <w:rsid w:val="00E332ED"/>
    <w:rsid w:val="00E33347"/>
    <w:rsid w:val="00E333A9"/>
    <w:rsid w:val="00E33458"/>
    <w:rsid w:val="00E33478"/>
    <w:rsid w:val="00E3359B"/>
    <w:rsid w:val="00E337F9"/>
    <w:rsid w:val="00E33896"/>
    <w:rsid w:val="00E33904"/>
    <w:rsid w:val="00E339FA"/>
    <w:rsid w:val="00E33A36"/>
    <w:rsid w:val="00E33AAF"/>
    <w:rsid w:val="00E33AEA"/>
    <w:rsid w:val="00E33BAD"/>
    <w:rsid w:val="00E34176"/>
    <w:rsid w:val="00E34191"/>
    <w:rsid w:val="00E34214"/>
    <w:rsid w:val="00E342C8"/>
    <w:rsid w:val="00E3452B"/>
    <w:rsid w:val="00E3461B"/>
    <w:rsid w:val="00E346B5"/>
    <w:rsid w:val="00E346E9"/>
    <w:rsid w:val="00E34748"/>
    <w:rsid w:val="00E347E9"/>
    <w:rsid w:val="00E34864"/>
    <w:rsid w:val="00E34940"/>
    <w:rsid w:val="00E349AA"/>
    <w:rsid w:val="00E349AE"/>
    <w:rsid w:val="00E34B0F"/>
    <w:rsid w:val="00E34B74"/>
    <w:rsid w:val="00E34E2F"/>
    <w:rsid w:val="00E34E87"/>
    <w:rsid w:val="00E34ED0"/>
    <w:rsid w:val="00E34F31"/>
    <w:rsid w:val="00E35018"/>
    <w:rsid w:val="00E3516D"/>
    <w:rsid w:val="00E35203"/>
    <w:rsid w:val="00E35221"/>
    <w:rsid w:val="00E352CF"/>
    <w:rsid w:val="00E352E5"/>
    <w:rsid w:val="00E352F9"/>
    <w:rsid w:val="00E35412"/>
    <w:rsid w:val="00E3542D"/>
    <w:rsid w:val="00E3547D"/>
    <w:rsid w:val="00E354E2"/>
    <w:rsid w:val="00E3559D"/>
    <w:rsid w:val="00E355B3"/>
    <w:rsid w:val="00E35697"/>
    <w:rsid w:val="00E3571B"/>
    <w:rsid w:val="00E358DF"/>
    <w:rsid w:val="00E35AAF"/>
    <w:rsid w:val="00E35BC1"/>
    <w:rsid w:val="00E35BFF"/>
    <w:rsid w:val="00E35D3C"/>
    <w:rsid w:val="00E35D79"/>
    <w:rsid w:val="00E35DCD"/>
    <w:rsid w:val="00E35DD2"/>
    <w:rsid w:val="00E35EBC"/>
    <w:rsid w:val="00E35F00"/>
    <w:rsid w:val="00E35FCC"/>
    <w:rsid w:val="00E36387"/>
    <w:rsid w:val="00E363A0"/>
    <w:rsid w:val="00E36576"/>
    <w:rsid w:val="00E365D6"/>
    <w:rsid w:val="00E3662F"/>
    <w:rsid w:val="00E36725"/>
    <w:rsid w:val="00E36758"/>
    <w:rsid w:val="00E367EB"/>
    <w:rsid w:val="00E3686E"/>
    <w:rsid w:val="00E368BD"/>
    <w:rsid w:val="00E36ACB"/>
    <w:rsid w:val="00E36B33"/>
    <w:rsid w:val="00E36C85"/>
    <w:rsid w:val="00E36CA4"/>
    <w:rsid w:val="00E36DF6"/>
    <w:rsid w:val="00E3705C"/>
    <w:rsid w:val="00E370F8"/>
    <w:rsid w:val="00E3728F"/>
    <w:rsid w:val="00E372AB"/>
    <w:rsid w:val="00E372E9"/>
    <w:rsid w:val="00E373C9"/>
    <w:rsid w:val="00E373F0"/>
    <w:rsid w:val="00E3740F"/>
    <w:rsid w:val="00E3745B"/>
    <w:rsid w:val="00E37495"/>
    <w:rsid w:val="00E374DA"/>
    <w:rsid w:val="00E374F1"/>
    <w:rsid w:val="00E3751F"/>
    <w:rsid w:val="00E37599"/>
    <w:rsid w:val="00E375CA"/>
    <w:rsid w:val="00E37611"/>
    <w:rsid w:val="00E37680"/>
    <w:rsid w:val="00E376A9"/>
    <w:rsid w:val="00E376B1"/>
    <w:rsid w:val="00E376E3"/>
    <w:rsid w:val="00E3776F"/>
    <w:rsid w:val="00E37776"/>
    <w:rsid w:val="00E378EF"/>
    <w:rsid w:val="00E37915"/>
    <w:rsid w:val="00E37D67"/>
    <w:rsid w:val="00E37DA1"/>
    <w:rsid w:val="00E37E3C"/>
    <w:rsid w:val="00E37E41"/>
    <w:rsid w:val="00E37EA3"/>
    <w:rsid w:val="00E37F44"/>
    <w:rsid w:val="00E37F71"/>
    <w:rsid w:val="00E40163"/>
    <w:rsid w:val="00E4018E"/>
    <w:rsid w:val="00E401CE"/>
    <w:rsid w:val="00E401FD"/>
    <w:rsid w:val="00E40231"/>
    <w:rsid w:val="00E40249"/>
    <w:rsid w:val="00E40363"/>
    <w:rsid w:val="00E4039D"/>
    <w:rsid w:val="00E4058D"/>
    <w:rsid w:val="00E405B4"/>
    <w:rsid w:val="00E405D4"/>
    <w:rsid w:val="00E40656"/>
    <w:rsid w:val="00E4076A"/>
    <w:rsid w:val="00E407E8"/>
    <w:rsid w:val="00E4086D"/>
    <w:rsid w:val="00E408C9"/>
    <w:rsid w:val="00E408E3"/>
    <w:rsid w:val="00E409E4"/>
    <w:rsid w:val="00E40A61"/>
    <w:rsid w:val="00E40AD4"/>
    <w:rsid w:val="00E40B27"/>
    <w:rsid w:val="00E40B3D"/>
    <w:rsid w:val="00E40BCF"/>
    <w:rsid w:val="00E40CD0"/>
    <w:rsid w:val="00E40D6C"/>
    <w:rsid w:val="00E40E33"/>
    <w:rsid w:val="00E410EB"/>
    <w:rsid w:val="00E41168"/>
    <w:rsid w:val="00E4127D"/>
    <w:rsid w:val="00E41298"/>
    <w:rsid w:val="00E41299"/>
    <w:rsid w:val="00E41364"/>
    <w:rsid w:val="00E41404"/>
    <w:rsid w:val="00E4154F"/>
    <w:rsid w:val="00E4156E"/>
    <w:rsid w:val="00E41602"/>
    <w:rsid w:val="00E41717"/>
    <w:rsid w:val="00E41753"/>
    <w:rsid w:val="00E41772"/>
    <w:rsid w:val="00E418B0"/>
    <w:rsid w:val="00E418D9"/>
    <w:rsid w:val="00E419CE"/>
    <w:rsid w:val="00E41AB9"/>
    <w:rsid w:val="00E41AF7"/>
    <w:rsid w:val="00E41E06"/>
    <w:rsid w:val="00E41F0D"/>
    <w:rsid w:val="00E42038"/>
    <w:rsid w:val="00E42053"/>
    <w:rsid w:val="00E420A9"/>
    <w:rsid w:val="00E420DA"/>
    <w:rsid w:val="00E420DC"/>
    <w:rsid w:val="00E4228D"/>
    <w:rsid w:val="00E42363"/>
    <w:rsid w:val="00E42398"/>
    <w:rsid w:val="00E423B6"/>
    <w:rsid w:val="00E424D0"/>
    <w:rsid w:val="00E42527"/>
    <w:rsid w:val="00E425B7"/>
    <w:rsid w:val="00E4283B"/>
    <w:rsid w:val="00E428E3"/>
    <w:rsid w:val="00E4299C"/>
    <w:rsid w:val="00E42A31"/>
    <w:rsid w:val="00E42B10"/>
    <w:rsid w:val="00E42B92"/>
    <w:rsid w:val="00E42BC0"/>
    <w:rsid w:val="00E42BC9"/>
    <w:rsid w:val="00E42C18"/>
    <w:rsid w:val="00E42CEC"/>
    <w:rsid w:val="00E42D29"/>
    <w:rsid w:val="00E42F95"/>
    <w:rsid w:val="00E42FA5"/>
    <w:rsid w:val="00E4303D"/>
    <w:rsid w:val="00E43055"/>
    <w:rsid w:val="00E430BD"/>
    <w:rsid w:val="00E43104"/>
    <w:rsid w:val="00E43246"/>
    <w:rsid w:val="00E432AE"/>
    <w:rsid w:val="00E432B3"/>
    <w:rsid w:val="00E432DB"/>
    <w:rsid w:val="00E432E4"/>
    <w:rsid w:val="00E4331D"/>
    <w:rsid w:val="00E433B0"/>
    <w:rsid w:val="00E43561"/>
    <w:rsid w:val="00E43578"/>
    <w:rsid w:val="00E435F5"/>
    <w:rsid w:val="00E4368E"/>
    <w:rsid w:val="00E436BE"/>
    <w:rsid w:val="00E43762"/>
    <w:rsid w:val="00E43767"/>
    <w:rsid w:val="00E437BB"/>
    <w:rsid w:val="00E43914"/>
    <w:rsid w:val="00E43936"/>
    <w:rsid w:val="00E43A58"/>
    <w:rsid w:val="00E43AEA"/>
    <w:rsid w:val="00E43B25"/>
    <w:rsid w:val="00E43C63"/>
    <w:rsid w:val="00E43C7D"/>
    <w:rsid w:val="00E43CB8"/>
    <w:rsid w:val="00E43ECE"/>
    <w:rsid w:val="00E43F40"/>
    <w:rsid w:val="00E44064"/>
    <w:rsid w:val="00E4408D"/>
    <w:rsid w:val="00E440BA"/>
    <w:rsid w:val="00E440DE"/>
    <w:rsid w:val="00E4412F"/>
    <w:rsid w:val="00E441FD"/>
    <w:rsid w:val="00E44251"/>
    <w:rsid w:val="00E443D4"/>
    <w:rsid w:val="00E44412"/>
    <w:rsid w:val="00E444E3"/>
    <w:rsid w:val="00E447ED"/>
    <w:rsid w:val="00E44803"/>
    <w:rsid w:val="00E44832"/>
    <w:rsid w:val="00E448AD"/>
    <w:rsid w:val="00E4495B"/>
    <w:rsid w:val="00E449A7"/>
    <w:rsid w:val="00E44A57"/>
    <w:rsid w:val="00E44BAF"/>
    <w:rsid w:val="00E44C41"/>
    <w:rsid w:val="00E44E81"/>
    <w:rsid w:val="00E44F26"/>
    <w:rsid w:val="00E45208"/>
    <w:rsid w:val="00E454F4"/>
    <w:rsid w:val="00E4587E"/>
    <w:rsid w:val="00E458C5"/>
    <w:rsid w:val="00E4598F"/>
    <w:rsid w:val="00E45AF8"/>
    <w:rsid w:val="00E45B0A"/>
    <w:rsid w:val="00E45B3F"/>
    <w:rsid w:val="00E45B69"/>
    <w:rsid w:val="00E45B98"/>
    <w:rsid w:val="00E45BB0"/>
    <w:rsid w:val="00E45C1B"/>
    <w:rsid w:val="00E45C2E"/>
    <w:rsid w:val="00E45C93"/>
    <w:rsid w:val="00E45DC5"/>
    <w:rsid w:val="00E45DD5"/>
    <w:rsid w:val="00E45E91"/>
    <w:rsid w:val="00E45E93"/>
    <w:rsid w:val="00E45EAB"/>
    <w:rsid w:val="00E45F10"/>
    <w:rsid w:val="00E4606D"/>
    <w:rsid w:val="00E46082"/>
    <w:rsid w:val="00E460C1"/>
    <w:rsid w:val="00E460EA"/>
    <w:rsid w:val="00E460FE"/>
    <w:rsid w:val="00E4618A"/>
    <w:rsid w:val="00E462CD"/>
    <w:rsid w:val="00E46384"/>
    <w:rsid w:val="00E4639C"/>
    <w:rsid w:val="00E46422"/>
    <w:rsid w:val="00E464BA"/>
    <w:rsid w:val="00E464EC"/>
    <w:rsid w:val="00E4677E"/>
    <w:rsid w:val="00E467AF"/>
    <w:rsid w:val="00E46838"/>
    <w:rsid w:val="00E468B6"/>
    <w:rsid w:val="00E46909"/>
    <w:rsid w:val="00E46933"/>
    <w:rsid w:val="00E469C0"/>
    <w:rsid w:val="00E46AAF"/>
    <w:rsid w:val="00E46D60"/>
    <w:rsid w:val="00E46DC1"/>
    <w:rsid w:val="00E46E38"/>
    <w:rsid w:val="00E46ECF"/>
    <w:rsid w:val="00E46EE4"/>
    <w:rsid w:val="00E47057"/>
    <w:rsid w:val="00E47074"/>
    <w:rsid w:val="00E470C8"/>
    <w:rsid w:val="00E47124"/>
    <w:rsid w:val="00E4713D"/>
    <w:rsid w:val="00E4716E"/>
    <w:rsid w:val="00E47180"/>
    <w:rsid w:val="00E472D6"/>
    <w:rsid w:val="00E475B5"/>
    <w:rsid w:val="00E475F0"/>
    <w:rsid w:val="00E4781F"/>
    <w:rsid w:val="00E479F8"/>
    <w:rsid w:val="00E47BE6"/>
    <w:rsid w:val="00E47C25"/>
    <w:rsid w:val="00E47D4F"/>
    <w:rsid w:val="00E47DBA"/>
    <w:rsid w:val="00E47F3B"/>
    <w:rsid w:val="00E50239"/>
    <w:rsid w:val="00E50412"/>
    <w:rsid w:val="00E50629"/>
    <w:rsid w:val="00E50681"/>
    <w:rsid w:val="00E506F9"/>
    <w:rsid w:val="00E50730"/>
    <w:rsid w:val="00E5078E"/>
    <w:rsid w:val="00E507E4"/>
    <w:rsid w:val="00E5084C"/>
    <w:rsid w:val="00E50942"/>
    <w:rsid w:val="00E50978"/>
    <w:rsid w:val="00E50A1A"/>
    <w:rsid w:val="00E50A23"/>
    <w:rsid w:val="00E50B08"/>
    <w:rsid w:val="00E50CF3"/>
    <w:rsid w:val="00E50CF4"/>
    <w:rsid w:val="00E50D9B"/>
    <w:rsid w:val="00E50E7A"/>
    <w:rsid w:val="00E510C6"/>
    <w:rsid w:val="00E51132"/>
    <w:rsid w:val="00E51166"/>
    <w:rsid w:val="00E51262"/>
    <w:rsid w:val="00E51289"/>
    <w:rsid w:val="00E512E7"/>
    <w:rsid w:val="00E5131B"/>
    <w:rsid w:val="00E513A6"/>
    <w:rsid w:val="00E51466"/>
    <w:rsid w:val="00E514A9"/>
    <w:rsid w:val="00E514F4"/>
    <w:rsid w:val="00E51601"/>
    <w:rsid w:val="00E51887"/>
    <w:rsid w:val="00E519F2"/>
    <w:rsid w:val="00E51B0A"/>
    <w:rsid w:val="00E51B83"/>
    <w:rsid w:val="00E51BE5"/>
    <w:rsid w:val="00E51D62"/>
    <w:rsid w:val="00E51EB2"/>
    <w:rsid w:val="00E520F6"/>
    <w:rsid w:val="00E5212D"/>
    <w:rsid w:val="00E521E4"/>
    <w:rsid w:val="00E521F7"/>
    <w:rsid w:val="00E522D7"/>
    <w:rsid w:val="00E522E8"/>
    <w:rsid w:val="00E524A7"/>
    <w:rsid w:val="00E52533"/>
    <w:rsid w:val="00E527E6"/>
    <w:rsid w:val="00E5287E"/>
    <w:rsid w:val="00E528DF"/>
    <w:rsid w:val="00E52901"/>
    <w:rsid w:val="00E5298B"/>
    <w:rsid w:val="00E52994"/>
    <w:rsid w:val="00E52A0F"/>
    <w:rsid w:val="00E52A1F"/>
    <w:rsid w:val="00E52A4A"/>
    <w:rsid w:val="00E52B1D"/>
    <w:rsid w:val="00E52DE8"/>
    <w:rsid w:val="00E52E74"/>
    <w:rsid w:val="00E52E88"/>
    <w:rsid w:val="00E52F53"/>
    <w:rsid w:val="00E52FCA"/>
    <w:rsid w:val="00E52FDC"/>
    <w:rsid w:val="00E530A6"/>
    <w:rsid w:val="00E530FF"/>
    <w:rsid w:val="00E532F7"/>
    <w:rsid w:val="00E53452"/>
    <w:rsid w:val="00E534CB"/>
    <w:rsid w:val="00E534F4"/>
    <w:rsid w:val="00E53527"/>
    <w:rsid w:val="00E535CD"/>
    <w:rsid w:val="00E53710"/>
    <w:rsid w:val="00E53751"/>
    <w:rsid w:val="00E538C2"/>
    <w:rsid w:val="00E53990"/>
    <w:rsid w:val="00E539C0"/>
    <w:rsid w:val="00E53A8F"/>
    <w:rsid w:val="00E53ADB"/>
    <w:rsid w:val="00E53B05"/>
    <w:rsid w:val="00E53D1C"/>
    <w:rsid w:val="00E53D33"/>
    <w:rsid w:val="00E53D6F"/>
    <w:rsid w:val="00E53E99"/>
    <w:rsid w:val="00E53EC6"/>
    <w:rsid w:val="00E53F00"/>
    <w:rsid w:val="00E53FE7"/>
    <w:rsid w:val="00E540C3"/>
    <w:rsid w:val="00E54115"/>
    <w:rsid w:val="00E541EE"/>
    <w:rsid w:val="00E541FD"/>
    <w:rsid w:val="00E542CF"/>
    <w:rsid w:val="00E54300"/>
    <w:rsid w:val="00E54338"/>
    <w:rsid w:val="00E543AF"/>
    <w:rsid w:val="00E54457"/>
    <w:rsid w:val="00E54522"/>
    <w:rsid w:val="00E5461D"/>
    <w:rsid w:val="00E54640"/>
    <w:rsid w:val="00E54810"/>
    <w:rsid w:val="00E54847"/>
    <w:rsid w:val="00E5484B"/>
    <w:rsid w:val="00E5491B"/>
    <w:rsid w:val="00E5493F"/>
    <w:rsid w:val="00E54B6D"/>
    <w:rsid w:val="00E54C5E"/>
    <w:rsid w:val="00E54C94"/>
    <w:rsid w:val="00E54CF9"/>
    <w:rsid w:val="00E54D37"/>
    <w:rsid w:val="00E54DB4"/>
    <w:rsid w:val="00E54DC6"/>
    <w:rsid w:val="00E54E41"/>
    <w:rsid w:val="00E54EEC"/>
    <w:rsid w:val="00E54FA5"/>
    <w:rsid w:val="00E550AA"/>
    <w:rsid w:val="00E55115"/>
    <w:rsid w:val="00E55154"/>
    <w:rsid w:val="00E551AD"/>
    <w:rsid w:val="00E55203"/>
    <w:rsid w:val="00E5524B"/>
    <w:rsid w:val="00E55315"/>
    <w:rsid w:val="00E553DC"/>
    <w:rsid w:val="00E553EE"/>
    <w:rsid w:val="00E55400"/>
    <w:rsid w:val="00E55446"/>
    <w:rsid w:val="00E5545B"/>
    <w:rsid w:val="00E5546A"/>
    <w:rsid w:val="00E554B9"/>
    <w:rsid w:val="00E5552A"/>
    <w:rsid w:val="00E555BF"/>
    <w:rsid w:val="00E555DD"/>
    <w:rsid w:val="00E556D8"/>
    <w:rsid w:val="00E556F0"/>
    <w:rsid w:val="00E55714"/>
    <w:rsid w:val="00E55763"/>
    <w:rsid w:val="00E55783"/>
    <w:rsid w:val="00E557F8"/>
    <w:rsid w:val="00E5594B"/>
    <w:rsid w:val="00E55951"/>
    <w:rsid w:val="00E5597F"/>
    <w:rsid w:val="00E55A51"/>
    <w:rsid w:val="00E55A91"/>
    <w:rsid w:val="00E55CBC"/>
    <w:rsid w:val="00E55D24"/>
    <w:rsid w:val="00E55D57"/>
    <w:rsid w:val="00E55E98"/>
    <w:rsid w:val="00E55F6C"/>
    <w:rsid w:val="00E56093"/>
    <w:rsid w:val="00E56161"/>
    <w:rsid w:val="00E56317"/>
    <w:rsid w:val="00E56397"/>
    <w:rsid w:val="00E563FD"/>
    <w:rsid w:val="00E5640B"/>
    <w:rsid w:val="00E5645B"/>
    <w:rsid w:val="00E5658B"/>
    <w:rsid w:val="00E56828"/>
    <w:rsid w:val="00E568B9"/>
    <w:rsid w:val="00E56926"/>
    <w:rsid w:val="00E56970"/>
    <w:rsid w:val="00E569B0"/>
    <w:rsid w:val="00E569BD"/>
    <w:rsid w:val="00E569D4"/>
    <w:rsid w:val="00E569E1"/>
    <w:rsid w:val="00E56A1C"/>
    <w:rsid w:val="00E56A32"/>
    <w:rsid w:val="00E56AA3"/>
    <w:rsid w:val="00E56B2A"/>
    <w:rsid w:val="00E56BB5"/>
    <w:rsid w:val="00E56C69"/>
    <w:rsid w:val="00E56E1D"/>
    <w:rsid w:val="00E56EE5"/>
    <w:rsid w:val="00E56F21"/>
    <w:rsid w:val="00E56F4C"/>
    <w:rsid w:val="00E571AA"/>
    <w:rsid w:val="00E57408"/>
    <w:rsid w:val="00E57553"/>
    <w:rsid w:val="00E575DF"/>
    <w:rsid w:val="00E57677"/>
    <w:rsid w:val="00E576BE"/>
    <w:rsid w:val="00E576EE"/>
    <w:rsid w:val="00E577AE"/>
    <w:rsid w:val="00E577CC"/>
    <w:rsid w:val="00E57849"/>
    <w:rsid w:val="00E57948"/>
    <w:rsid w:val="00E57A66"/>
    <w:rsid w:val="00E57A76"/>
    <w:rsid w:val="00E57AC0"/>
    <w:rsid w:val="00E57B43"/>
    <w:rsid w:val="00E57B96"/>
    <w:rsid w:val="00E57BC1"/>
    <w:rsid w:val="00E57C17"/>
    <w:rsid w:val="00E57CC9"/>
    <w:rsid w:val="00E57CD3"/>
    <w:rsid w:val="00E57DB9"/>
    <w:rsid w:val="00E57EC2"/>
    <w:rsid w:val="00E57F4F"/>
    <w:rsid w:val="00E6012A"/>
    <w:rsid w:val="00E60179"/>
    <w:rsid w:val="00E601F5"/>
    <w:rsid w:val="00E60258"/>
    <w:rsid w:val="00E60265"/>
    <w:rsid w:val="00E602B6"/>
    <w:rsid w:val="00E60303"/>
    <w:rsid w:val="00E604CE"/>
    <w:rsid w:val="00E604E7"/>
    <w:rsid w:val="00E604F4"/>
    <w:rsid w:val="00E6050C"/>
    <w:rsid w:val="00E6054F"/>
    <w:rsid w:val="00E605F4"/>
    <w:rsid w:val="00E6069F"/>
    <w:rsid w:val="00E606C2"/>
    <w:rsid w:val="00E606C3"/>
    <w:rsid w:val="00E607A9"/>
    <w:rsid w:val="00E607E5"/>
    <w:rsid w:val="00E60977"/>
    <w:rsid w:val="00E609B5"/>
    <w:rsid w:val="00E609E6"/>
    <w:rsid w:val="00E60A4B"/>
    <w:rsid w:val="00E60A5B"/>
    <w:rsid w:val="00E60A6D"/>
    <w:rsid w:val="00E60AF6"/>
    <w:rsid w:val="00E60BF6"/>
    <w:rsid w:val="00E60CA9"/>
    <w:rsid w:val="00E60D66"/>
    <w:rsid w:val="00E60E89"/>
    <w:rsid w:val="00E60EC6"/>
    <w:rsid w:val="00E6109D"/>
    <w:rsid w:val="00E611D5"/>
    <w:rsid w:val="00E61303"/>
    <w:rsid w:val="00E61596"/>
    <w:rsid w:val="00E6165A"/>
    <w:rsid w:val="00E6170D"/>
    <w:rsid w:val="00E6171F"/>
    <w:rsid w:val="00E61883"/>
    <w:rsid w:val="00E6189F"/>
    <w:rsid w:val="00E618AF"/>
    <w:rsid w:val="00E618B3"/>
    <w:rsid w:val="00E6197B"/>
    <w:rsid w:val="00E619EF"/>
    <w:rsid w:val="00E61A63"/>
    <w:rsid w:val="00E61A78"/>
    <w:rsid w:val="00E61B03"/>
    <w:rsid w:val="00E61DCB"/>
    <w:rsid w:val="00E61E44"/>
    <w:rsid w:val="00E61E73"/>
    <w:rsid w:val="00E61EDF"/>
    <w:rsid w:val="00E61F1C"/>
    <w:rsid w:val="00E6208E"/>
    <w:rsid w:val="00E620DE"/>
    <w:rsid w:val="00E62177"/>
    <w:rsid w:val="00E621F0"/>
    <w:rsid w:val="00E6250F"/>
    <w:rsid w:val="00E6254E"/>
    <w:rsid w:val="00E62575"/>
    <w:rsid w:val="00E625B6"/>
    <w:rsid w:val="00E62655"/>
    <w:rsid w:val="00E626BE"/>
    <w:rsid w:val="00E6282F"/>
    <w:rsid w:val="00E628B1"/>
    <w:rsid w:val="00E628EC"/>
    <w:rsid w:val="00E629EF"/>
    <w:rsid w:val="00E62A32"/>
    <w:rsid w:val="00E62AA6"/>
    <w:rsid w:val="00E62B15"/>
    <w:rsid w:val="00E62B41"/>
    <w:rsid w:val="00E62B5A"/>
    <w:rsid w:val="00E62B96"/>
    <w:rsid w:val="00E62BEE"/>
    <w:rsid w:val="00E62C13"/>
    <w:rsid w:val="00E62C14"/>
    <w:rsid w:val="00E62CD6"/>
    <w:rsid w:val="00E62CEA"/>
    <w:rsid w:val="00E62D6C"/>
    <w:rsid w:val="00E62EE9"/>
    <w:rsid w:val="00E62F6D"/>
    <w:rsid w:val="00E62FBE"/>
    <w:rsid w:val="00E630C9"/>
    <w:rsid w:val="00E632F2"/>
    <w:rsid w:val="00E6331D"/>
    <w:rsid w:val="00E63346"/>
    <w:rsid w:val="00E63354"/>
    <w:rsid w:val="00E633A1"/>
    <w:rsid w:val="00E6344D"/>
    <w:rsid w:val="00E63467"/>
    <w:rsid w:val="00E6372A"/>
    <w:rsid w:val="00E6377A"/>
    <w:rsid w:val="00E63843"/>
    <w:rsid w:val="00E63914"/>
    <w:rsid w:val="00E639F0"/>
    <w:rsid w:val="00E63B48"/>
    <w:rsid w:val="00E63C4B"/>
    <w:rsid w:val="00E63C7E"/>
    <w:rsid w:val="00E63D1C"/>
    <w:rsid w:val="00E63D71"/>
    <w:rsid w:val="00E63E27"/>
    <w:rsid w:val="00E6405D"/>
    <w:rsid w:val="00E6428C"/>
    <w:rsid w:val="00E642EE"/>
    <w:rsid w:val="00E6435A"/>
    <w:rsid w:val="00E6439F"/>
    <w:rsid w:val="00E643FA"/>
    <w:rsid w:val="00E6441B"/>
    <w:rsid w:val="00E64451"/>
    <w:rsid w:val="00E644D4"/>
    <w:rsid w:val="00E644F5"/>
    <w:rsid w:val="00E6450E"/>
    <w:rsid w:val="00E64587"/>
    <w:rsid w:val="00E64621"/>
    <w:rsid w:val="00E64742"/>
    <w:rsid w:val="00E64790"/>
    <w:rsid w:val="00E6484A"/>
    <w:rsid w:val="00E64862"/>
    <w:rsid w:val="00E64940"/>
    <w:rsid w:val="00E6498D"/>
    <w:rsid w:val="00E6499E"/>
    <w:rsid w:val="00E64A44"/>
    <w:rsid w:val="00E64A8D"/>
    <w:rsid w:val="00E64ABD"/>
    <w:rsid w:val="00E64AE6"/>
    <w:rsid w:val="00E64C77"/>
    <w:rsid w:val="00E64CB9"/>
    <w:rsid w:val="00E64D9C"/>
    <w:rsid w:val="00E64DA0"/>
    <w:rsid w:val="00E64DCF"/>
    <w:rsid w:val="00E64E2C"/>
    <w:rsid w:val="00E65009"/>
    <w:rsid w:val="00E65107"/>
    <w:rsid w:val="00E6520F"/>
    <w:rsid w:val="00E65253"/>
    <w:rsid w:val="00E652C9"/>
    <w:rsid w:val="00E653D4"/>
    <w:rsid w:val="00E65433"/>
    <w:rsid w:val="00E65640"/>
    <w:rsid w:val="00E6568A"/>
    <w:rsid w:val="00E6571D"/>
    <w:rsid w:val="00E6576D"/>
    <w:rsid w:val="00E65803"/>
    <w:rsid w:val="00E65A55"/>
    <w:rsid w:val="00E65A8D"/>
    <w:rsid w:val="00E65B2E"/>
    <w:rsid w:val="00E65C59"/>
    <w:rsid w:val="00E65D72"/>
    <w:rsid w:val="00E65D80"/>
    <w:rsid w:val="00E65D88"/>
    <w:rsid w:val="00E65F2F"/>
    <w:rsid w:val="00E65F77"/>
    <w:rsid w:val="00E66040"/>
    <w:rsid w:val="00E660CB"/>
    <w:rsid w:val="00E660D5"/>
    <w:rsid w:val="00E6614C"/>
    <w:rsid w:val="00E661DA"/>
    <w:rsid w:val="00E66294"/>
    <w:rsid w:val="00E664FA"/>
    <w:rsid w:val="00E6655F"/>
    <w:rsid w:val="00E665C9"/>
    <w:rsid w:val="00E66610"/>
    <w:rsid w:val="00E668D1"/>
    <w:rsid w:val="00E66902"/>
    <w:rsid w:val="00E669A2"/>
    <w:rsid w:val="00E669A7"/>
    <w:rsid w:val="00E66B31"/>
    <w:rsid w:val="00E66B60"/>
    <w:rsid w:val="00E66C34"/>
    <w:rsid w:val="00E66D33"/>
    <w:rsid w:val="00E66DDD"/>
    <w:rsid w:val="00E66DFD"/>
    <w:rsid w:val="00E66EBF"/>
    <w:rsid w:val="00E670AA"/>
    <w:rsid w:val="00E670EA"/>
    <w:rsid w:val="00E67137"/>
    <w:rsid w:val="00E67159"/>
    <w:rsid w:val="00E67261"/>
    <w:rsid w:val="00E672A9"/>
    <w:rsid w:val="00E67357"/>
    <w:rsid w:val="00E6738E"/>
    <w:rsid w:val="00E673B2"/>
    <w:rsid w:val="00E677AA"/>
    <w:rsid w:val="00E677FB"/>
    <w:rsid w:val="00E6782E"/>
    <w:rsid w:val="00E67832"/>
    <w:rsid w:val="00E67837"/>
    <w:rsid w:val="00E6786B"/>
    <w:rsid w:val="00E67917"/>
    <w:rsid w:val="00E67921"/>
    <w:rsid w:val="00E679D9"/>
    <w:rsid w:val="00E67A71"/>
    <w:rsid w:val="00E67B6C"/>
    <w:rsid w:val="00E67CDD"/>
    <w:rsid w:val="00E67D23"/>
    <w:rsid w:val="00E67D88"/>
    <w:rsid w:val="00E67DAC"/>
    <w:rsid w:val="00E67E47"/>
    <w:rsid w:val="00E67F0E"/>
    <w:rsid w:val="00E67F79"/>
    <w:rsid w:val="00E67FAE"/>
    <w:rsid w:val="00E67FAF"/>
    <w:rsid w:val="00E67FC2"/>
    <w:rsid w:val="00E67FDB"/>
    <w:rsid w:val="00E7009D"/>
    <w:rsid w:val="00E70104"/>
    <w:rsid w:val="00E7019B"/>
    <w:rsid w:val="00E701FB"/>
    <w:rsid w:val="00E702E3"/>
    <w:rsid w:val="00E70356"/>
    <w:rsid w:val="00E70474"/>
    <w:rsid w:val="00E70495"/>
    <w:rsid w:val="00E70514"/>
    <w:rsid w:val="00E70638"/>
    <w:rsid w:val="00E706A5"/>
    <w:rsid w:val="00E70824"/>
    <w:rsid w:val="00E70893"/>
    <w:rsid w:val="00E70925"/>
    <w:rsid w:val="00E70A04"/>
    <w:rsid w:val="00E70A87"/>
    <w:rsid w:val="00E70AA9"/>
    <w:rsid w:val="00E70ABC"/>
    <w:rsid w:val="00E70AF2"/>
    <w:rsid w:val="00E70B49"/>
    <w:rsid w:val="00E70CDE"/>
    <w:rsid w:val="00E70E45"/>
    <w:rsid w:val="00E70F68"/>
    <w:rsid w:val="00E70F8D"/>
    <w:rsid w:val="00E7101E"/>
    <w:rsid w:val="00E71067"/>
    <w:rsid w:val="00E710D8"/>
    <w:rsid w:val="00E710E1"/>
    <w:rsid w:val="00E71110"/>
    <w:rsid w:val="00E71117"/>
    <w:rsid w:val="00E7113A"/>
    <w:rsid w:val="00E71197"/>
    <w:rsid w:val="00E71456"/>
    <w:rsid w:val="00E7145F"/>
    <w:rsid w:val="00E71461"/>
    <w:rsid w:val="00E714A0"/>
    <w:rsid w:val="00E714E4"/>
    <w:rsid w:val="00E71507"/>
    <w:rsid w:val="00E71595"/>
    <w:rsid w:val="00E7159D"/>
    <w:rsid w:val="00E71630"/>
    <w:rsid w:val="00E717D9"/>
    <w:rsid w:val="00E7182F"/>
    <w:rsid w:val="00E7194C"/>
    <w:rsid w:val="00E71A0D"/>
    <w:rsid w:val="00E71ACB"/>
    <w:rsid w:val="00E71BA8"/>
    <w:rsid w:val="00E71BB0"/>
    <w:rsid w:val="00E71BD7"/>
    <w:rsid w:val="00E71CE3"/>
    <w:rsid w:val="00E71CFA"/>
    <w:rsid w:val="00E71F37"/>
    <w:rsid w:val="00E71F3C"/>
    <w:rsid w:val="00E71F4C"/>
    <w:rsid w:val="00E7210B"/>
    <w:rsid w:val="00E7238A"/>
    <w:rsid w:val="00E72477"/>
    <w:rsid w:val="00E72508"/>
    <w:rsid w:val="00E725B8"/>
    <w:rsid w:val="00E725E8"/>
    <w:rsid w:val="00E725FA"/>
    <w:rsid w:val="00E72611"/>
    <w:rsid w:val="00E7263C"/>
    <w:rsid w:val="00E7273F"/>
    <w:rsid w:val="00E7283C"/>
    <w:rsid w:val="00E72B15"/>
    <w:rsid w:val="00E72B4B"/>
    <w:rsid w:val="00E72B98"/>
    <w:rsid w:val="00E72BEF"/>
    <w:rsid w:val="00E72C77"/>
    <w:rsid w:val="00E72CAB"/>
    <w:rsid w:val="00E72CB6"/>
    <w:rsid w:val="00E72EA4"/>
    <w:rsid w:val="00E72ECD"/>
    <w:rsid w:val="00E72FAF"/>
    <w:rsid w:val="00E730A9"/>
    <w:rsid w:val="00E730C8"/>
    <w:rsid w:val="00E730F0"/>
    <w:rsid w:val="00E73117"/>
    <w:rsid w:val="00E7325A"/>
    <w:rsid w:val="00E73266"/>
    <w:rsid w:val="00E73321"/>
    <w:rsid w:val="00E73366"/>
    <w:rsid w:val="00E73487"/>
    <w:rsid w:val="00E73514"/>
    <w:rsid w:val="00E7354A"/>
    <w:rsid w:val="00E73590"/>
    <w:rsid w:val="00E736B8"/>
    <w:rsid w:val="00E736FC"/>
    <w:rsid w:val="00E738B1"/>
    <w:rsid w:val="00E73933"/>
    <w:rsid w:val="00E73938"/>
    <w:rsid w:val="00E739DD"/>
    <w:rsid w:val="00E73A0B"/>
    <w:rsid w:val="00E73A9C"/>
    <w:rsid w:val="00E73B46"/>
    <w:rsid w:val="00E73B98"/>
    <w:rsid w:val="00E73C71"/>
    <w:rsid w:val="00E73CD2"/>
    <w:rsid w:val="00E73CE6"/>
    <w:rsid w:val="00E73CEC"/>
    <w:rsid w:val="00E73E67"/>
    <w:rsid w:val="00E73FCB"/>
    <w:rsid w:val="00E73FCE"/>
    <w:rsid w:val="00E74030"/>
    <w:rsid w:val="00E7422C"/>
    <w:rsid w:val="00E743C6"/>
    <w:rsid w:val="00E74426"/>
    <w:rsid w:val="00E7465A"/>
    <w:rsid w:val="00E74742"/>
    <w:rsid w:val="00E747C2"/>
    <w:rsid w:val="00E747E0"/>
    <w:rsid w:val="00E7481E"/>
    <w:rsid w:val="00E74827"/>
    <w:rsid w:val="00E7488B"/>
    <w:rsid w:val="00E74910"/>
    <w:rsid w:val="00E74A10"/>
    <w:rsid w:val="00E74AA8"/>
    <w:rsid w:val="00E74B36"/>
    <w:rsid w:val="00E74CF7"/>
    <w:rsid w:val="00E74D17"/>
    <w:rsid w:val="00E74D22"/>
    <w:rsid w:val="00E74D74"/>
    <w:rsid w:val="00E74DC6"/>
    <w:rsid w:val="00E74F11"/>
    <w:rsid w:val="00E74F85"/>
    <w:rsid w:val="00E7508D"/>
    <w:rsid w:val="00E75092"/>
    <w:rsid w:val="00E752B7"/>
    <w:rsid w:val="00E752D4"/>
    <w:rsid w:val="00E75444"/>
    <w:rsid w:val="00E7547E"/>
    <w:rsid w:val="00E75527"/>
    <w:rsid w:val="00E756E9"/>
    <w:rsid w:val="00E756F7"/>
    <w:rsid w:val="00E75714"/>
    <w:rsid w:val="00E7571C"/>
    <w:rsid w:val="00E75861"/>
    <w:rsid w:val="00E758AA"/>
    <w:rsid w:val="00E758D8"/>
    <w:rsid w:val="00E758EF"/>
    <w:rsid w:val="00E7599D"/>
    <w:rsid w:val="00E75A8A"/>
    <w:rsid w:val="00E75B77"/>
    <w:rsid w:val="00E75BA0"/>
    <w:rsid w:val="00E75C6B"/>
    <w:rsid w:val="00E75D26"/>
    <w:rsid w:val="00E75D86"/>
    <w:rsid w:val="00E75DC4"/>
    <w:rsid w:val="00E7619D"/>
    <w:rsid w:val="00E7622A"/>
    <w:rsid w:val="00E76238"/>
    <w:rsid w:val="00E7623A"/>
    <w:rsid w:val="00E76285"/>
    <w:rsid w:val="00E762B1"/>
    <w:rsid w:val="00E76305"/>
    <w:rsid w:val="00E76425"/>
    <w:rsid w:val="00E7647B"/>
    <w:rsid w:val="00E765D3"/>
    <w:rsid w:val="00E76722"/>
    <w:rsid w:val="00E76723"/>
    <w:rsid w:val="00E76734"/>
    <w:rsid w:val="00E767D7"/>
    <w:rsid w:val="00E76814"/>
    <w:rsid w:val="00E76843"/>
    <w:rsid w:val="00E7687E"/>
    <w:rsid w:val="00E7693D"/>
    <w:rsid w:val="00E76A2E"/>
    <w:rsid w:val="00E76A4C"/>
    <w:rsid w:val="00E76A86"/>
    <w:rsid w:val="00E76B68"/>
    <w:rsid w:val="00E76B8D"/>
    <w:rsid w:val="00E76BF1"/>
    <w:rsid w:val="00E76C78"/>
    <w:rsid w:val="00E76C9F"/>
    <w:rsid w:val="00E76CCB"/>
    <w:rsid w:val="00E76D41"/>
    <w:rsid w:val="00E76D5E"/>
    <w:rsid w:val="00E76DA0"/>
    <w:rsid w:val="00E7706B"/>
    <w:rsid w:val="00E77170"/>
    <w:rsid w:val="00E7721A"/>
    <w:rsid w:val="00E7721B"/>
    <w:rsid w:val="00E772A0"/>
    <w:rsid w:val="00E772EA"/>
    <w:rsid w:val="00E773C4"/>
    <w:rsid w:val="00E773E7"/>
    <w:rsid w:val="00E7740D"/>
    <w:rsid w:val="00E77527"/>
    <w:rsid w:val="00E775E9"/>
    <w:rsid w:val="00E7766F"/>
    <w:rsid w:val="00E7767C"/>
    <w:rsid w:val="00E776EE"/>
    <w:rsid w:val="00E777F9"/>
    <w:rsid w:val="00E7794A"/>
    <w:rsid w:val="00E77962"/>
    <w:rsid w:val="00E779EC"/>
    <w:rsid w:val="00E77AE2"/>
    <w:rsid w:val="00E77B2F"/>
    <w:rsid w:val="00E77C03"/>
    <w:rsid w:val="00E77C13"/>
    <w:rsid w:val="00E77CC8"/>
    <w:rsid w:val="00E77D4D"/>
    <w:rsid w:val="00E77D67"/>
    <w:rsid w:val="00E77E0B"/>
    <w:rsid w:val="00E77E8E"/>
    <w:rsid w:val="00E80073"/>
    <w:rsid w:val="00E80126"/>
    <w:rsid w:val="00E80174"/>
    <w:rsid w:val="00E801E6"/>
    <w:rsid w:val="00E803E7"/>
    <w:rsid w:val="00E803FC"/>
    <w:rsid w:val="00E8043C"/>
    <w:rsid w:val="00E80473"/>
    <w:rsid w:val="00E8047F"/>
    <w:rsid w:val="00E8048A"/>
    <w:rsid w:val="00E80591"/>
    <w:rsid w:val="00E805EC"/>
    <w:rsid w:val="00E8061F"/>
    <w:rsid w:val="00E80789"/>
    <w:rsid w:val="00E808ED"/>
    <w:rsid w:val="00E80969"/>
    <w:rsid w:val="00E80A36"/>
    <w:rsid w:val="00E80B49"/>
    <w:rsid w:val="00E80C0A"/>
    <w:rsid w:val="00E80C37"/>
    <w:rsid w:val="00E80DB3"/>
    <w:rsid w:val="00E80E7E"/>
    <w:rsid w:val="00E80ED8"/>
    <w:rsid w:val="00E80EFD"/>
    <w:rsid w:val="00E80FCC"/>
    <w:rsid w:val="00E81251"/>
    <w:rsid w:val="00E81276"/>
    <w:rsid w:val="00E8128E"/>
    <w:rsid w:val="00E813AD"/>
    <w:rsid w:val="00E814FD"/>
    <w:rsid w:val="00E8157B"/>
    <w:rsid w:val="00E815E7"/>
    <w:rsid w:val="00E8162C"/>
    <w:rsid w:val="00E81735"/>
    <w:rsid w:val="00E81807"/>
    <w:rsid w:val="00E8180C"/>
    <w:rsid w:val="00E81A6C"/>
    <w:rsid w:val="00E81C4E"/>
    <w:rsid w:val="00E81CE8"/>
    <w:rsid w:val="00E81D55"/>
    <w:rsid w:val="00E81DF8"/>
    <w:rsid w:val="00E81E08"/>
    <w:rsid w:val="00E81E63"/>
    <w:rsid w:val="00E81EBF"/>
    <w:rsid w:val="00E81F40"/>
    <w:rsid w:val="00E81F51"/>
    <w:rsid w:val="00E82055"/>
    <w:rsid w:val="00E82061"/>
    <w:rsid w:val="00E82117"/>
    <w:rsid w:val="00E82126"/>
    <w:rsid w:val="00E82190"/>
    <w:rsid w:val="00E8224F"/>
    <w:rsid w:val="00E8226D"/>
    <w:rsid w:val="00E8229A"/>
    <w:rsid w:val="00E822FF"/>
    <w:rsid w:val="00E8231E"/>
    <w:rsid w:val="00E82324"/>
    <w:rsid w:val="00E823C1"/>
    <w:rsid w:val="00E8255A"/>
    <w:rsid w:val="00E825DD"/>
    <w:rsid w:val="00E825E6"/>
    <w:rsid w:val="00E825E7"/>
    <w:rsid w:val="00E825EE"/>
    <w:rsid w:val="00E826B9"/>
    <w:rsid w:val="00E827FE"/>
    <w:rsid w:val="00E828AA"/>
    <w:rsid w:val="00E829C5"/>
    <w:rsid w:val="00E82A87"/>
    <w:rsid w:val="00E82AA5"/>
    <w:rsid w:val="00E82B8F"/>
    <w:rsid w:val="00E82B99"/>
    <w:rsid w:val="00E82C32"/>
    <w:rsid w:val="00E82CE2"/>
    <w:rsid w:val="00E82D0A"/>
    <w:rsid w:val="00E82E8F"/>
    <w:rsid w:val="00E82F19"/>
    <w:rsid w:val="00E83110"/>
    <w:rsid w:val="00E83129"/>
    <w:rsid w:val="00E83184"/>
    <w:rsid w:val="00E831A3"/>
    <w:rsid w:val="00E831C8"/>
    <w:rsid w:val="00E83240"/>
    <w:rsid w:val="00E8326C"/>
    <w:rsid w:val="00E83565"/>
    <w:rsid w:val="00E83569"/>
    <w:rsid w:val="00E835ED"/>
    <w:rsid w:val="00E83614"/>
    <w:rsid w:val="00E8361B"/>
    <w:rsid w:val="00E8361C"/>
    <w:rsid w:val="00E83655"/>
    <w:rsid w:val="00E83748"/>
    <w:rsid w:val="00E83782"/>
    <w:rsid w:val="00E837E4"/>
    <w:rsid w:val="00E837E7"/>
    <w:rsid w:val="00E83917"/>
    <w:rsid w:val="00E83922"/>
    <w:rsid w:val="00E83958"/>
    <w:rsid w:val="00E8395E"/>
    <w:rsid w:val="00E83A80"/>
    <w:rsid w:val="00E83B53"/>
    <w:rsid w:val="00E83C87"/>
    <w:rsid w:val="00E83DBB"/>
    <w:rsid w:val="00E83DDC"/>
    <w:rsid w:val="00E83E56"/>
    <w:rsid w:val="00E83ECB"/>
    <w:rsid w:val="00E83FAC"/>
    <w:rsid w:val="00E84062"/>
    <w:rsid w:val="00E8415C"/>
    <w:rsid w:val="00E841D3"/>
    <w:rsid w:val="00E8425A"/>
    <w:rsid w:val="00E8430C"/>
    <w:rsid w:val="00E84326"/>
    <w:rsid w:val="00E84378"/>
    <w:rsid w:val="00E844D2"/>
    <w:rsid w:val="00E8463C"/>
    <w:rsid w:val="00E846D4"/>
    <w:rsid w:val="00E8496A"/>
    <w:rsid w:val="00E849FC"/>
    <w:rsid w:val="00E84ABC"/>
    <w:rsid w:val="00E84B07"/>
    <w:rsid w:val="00E84B08"/>
    <w:rsid w:val="00E84B62"/>
    <w:rsid w:val="00E84B97"/>
    <w:rsid w:val="00E84BEE"/>
    <w:rsid w:val="00E84C91"/>
    <w:rsid w:val="00E84CC6"/>
    <w:rsid w:val="00E84D80"/>
    <w:rsid w:val="00E84EDE"/>
    <w:rsid w:val="00E84EF1"/>
    <w:rsid w:val="00E84F5F"/>
    <w:rsid w:val="00E84F9C"/>
    <w:rsid w:val="00E84F9D"/>
    <w:rsid w:val="00E85100"/>
    <w:rsid w:val="00E85168"/>
    <w:rsid w:val="00E8523A"/>
    <w:rsid w:val="00E852DA"/>
    <w:rsid w:val="00E8544A"/>
    <w:rsid w:val="00E854CF"/>
    <w:rsid w:val="00E85528"/>
    <w:rsid w:val="00E85541"/>
    <w:rsid w:val="00E8557C"/>
    <w:rsid w:val="00E8559C"/>
    <w:rsid w:val="00E855BD"/>
    <w:rsid w:val="00E855DC"/>
    <w:rsid w:val="00E85693"/>
    <w:rsid w:val="00E85758"/>
    <w:rsid w:val="00E85782"/>
    <w:rsid w:val="00E8584E"/>
    <w:rsid w:val="00E858D7"/>
    <w:rsid w:val="00E8597F"/>
    <w:rsid w:val="00E85A95"/>
    <w:rsid w:val="00E85BCC"/>
    <w:rsid w:val="00E85BD9"/>
    <w:rsid w:val="00E85C18"/>
    <w:rsid w:val="00E85C5D"/>
    <w:rsid w:val="00E85CE7"/>
    <w:rsid w:val="00E85D37"/>
    <w:rsid w:val="00E85D88"/>
    <w:rsid w:val="00E85E5E"/>
    <w:rsid w:val="00E85E82"/>
    <w:rsid w:val="00E85EDE"/>
    <w:rsid w:val="00E85F1A"/>
    <w:rsid w:val="00E85F65"/>
    <w:rsid w:val="00E86007"/>
    <w:rsid w:val="00E8608E"/>
    <w:rsid w:val="00E861CB"/>
    <w:rsid w:val="00E8621C"/>
    <w:rsid w:val="00E86375"/>
    <w:rsid w:val="00E863E7"/>
    <w:rsid w:val="00E8641A"/>
    <w:rsid w:val="00E864B3"/>
    <w:rsid w:val="00E86576"/>
    <w:rsid w:val="00E86666"/>
    <w:rsid w:val="00E868FE"/>
    <w:rsid w:val="00E86A89"/>
    <w:rsid w:val="00E86A9E"/>
    <w:rsid w:val="00E86B04"/>
    <w:rsid w:val="00E86B2E"/>
    <w:rsid w:val="00E86BED"/>
    <w:rsid w:val="00E86C89"/>
    <w:rsid w:val="00E86E58"/>
    <w:rsid w:val="00E86EC7"/>
    <w:rsid w:val="00E86FD0"/>
    <w:rsid w:val="00E8709E"/>
    <w:rsid w:val="00E871E4"/>
    <w:rsid w:val="00E87278"/>
    <w:rsid w:val="00E872EA"/>
    <w:rsid w:val="00E8735A"/>
    <w:rsid w:val="00E873C7"/>
    <w:rsid w:val="00E87476"/>
    <w:rsid w:val="00E87565"/>
    <w:rsid w:val="00E87590"/>
    <w:rsid w:val="00E875BF"/>
    <w:rsid w:val="00E87651"/>
    <w:rsid w:val="00E87722"/>
    <w:rsid w:val="00E87726"/>
    <w:rsid w:val="00E8779E"/>
    <w:rsid w:val="00E87844"/>
    <w:rsid w:val="00E878A0"/>
    <w:rsid w:val="00E8797F"/>
    <w:rsid w:val="00E87A24"/>
    <w:rsid w:val="00E87A32"/>
    <w:rsid w:val="00E87A7E"/>
    <w:rsid w:val="00E87B12"/>
    <w:rsid w:val="00E87BD5"/>
    <w:rsid w:val="00E87CC6"/>
    <w:rsid w:val="00E87D57"/>
    <w:rsid w:val="00E87D59"/>
    <w:rsid w:val="00E87D5B"/>
    <w:rsid w:val="00E87DC9"/>
    <w:rsid w:val="00E87E1D"/>
    <w:rsid w:val="00E9002A"/>
    <w:rsid w:val="00E9002F"/>
    <w:rsid w:val="00E9026E"/>
    <w:rsid w:val="00E902AE"/>
    <w:rsid w:val="00E90389"/>
    <w:rsid w:val="00E9067A"/>
    <w:rsid w:val="00E9073E"/>
    <w:rsid w:val="00E90865"/>
    <w:rsid w:val="00E908B9"/>
    <w:rsid w:val="00E90AEF"/>
    <w:rsid w:val="00E90BAF"/>
    <w:rsid w:val="00E90DA7"/>
    <w:rsid w:val="00E90DFC"/>
    <w:rsid w:val="00E90EB3"/>
    <w:rsid w:val="00E90F6B"/>
    <w:rsid w:val="00E91029"/>
    <w:rsid w:val="00E91078"/>
    <w:rsid w:val="00E910D6"/>
    <w:rsid w:val="00E9135A"/>
    <w:rsid w:val="00E913E0"/>
    <w:rsid w:val="00E91440"/>
    <w:rsid w:val="00E9169B"/>
    <w:rsid w:val="00E91794"/>
    <w:rsid w:val="00E91873"/>
    <w:rsid w:val="00E91876"/>
    <w:rsid w:val="00E918A2"/>
    <w:rsid w:val="00E91914"/>
    <w:rsid w:val="00E91AC2"/>
    <w:rsid w:val="00E91B5E"/>
    <w:rsid w:val="00E91BA7"/>
    <w:rsid w:val="00E91C05"/>
    <w:rsid w:val="00E91C7D"/>
    <w:rsid w:val="00E91E66"/>
    <w:rsid w:val="00E91ED5"/>
    <w:rsid w:val="00E91EF3"/>
    <w:rsid w:val="00E92098"/>
    <w:rsid w:val="00E920FA"/>
    <w:rsid w:val="00E9216B"/>
    <w:rsid w:val="00E921C2"/>
    <w:rsid w:val="00E923AB"/>
    <w:rsid w:val="00E9249E"/>
    <w:rsid w:val="00E92516"/>
    <w:rsid w:val="00E92518"/>
    <w:rsid w:val="00E92560"/>
    <w:rsid w:val="00E92575"/>
    <w:rsid w:val="00E9259E"/>
    <w:rsid w:val="00E926B6"/>
    <w:rsid w:val="00E9272B"/>
    <w:rsid w:val="00E927FC"/>
    <w:rsid w:val="00E929EC"/>
    <w:rsid w:val="00E92A26"/>
    <w:rsid w:val="00E92B7D"/>
    <w:rsid w:val="00E92BDE"/>
    <w:rsid w:val="00E92C58"/>
    <w:rsid w:val="00E92F35"/>
    <w:rsid w:val="00E92FA9"/>
    <w:rsid w:val="00E92FD9"/>
    <w:rsid w:val="00E930BA"/>
    <w:rsid w:val="00E930E4"/>
    <w:rsid w:val="00E93127"/>
    <w:rsid w:val="00E9313A"/>
    <w:rsid w:val="00E9336D"/>
    <w:rsid w:val="00E9341C"/>
    <w:rsid w:val="00E934A7"/>
    <w:rsid w:val="00E934CB"/>
    <w:rsid w:val="00E934F3"/>
    <w:rsid w:val="00E9355E"/>
    <w:rsid w:val="00E93599"/>
    <w:rsid w:val="00E935CE"/>
    <w:rsid w:val="00E937D7"/>
    <w:rsid w:val="00E938D3"/>
    <w:rsid w:val="00E939C5"/>
    <w:rsid w:val="00E939EE"/>
    <w:rsid w:val="00E93B09"/>
    <w:rsid w:val="00E93C2D"/>
    <w:rsid w:val="00E93D31"/>
    <w:rsid w:val="00E93EFC"/>
    <w:rsid w:val="00E9421C"/>
    <w:rsid w:val="00E94250"/>
    <w:rsid w:val="00E94296"/>
    <w:rsid w:val="00E94319"/>
    <w:rsid w:val="00E9431D"/>
    <w:rsid w:val="00E94450"/>
    <w:rsid w:val="00E944EF"/>
    <w:rsid w:val="00E944FE"/>
    <w:rsid w:val="00E946AF"/>
    <w:rsid w:val="00E947A6"/>
    <w:rsid w:val="00E94884"/>
    <w:rsid w:val="00E948CD"/>
    <w:rsid w:val="00E94928"/>
    <w:rsid w:val="00E94996"/>
    <w:rsid w:val="00E94B11"/>
    <w:rsid w:val="00E94BCF"/>
    <w:rsid w:val="00E94C46"/>
    <w:rsid w:val="00E94C5C"/>
    <w:rsid w:val="00E94DDD"/>
    <w:rsid w:val="00E94E40"/>
    <w:rsid w:val="00E94E99"/>
    <w:rsid w:val="00E94EC9"/>
    <w:rsid w:val="00E94ED4"/>
    <w:rsid w:val="00E94EED"/>
    <w:rsid w:val="00E9512D"/>
    <w:rsid w:val="00E95152"/>
    <w:rsid w:val="00E9515D"/>
    <w:rsid w:val="00E9518D"/>
    <w:rsid w:val="00E951E5"/>
    <w:rsid w:val="00E953A7"/>
    <w:rsid w:val="00E9547E"/>
    <w:rsid w:val="00E95506"/>
    <w:rsid w:val="00E9551F"/>
    <w:rsid w:val="00E9553F"/>
    <w:rsid w:val="00E95628"/>
    <w:rsid w:val="00E95646"/>
    <w:rsid w:val="00E95661"/>
    <w:rsid w:val="00E9577E"/>
    <w:rsid w:val="00E9580F"/>
    <w:rsid w:val="00E9587F"/>
    <w:rsid w:val="00E95890"/>
    <w:rsid w:val="00E958D8"/>
    <w:rsid w:val="00E95A6C"/>
    <w:rsid w:val="00E95A7E"/>
    <w:rsid w:val="00E95B58"/>
    <w:rsid w:val="00E95B85"/>
    <w:rsid w:val="00E95BBA"/>
    <w:rsid w:val="00E95BDD"/>
    <w:rsid w:val="00E95BF0"/>
    <w:rsid w:val="00E95CE1"/>
    <w:rsid w:val="00E95D2D"/>
    <w:rsid w:val="00E95E07"/>
    <w:rsid w:val="00E95E24"/>
    <w:rsid w:val="00E95EC8"/>
    <w:rsid w:val="00E96099"/>
    <w:rsid w:val="00E960AC"/>
    <w:rsid w:val="00E96277"/>
    <w:rsid w:val="00E96377"/>
    <w:rsid w:val="00E9639E"/>
    <w:rsid w:val="00E963CB"/>
    <w:rsid w:val="00E963DA"/>
    <w:rsid w:val="00E96435"/>
    <w:rsid w:val="00E9648A"/>
    <w:rsid w:val="00E964D6"/>
    <w:rsid w:val="00E96576"/>
    <w:rsid w:val="00E9657D"/>
    <w:rsid w:val="00E965D1"/>
    <w:rsid w:val="00E9677C"/>
    <w:rsid w:val="00E967D2"/>
    <w:rsid w:val="00E9692E"/>
    <w:rsid w:val="00E96A16"/>
    <w:rsid w:val="00E96A7E"/>
    <w:rsid w:val="00E96AF6"/>
    <w:rsid w:val="00E96D5E"/>
    <w:rsid w:val="00E96D92"/>
    <w:rsid w:val="00E96F24"/>
    <w:rsid w:val="00E96F4E"/>
    <w:rsid w:val="00E97085"/>
    <w:rsid w:val="00E970B8"/>
    <w:rsid w:val="00E970E8"/>
    <w:rsid w:val="00E9710F"/>
    <w:rsid w:val="00E9713B"/>
    <w:rsid w:val="00E971D9"/>
    <w:rsid w:val="00E9720A"/>
    <w:rsid w:val="00E97215"/>
    <w:rsid w:val="00E972DD"/>
    <w:rsid w:val="00E97355"/>
    <w:rsid w:val="00E97397"/>
    <w:rsid w:val="00E97456"/>
    <w:rsid w:val="00E97466"/>
    <w:rsid w:val="00E974E0"/>
    <w:rsid w:val="00E974E5"/>
    <w:rsid w:val="00E97508"/>
    <w:rsid w:val="00E97633"/>
    <w:rsid w:val="00E9765A"/>
    <w:rsid w:val="00E97677"/>
    <w:rsid w:val="00E976A0"/>
    <w:rsid w:val="00E97796"/>
    <w:rsid w:val="00E97903"/>
    <w:rsid w:val="00E9794C"/>
    <w:rsid w:val="00E979BE"/>
    <w:rsid w:val="00E979F0"/>
    <w:rsid w:val="00E97A33"/>
    <w:rsid w:val="00E97AD6"/>
    <w:rsid w:val="00E97AF3"/>
    <w:rsid w:val="00E97BD1"/>
    <w:rsid w:val="00E97CD8"/>
    <w:rsid w:val="00E97D2F"/>
    <w:rsid w:val="00E97DB1"/>
    <w:rsid w:val="00E97DCE"/>
    <w:rsid w:val="00E97E1D"/>
    <w:rsid w:val="00E97EC2"/>
    <w:rsid w:val="00E97EE3"/>
    <w:rsid w:val="00EA0008"/>
    <w:rsid w:val="00EA0066"/>
    <w:rsid w:val="00EA0198"/>
    <w:rsid w:val="00EA0305"/>
    <w:rsid w:val="00EA033B"/>
    <w:rsid w:val="00EA039F"/>
    <w:rsid w:val="00EA0443"/>
    <w:rsid w:val="00EA0548"/>
    <w:rsid w:val="00EA058C"/>
    <w:rsid w:val="00EA062B"/>
    <w:rsid w:val="00EA06C2"/>
    <w:rsid w:val="00EA07B0"/>
    <w:rsid w:val="00EA0921"/>
    <w:rsid w:val="00EA0943"/>
    <w:rsid w:val="00EA096D"/>
    <w:rsid w:val="00EA09F7"/>
    <w:rsid w:val="00EA0AA5"/>
    <w:rsid w:val="00EA0D04"/>
    <w:rsid w:val="00EA0DC6"/>
    <w:rsid w:val="00EA0F0C"/>
    <w:rsid w:val="00EA10D1"/>
    <w:rsid w:val="00EA1102"/>
    <w:rsid w:val="00EA1138"/>
    <w:rsid w:val="00EA11A5"/>
    <w:rsid w:val="00EA11D0"/>
    <w:rsid w:val="00EA12A1"/>
    <w:rsid w:val="00EA12B0"/>
    <w:rsid w:val="00EA12F8"/>
    <w:rsid w:val="00EA132B"/>
    <w:rsid w:val="00EA1450"/>
    <w:rsid w:val="00EA1499"/>
    <w:rsid w:val="00EA169A"/>
    <w:rsid w:val="00EA16DD"/>
    <w:rsid w:val="00EA16FC"/>
    <w:rsid w:val="00EA1717"/>
    <w:rsid w:val="00EA17EC"/>
    <w:rsid w:val="00EA1921"/>
    <w:rsid w:val="00EA1AD4"/>
    <w:rsid w:val="00EA1B8F"/>
    <w:rsid w:val="00EA1C03"/>
    <w:rsid w:val="00EA1C6F"/>
    <w:rsid w:val="00EA1D8E"/>
    <w:rsid w:val="00EA1DEF"/>
    <w:rsid w:val="00EA1E70"/>
    <w:rsid w:val="00EA1ECE"/>
    <w:rsid w:val="00EA207C"/>
    <w:rsid w:val="00EA209F"/>
    <w:rsid w:val="00EA20B9"/>
    <w:rsid w:val="00EA20DD"/>
    <w:rsid w:val="00EA2136"/>
    <w:rsid w:val="00EA21B0"/>
    <w:rsid w:val="00EA237E"/>
    <w:rsid w:val="00EA2400"/>
    <w:rsid w:val="00EA2491"/>
    <w:rsid w:val="00EA266E"/>
    <w:rsid w:val="00EA294B"/>
    <w:rsid w:val="00EA29DC"/>
    <w:rsid w:val="00EA2AED"/>
    <w:rsid w:val="00EA2B32"/>
    <w:rsid w:val="00EA2B51"/>
    <w:rsid w:val="00EA2B68"/>
    <w:rsid w:val="00EA2CB8"/>
    <w:rsid w:val="00EA2D47"/>
    <w:rsid w:val="00EA2D72"/>
    <w:rsid w:val="00EA2EAD"/>
    <w:rsid w:val="00EA2EED"/>
    <w:rsid w:val="00EA2FA8"/>
    <w:rsid w:val="00EA2FEC"/>
    <w:rsid w:val="00EA3024"/>
    <w:rsid w:val="00EA3064"/>
    <w:rsid w:val="00EA30BF"/>
    <w:rsid w:val="00EA34B2"/>
    <w:rsid w:val="00EA34B8"/>
    <w:rsid w:val="00EA3639"/>
    <w:rsid w:val="00EA3779"/>
    <w:rsid w:val="00EA38BF"/>
    <w:rsid w:val="00EA3B8C"/>
    <w:rsid w:val="00EA3C14"/>
    <w:rsid w:val="00EA3C18"/>
    <w:rsid w:val="00EA3C52"/>
    <w:rsid w:val="00EA3D87"/>
    <w:rsid w:val="00EA3E09"/>
    <w:rsid w:val="00EA3E2B"/>
    <w:rsid w:val="00EA40A9"/>
    <w:rsid w:val="00EA40D2"/>
    <w:rsid w:val="00EA411D"/>
    <w:rsid w:val="00EA4120"/>
    <w:rsid w:val="00EA4185"/>
    <w:rsid w:val="00EA41B6"/>
    <w:rsid w:val="00EA4206"/>
    <w:rsid w:val="00EA4288"/>
    <w:rsid w:val="00EA428E"/>
    <w:rsid w:val="00EA42CE"/>
    <w:rsid w:val="00EA4471"/>
    <w:rsid w:val="00EA4473"/>
    <w:rsid w:val="00EA45D4"/>
    <w:rsid w:val="00EA4713"/>
    <w:rsid w:val="00EA4787"/>
    <w:rsid w:val="00EA4817"/>
    <w:rsid w:val="00EA4878"/>
    <w:rsid w:val="00EA48BE"/>
    <w:rsid w:val="00EA4960"/>
    <w:rsid w:val="00EA4966"/>
    <w:rsid w:val="00EA49AA"/>
    <w:rsid w:val="00EA4A50"/>
    <w:rsid w:val="00EA4A78"/>
    <w:rsid w:val="00EA4C1B"/>
    <w:rsid w:val="00EA4C95"/>
    <w:rsid w:val="00EA4F51"/>
    <w:rsid w:val="00EA5236"/>
    <w:rsid w:val="00EA52B3"/>
    <w:rsid w:val="00EA5452"/>
    <w:rsid w:val="00EA54DE"/>
    <w:rsid w:val="00EA558F"/>
    <w:rsid w:val="00EA55A6"/>
    <w:rsid w:val="00EA55F1"/>
    <w:rsid w:val="00EA56D9"/>
    <w:rsid w:val="00EA56DA"/>
    <w:rsid w:val="00EA57D9"/>
    <w:rsid w:val="00EA5A0E"/>
    <w:rsid w:val="00EA5B46"/>
    <w:rsid w:val="00EA5B9C"/>
    <w:rsid w:val="00EA5D0B"/>
    <w:rsid w:val="00EA5D5F"/>
    <w:rsid w:val="00EA5D92"/>
    <w:rsid w:val="00EA5E02"/>
    <w:rsid w:val="00EA5E40"/>
    <w:rsid w:val="00EA5EC5"/>
    <w:rsid w:val="00EA5FF6"/>
    <w:rsid w:val="00EA6134"/>
    <w:rsid w:val="00EA616C"/>
    <w:rsid w:val="00EA6189"/>
    <w:rsid w:val="00EA626E"/>
    <w:rsid w:val="00EA62AE"/>
    <w:rsid w:val="00EA62CB"/>
    <w:rsid w:val="00EA62F6"/>
    <w:rsid w:val="00EA652C"/>
    <w:rsid w:val="00EA6562"/>
    <w:rsid w:val="00EA66B4"/>
    <w:rsid w:val="00EA66E5"/>
    <w:rsid w:val="00EA6720"/>
    <w:rsid w:val="00EA67C4"/>
    <w:rsid w:val="00EA67D8"/>
    <w:rsid w:val="00EA682D"/>
    <w:rsid w:val="00EA6847"/>
    <w:rsid w:val="00EA6962"/>
    <w:rsid w:val="00EA69DA"/>
    <w:rsid w:val="00EA6A07"/>
    <w:rsid w:val="00EA6A8F"/>
    <w:rsid w:val="00EA6B0F"/>
    <w:rsid w:val="00EA6B63"/>
    <w:rsid w:val="00EA6C8F"/>
    <w:rsid w:val="00EA6CFA"/>
    <w:rsid w:val="00EA6D53"/>
    <w:rsid w:val="00EA6DB4"/>
    <w:rsid w:val="00EA6F50"/>
    <w:rsid w:val="00EA713B"/>
    <w:rsid w:val="00EA71C5"/>
    <w:rsid w:val="00EA7273"/>
    <w:rsid w:val="00EA7394"/>
    <w:rsid w:val="00EA745B"/>
    <w:rsid w:val="00EA7696"/>
    <w:rsid w:val="00EA76B0"/>
    <w:rsid w:val="00EA76F7"/>
    <w:rsid w:val="00EA778F"/>
    <w:rsid w:val="00EA77AA"/>
    <w:rsid w:val="00EA78E0"/>
    <w:rsid w:val="00EA7946"/>
    <w:rsid w:val="00EA794D"/>
    <w:rsid w:val="00EA79C6"/>
    <w:rsid w:val="00EA7A72"/>
    <w:rsid w:val="00EA7A8D"/>
    <w:rsid w:val="00EA7B14"/>
    <w:rsid w:val="00EA7B6B"/>
    <w:rsid w:val="00EA7C00"/>
    <w:rsid w:val="00EA7C1C"/>
    <w:rsid w:val="00EA7C78"/>
    <w:rsid w:val="00EA7CA9"/>
    <w:rsid w:val="00EA7D24"/>
    <w:rsid w:val="00EA7D7F"/>
    <w:rsid w:val="00EA7D9A"/>
    <w:rsid w:val="00EA7DFD"/>
    <w:rsid w:val="00EA7E0B"/>
    <w:rsid w:val="00EA7E12"/>
    <w:rsid w:val="00EA7E39"/>
    <w:rsid w:val="00EA7E3F"/>
    <w:rsid w:val="00EA7E8D"/>
    <w:rsid w:val="00EA7E93"/>
    <w:rsid w:val="00EA7F0E"/>
    <w:rsid w:val="00EA7F8C"/>
    <w:rsid w:val="00EB0021"/>
    <w:rsid w:val="00EB005A"/>
    <w:rsid w:val="00EB009D"/>
    <w:rsid w:val="00EB0222"/>
    <w:rsid w:val="00EB023B"/>
    <w:rsid w:val="00EB02BE"/>
    <w:rsid w:val="00EB02ED"/>
    <w:rsid w:val="00EB044C"/>
    <w:rsid w:val="00EB04BC"/>
    <w:rsid w:val="00EB0606"/>
    <w:rsid w:val="00EB0694"/>
    <w:rsid w:val="00EB0712"/>
    <w:rsid w:val="00EB0777"/>
    <w:rsid w:val="00EB0846"/>
    <w:rsid w:val="00EB091F"/>
    <w:rsid w:val="00EB0A67"/>
    <w:rsid w:val="00EB0CE5"/>
    <w:rsid w:val="00EB0D9E"/>
    <w:rsid w:val="00EB0DF1"/>
    <w:rsid w:val="00EB0EA2"/>
    <w:rsid w:val="00EB0EEE"/>
    <w:rsid w:val="00EB0F96"/>
    <w:rsid w:val="00EB1031"/>
    <w:rsid w:val="00EB1187"/>
    <w:rsid w:val="00EB11AC"/>
    <w:rsid w:val="00EB1357"/>
    <w:rsid w:val="00EB1480"/>
    <w:rsid w:val="00EB1496"/>
    <w:rsid w:val="00EB14CD"/>
    <w:rsid w:val="00EB157D"/>
    <w:rsid w:val="00EB15F0"/>
    <w:rsid w:val="00EB168E"/>
    <w:rsid w:val="00EB17A5"/>
    <w:rsid w:val="00EB1836"/>
    <w:rsid w:val="00EB1869"/>
    <w:rsid w:val="00EB18F8"/>
    <w:rsid w:val="00EB193A"/>
    <w:rsid w:val="00EB19B4"/>
    <w:rsid w:val="00EB19DE"/>
    <w:rsid w:val="00EB1A8C"/>
    <w:rsid w:val="00EB1B0F"/>
    <w:rsid w:val="00EB1B96"/>
    <w:rsid w:val="00EB1C95"/>
    <w:rsid w:val="00EB1DBE"/>
    <w:rsid w:val="00EB1DFD"/>
    <w:rsid w:val="00EB1E39"/>
    <w:rsid w:val="00EB1EDE"/>
    <w:rsid w:val="00EB1F61"/>
    <w:rsid w:val="00EB1F88"/>
    <w:rsid w:val="00EB1F8C"/>
    <w:rsid w:val="00EB1F9A"/>
    <w:rsid w:val="00EB208C"/>
    <w:rsid w:val="00EB217D"/>
    <w:rsid w:val="00EB235C"/>
    <w:rsid w:val="00EB23BE"/>
    <w:rsid w:val="00EB2409"/>
    <w:rsid w:val="00EB2461"/>
    <w:rsid w:val="00EB246B"/>
    <w:rsid w:val="00EB248C"/>
    <w:rsid w:val="00EB2493"/>
    <w:rsid w:val="00EB24A6"/>
    <w:rsid w:val="00EB24AB"/>
    <w:rsid w:val="00EB2573"/>
    <w:rsid w:val="00EB2610"/>
    <w:rsid w:val="00EB267A"/>
    <w:rsid w:val="00EB2740"/>
    <w:rsid w:val="00EB2A42"/>
    <w:rsid w:val="00EB2A72"/>
    <w:rsid w:val="00EB2A91"/>
    <w:rsid w:val="00EB2ABD"/>
    <w:rsid w:val="00EB2ADB"/>
    <w:rsid w:val="00EB2B3E"/>
    <w:rsid w:val="00EB2BD2"/>
    <w:rsid w:val="00EB2BD7"/>
    <w:rsid w:val="00EB2C24"/>
    <w:rsid w:val="00EB2C7E"/>
    <w:rsid w:val="00EB2DB9"/>
    <w:rsid w:val="00EB2E72"/>
    <w:rsid w:val="00EB2EC0"/>
    <w:rsid w:val="00EB2ED6"/>
    <w:rsid w:val="00EB2EFD"/>
    <w:rsid w:val="00EB2F7D"/>
    <w:rsid w:val="00EB2FB8"/>
    <w:rsid w:val="00EB3068"/>
    <w:rsid w:val="00EB308A"/>
    <w:rsid w:val="00EB30F1"/>
    <w:rsid w:val="00EB316E"/>
    <w:rsid w:val="00EB3288"/>
    <w:rsid w:val="00EB331A"/>
    <w:rsid w:val="00EB33B8"/>
    <w:rsid w:val="00EB351E"/>
    <w:rsid w:val="00EB3602"/>
    <w:rsid w:val="00EB366C"/>
    <w:rsid w:val="00EB3749"/>
    <w:rsid w:val="00EB3762"/>
    <w:rsid w:val="00EB37FD"/>
    <w:rsid w:val="00EB3849"/>
    <w:rsid w:val="00EB3929"/>
    <w:rsid w:val="00EB3996"/>
    <w:rsid w:val="00EB39A2"/>
    <w:rsid w:val="00EB3ABF"/>
    <w:rsid w:val="00EB3B81"/>
    <w:rsid w:val="00EB3CF5"/>
    <w:rsid w:val="00EB3D4E"/>
    <w:rsid w:val="00EB3E0F"/>
    <w:rsid w:val="00EB3E15"/>
    <w:rsid w:val="00EB3EB4"/>
    <w:rsid w:val="00EB3F30"/>
    <w:rsid w:val="00EB3F71"/>
    <w:rsid w:val="00EB3FFC"/>
    <w:rsid w:val="00EB4019"/>
    <w:rsid w:val="00EB4058"/>
    <w:rsid w:val="00EB4085"/>
    <w:rsid w:val="00EB4258"/>
    <w:rsid w:val="00EB4287"/>
    <w:rsid w:val="00EB42E2"/>
    <w:rsid w:val="00EB42F6"/>
    <w:rsid w:val="00EB45D6"/>
    <w:rsid w:val="00EB4603"/>
    <w:rsid w:val="00EB467F"/>
    <w:rsid w:val="00EB472B"/>
    <w:rsid w:val="00EB4751"/>
    <w:rsid w:val="00EB47D4"/>
    <w:rsid w:val="00EB48CC"/>
    <w:rsid w:val="00EB48D1"/>
    <w:rsid w:val="00EB493D"/>
    <w:rsid w:val="00EB4948"/>
    <w:rsid w:val="00EB498C"/>
    <w:rsid w:val="00EB4A32"/>
    <w:rsid w:val="00EB4A5E"/>
    <w:rsid w:val="00EB4C76"/>
    <w:rsid w:val="00EB4D88"/>
    <w:rsid w:val="00EB4D93"/>
    <w:rsid w:val="00EB4E70"/>
    <w:rsid w:val="00EB4FC9"/>
    <w:rsid w:val="00EB4FF3"/>
    <w:rsid w:val="00EB5043"/>
    <w:rsid w:val="00EB506E"/>
    <w:rsid w:val="00EB5104"/>
    <w:rsid w:val="00EB5120"/>
    <w:rsid w:val="00EB52CF"/>
    <w:rsid w:val="00EB5365"/>
    <w:rsid w:val="00EB5383"/>
    <w:rsid w:val="00EB5437"/>
    <w:rsid w:val="00EB547E"/>
    <w:rsid w:val="00EB558D"/>
    <w:rsid w:val="00EB559C"/>
    <w:rsid w:val="00EB568D"/>
    <w:rsid w:val="00EB5823"/>
    <w:rsid w:val="00EB58CF"/>
    <w:rsid w:val="00EB58F1"/>
    <w:rsid w:val="00EB590A"/>
    <w:rsid w:val="00EB5921"/>
    <w:rsid w:val="00EB5AAE"/>
    <w:rsid w:val="00EB5AEC"/>
    <w:rsid w:val="00EB5B84"/>
    <w:rsid w:val="00EB5BAA"/>
    <w:rsid w:val="00EB5BB7"/>
    <w:rsid w:val="00EB5BE1"/>
    <w:rsid w:val="00EB5BFC"/>
    <w:rsid w:val="00EB5C91"/>
    <w:rsid w:val="00EB5D32"/>
    <w:rsid w:val="00EB5E2A"/>
    <w:rsid w:val="00EB5F32"/>
    <w:rsid w:val="00EB5FD6"/>
    <w:rsid w:val="00EB6050"/>
    <w:rsid w:val="00EB606D"/>
    <w:rsid w:val="00EB61BF"/>
    <w:rsid w:val="00EB6359"/>
    <w:rsid w:val="00EB6461"/>
    <w:rsid w:val="00EB646A"/>
    <w:rsid w:val="00EB658C"/>
    <w:rsid w:val="00EB66CB"/>
    <w:rsid w:val="00EB66E6"/>
    <w:rsid w:val="00EB674F"/>
    <w:rsid w:val="00EB67A4"/>
    <w:rsid w:val="00EB685B"/>
    <w:rsid w:val="00EB688A"/>
    <w:rsid w:val="00EB6925"/>
    <w:rsid w:val="00EB6A31"/>
    <w:rsid w:val="00EB6B25"/>
    <w:rsid w:val="00EB6C80"/>
    <w:rsid w:val="00EB6CA0"/>
    <w:rsid w:val="00EB6CB6"/>
    <w:rsid w:val="00EB6DCD"/>
    <w:rsid w:val="00EB6E99"/>
    <w:rsid w:val="00EB6F2E"/>
    <w:rsid w:val="00EB6F41"/>
    <w:rsid w:val="00EB6FF0"/>
    <w:rsid w:val="00EB73E3"/>
    <w:rsid w:val="00EB73F6"/>
    <w:rsid w:val="00EB7423"/>
    <w:rsid w:val="00EB763B"/>
    <w:rsid w:val="00EB7641"/>
    <w:rsid w:val="00EB76C1"/>
    <w:rsid w:val="00EB77BA"/>
    <w:rsid w:val="00EB77F8"/>
    <w:rsid w:val="00EB798B"/>
    <w:rsid w:val="00EB7AEB"/>
    <w:rsid w:val="00EB7CE6"/>
    <w:rsid w:val="00EB7E42"/>
    <w:rsid w:val="00EB7EA8"/>
    <w:rsid w:val="00EC001C"/>
    <w:rsid w:val="00EC00B3"/>
    <w:rsid w:val="00EC00E4"/>
    <w:rsid w:val="00EC01BD"/>
    <w:rsid w:val="00EC01FC"/>
    <w:rsid w:val="00EC02B9"/>
    <w:rsid w:val="00EC045B"/>
    <w:rsid w:val="00EC0462"/>
    <w:rsid w:val="00EC04BA"/>
    <w:rsid w:val="00EC0513"/>
    <w:rsid w:val="00EC05DA"/>
    <w:rsid w:val="00EC0640"/>
    <w:rsid w:val="00EC0691"/>
    <w:rsid w:val="00EC0726"/>
    <w:rsid w:val="00EC072F"/>
    <w:rsid w:val="00EC0745"/>
    <w:rsid w:val="00EC0759"/>
    <w:rsid w:val="00EC07FE"/>
    <w:rsid w:val="00EC08A5"/>
    <w:rsid w:val="00EC0906"/>
    <w:rsid w:val="00EC0B60"/>
    <w:rsid w:val="00EC0BF5"/>
    <w:rsid w:val="00EC0C82"/>
    <w:rsid w:val="00EC0DE9"/>
    <w:rsid w:val="00EC0E18"/>
    <w:rsid w:val="00EC0EB6"/>
    <w:rsid w:val="00EC0F38"/>
    <w:rsid w:val="00EC10F0"/>
    <w:rsid w:val="00EC124C"/>
    <w:rsid w:val="00EC1255"/>
    <w:rsid w:val="00EC1400"/>
    <w:rsid w:val="00EC1421"/>
    <w:rsid w:val="00EC15C9"/>
    <w:rsid w:val="00EC15F5"/>
    <w:rsid w:val="00EC1634"/>
    <w:rsid w:val="00EC17B6"/>
    <w:rsid w:val="00EC17D1"/>
    <w:rsid w:val="00EC18BC"/>
    <w:rsid w:val="00EC1CC6"/>
    <w:rsid w:val="00EC1E3F"/>
    <w:rsid w:val="00EC1EEC"/>
    <w:rsid w:val="00EC1F29"/>
    <w:rsid w:val="00EC1F4F"/>
    <w:rsid w:val="00EC1F5C"/>
    <w:rsid w:val="00EC1F86"/>
    <w:rsid w:val="00EC1FB1"/>
    <w:rsid w:val="00EC2061"/>
    <w:rsid w:val="00EC21E8"/>
    <w:rsid w:val="00EC2257"/>
    <w:rsid w:val="00EC2303"/>
    <w:rsid w:val="00EC2307"/>
    <w:rsid w:val="00EC240D"/>
    <w:rsid w:val="00EC2436"/>
    <w:rsid w:val="00EC2440"/>
    <w:rsid w:val="00EC2459"/>
    <w:rsid w:val="00EC24FA"/>
    <w:rsid w:val="00EC2519"/>
    <w:rsid w:val="00EC25BF"/>
    <w:rsid w:val="00EC2625"/>
    <w:rsid w:val="00EC2630"/>
    <w:rsid w:val="00EC263C"/>
    <w:rsid w:val="00EC2734"/>
    <w:rsid w:val="00EC27CE"/>
    <w:rsid w:val="00EC2824"/>
    <w:rsid w:val="00EC2883"/>
    <w:rsid w:val="00EC2985"/>
    <w:rsid w:val="00EC29F4"/>
    <w:rsid w:val="00EC29F6"/>
    <w:rsid w:val="00EC2AC1"/>
    <w:rsid w:val="00EC2BFE"/>
    <w:rsid w:val="00EC2DDC"/>
    <w:rsid w:val="00EC2EB4"/>
    <w:rsid w:val="00EC2EFD"/>
    <w:rsid w:val="00EC2F11"/>
    <w:rsid w:val="00EC2FDB"/>
    <w:rsid w:val="00EC30E8"/>
    <w:rsid w:val="00EC311C"/>
    <w:rsid w:val="00EC313D"/>
    <w:rsid w:val="00EC31BC"/>
    <w:rsid w:val="00EC3277"/>
    <w:rsid w:val="00EC336B"/>
    <w:rsid w:val="00EC33B0"/>
    <w:rsid w:val="00EC33F5"/>
    <w:rsid w:val="00EC35B8"/>
    <w:rsid w:val="00EC35D8"/>
    <w:rsid w:val="00EC364E"/>
    <w:rsid w:val="00EC3652"/>
    <w:rsid w:val="00EC3733"/>
    <w:rsid w:val="00EC39C3"/>
    <w:rsid w:val="00EC3A43"/>
    <w:rsid w:val="00EC3B6C"/>
    <w:rsid w:val="00EC3B95"/>
    <w:rsid w:val="00EC3BC3"/>
    <w:rsid w:val="00EC3BD6"/>
    <w:rsid w:val="00EC3C8B"/>
    <w:rsid w:val="00EC3EE8"/>
    <w:rsid w:val="00EC3F43"/>
    <w:rsid w:val="00EC4094"/>
    <w:rsid w:val="00EC410B"/>
    <w:rsid w:val="00EC43B9"/>
    <w:rsid w:val="00EC43F8"/>
    <w:rsid w:val="00EC4422"/>
    <w:rsid w:val="00EC448D"/>
    <w:rsid w:val="00EC4682"/>
    <w:rsid w:val="00EC46BE"/>
    <w:rsid w:val="00EC48EC"/>
    <w:rsid w:val="00EC4913"/>
    <w:rsid w:val="00EC4966"/>
    <w:rsid w:val="00EC4978"/>
    <w:rsid w:val="00EC49D2"/>
    <w:rsid w:val="00EC4B19"/>
    <w:rsid w:val="00EC4B78"/>
    <w:rsid w:val="00EC4BBE"/>
    <w:rsid w:val="00EC4CBD"/>
    <w:rsid w:val="00EC4DCE"/>
    <w:rsid w:val="00EC4DD7"/>
    <w:rsid w:val="00EC4E54"/>
    <w:rsid w:val="00EC4E6D"/>
    <w:rsid w:val="00EC4EB0"/>
    <w:rsid w:val="00EC4F13"/>
    <w:rsid w:val="00EC4FC0"/>
    <w:rsid w:val="00EC505E"/>
    <w:rsid w:val="00EC50D2"/>
    <w:rsid w:val="00EC534F"/>
    <w:rsid w:val="00EC5389"/>
    <w:rsid w:val="00EC5578"/>
    <w:rsid w:val="00EC559E"/>
    <w:rsid w:val="00EC5629"/>
    <w:rsid w:val="00EC56C9"/>
    <w:rsid w:val="00EC58EE"/>
    <w:rsid w:val="00EC590D"/>
    <w:rsid w:val="00EC59C4"/>
    <w:rsid w:val="00EC59EB"/>
    <w:rsid w:val="00EC5A72"/>
    <w:rsid w:val="00EC5A8C"/>
    <w:rsid w:val="00EC5B0D"/>
    <w:rsid w:val="00EC5BF9"/>
    <w:rsid w:val="00EC5C5D"/>
    <w:rsid w:val="00EC5D29"/>
    <w:rsid w:val="00EC5DC4"/>
    <w:rsid w:val="00EC5E13"/>
    <w:rsid w:val="00EC5F8B"/>
    <w:rsid w:val="00EC5FC3"/>
    <w:rsid w:val="00EC5FEB"/>
    <w:rsid w:val="00EC606E"/>
    <w:rsid w:val="00EC6234"/>
    <w:rsid w:val="00EC6258"/>
    <w:rsid w:val="00EC63D4"/>
    <w:rsid w:val="00EC64B1"/>
    <w:rsid w:val="00EC64B5"/>
    <w:rsid w:val="00EC64D9"/>
    <w:rsid w:val="00EC65AD"/>
    <w:rsid w:val="00EC65F2"/>
    <w:rsid w:val="00EC66A4"/>
    <w:rsid w:val="00EC688C"/>
    <w:rsid w:val="00EC68E4"/>
    <w:rsid w:val="00EC695D"/>
    <w:rsid w:val="00EC6A42"/>
    <w:rsid w:val="00EC6A49"/>
    <w:rsid w:val="00EC6A87"/>
    <w:rsid w:val="00EC6AA7"/>
    <w:rsid w:val="00EC6AAF"/>
    <w:rsid w:val="00EC6B7A"/>
    <w:rsid w:val="00EC6B87"/>
    <w:rsid w:val="00EC6BF6"/>
    <w:rsid w:val="00EC6BF9"/>
    <w:rsid w:val="00EC6D53"/>
    <w:rsid w:val="00EC6D9E"/>
    <w:rsid w:val="00EC6EBF"/>
    <w:rsid w:val="00EC6F10"/>
    <w:rsid w:val="00EC6FBA"/>
    <w:rsid w:val="00EC6FEC"/>
    <w:rsid w:val="00EC7071"/>
    <w:rsid w:val="00EC711F"/>
    <w:rsid w:val="00EC7129"/>
    <w:rsid w:val="00EC712F"/>
    <w:rsid w:val="00EC722F"/>
    <w:rsid w:val="00EC72A3"/>
    <w:rsid w:val="00EC72DF"/>
    <w:rsid w:val="00EC7523"/>
    <w:rsid w:val="00EC75C4"/>
    <w:rsid w:val="00EC75FD"/>
    <w:rsid w:val="00EC7627"/>
    <w:rsid w:val="00EC790B"/>
    <w:rsid w:val="00EC7932"/>
    <w:rsid w:val="00EC79CD"/>
    <w:rsid w:val="00EC7B4E"/>
    <w:rsid w:val="00EC7B5B"/>
    <w:rsid w:val="00EC7BA0"/>
    <w:rsid w:val="00EC7C33"/>
    <w:rsid w:val="00EC7CFA"/>
    <w:rsid w:val="00EC7D29"/>
    <w:rsid w:val="00EC7E18"/>
    <w:rsid w:val="00EC7FC0"/>
    <w:rsid w:val="00EC7FE4"/>
    <w:rsid w:val="00ED0097"/>
    <w:rsid w:val="00ED0136"/>
    <w:rsid w:val="00ED0363"/>
    <w:rsid w:val="00ED0492"/>
    <w:rsid w:val="00ED0522"/>
    <w:rsid w:val="00ED05D7"/>
    <w:rsid w:val="00ED06A1"/>
    <w:rsid w:val="00ED06B4"/>
    <w:rsid w:val="00ED06FE"/>
    <w:rsid w:val="00ED078E"/>
    <w:rsid w:val="00ED07A1"/>
    <w:rsid w:val="00ED0972"/>
    <w:rsid w:val="00ED0976"/>
    <w:rsid w:val="00ED0A4B"/>
    <w:rsid w:val="00ED0B55"/>
    <w:rsid w:val="00ED0B58"/>
    <w:rsid w:val="00ED0B88"/>
    <w:rsid w:val="00ED0BB0"/>
    <w:rsid w:val="00ED0C22"/>
    <w:rsid w:val="00ED0EC2"/>
    <w:rsid w:val="00ED0EDA"/>
    <w:rsid w:val="00ED0FD1"/>
    <w:rsid w:val="00ED0FEA"/>
    <w:rsid w:val="00ED0FEC"/>
    <w:rsid w:val="00ED1043"/>
    <w:rsid w:val="00ED1103"/>
    <w:rsid w:val="00ED1140"/>
    <w:rsid w:val="00ED1302"/>
    <w:rsid w:val="00ED1364"/>
    <w:rsid w:val="00ED137F"/>
    <w:rsid w:val="00ED13C2"/>
    <w:rsid w:val="00ED141C"/>
    <w:rsid w:val="00ED145C"/>
    <w:rsid w:val="00ED150D"/>
    <w:rsid w:val="00ED151E"/>
    <w:rsid w:val="00ED1669"/>
    <w:rsid w:val="00ED1673"/>
    <w:rsid w:val="00ED1782"/>
    <w:rsid w:val="00ED18C8"/>
    <w:rsid w:val="00ED18EF"/>
    <w:rsid w:val="00ED1971"/>
    <w:rsid w:val="00ED198A"/>
    <w:rsid w:val="00ED1AA3"/>
    <w:rsid w:val="00ED1CCE"/>
    <w:rsid w:val="00ED1D17"/>
    <w:rsid w:val="00ED1E00"/>
    <w:rsid w:val="00ED1E03"/>
    <w:rsid w:val="00ED1E4E"/>
    <w:rsid w:val="00ED1F1C"/>
    <w:rsid w:val="00ED1F3B"/>
    <w:rsid w:val="00ED1FAD"/>
    <w:rsid w:val="00ED204F"/>
    <w:rsid w:val="00ED20D5"/>
    <w:rsid w:val="00ED20E7"/>
    <w:rsid w:val="00ED2143"/>
    <w:rsid w:val="00ED21D1"/>
    <w:rsid w:val="00ED2318"/>
    <w:rsid w:val="00ED2504"/>
    <w:rsid w:val="00ED25E8"/>
    <w:rsid w:val="00ED2603"/>
    <w:rsid w:val="00ED267B"/>
    <w:rsid w:val="00ED26EE"/>
    <w:rsid w:val="00ED2757"/>
    <w:rsid w:val="00ED2820"/>
    <w:rsid w:val="00ED2904"/>
    <w:rsid w:val="00ED2A31"/>
    <w:rsid w:val="00ED2A37"/>
    <w:rsid w:val="00ED2B67"/>
    <w:rsid w:val="00ED2C04"/>
    <w:rsid w:val="00ED2D16"/>
    <w:rsid w:val="00ED2DE3"/>
    <w:rsid w:val="00ED2DE4"/>
    <w:rsid w:val="00ED2E1B"/>
    <w:rsid w:val="00ED2EF4"/>
    <w:rsid w:val="00ED2FAD"/>
    <w:rsid w:val="00ED2FF2"/>
    <w:rsid w:val="00ED3017"/>
    <w:rsid w:val="00ED3026"/>
    <w:rsid w:val="00ED3176"/>
    <w:rsid w:val="00ED32DA"/>
    <w:rsid w:val="00ED3384"/>
    <w:rsid w:val="00ED33BE"/>
    <w:rsid w:val="00ED33EC"/>
    <w:rsid w:val="00ED348E"/>
    <w:rsid w:val="00ED35A9"/>
    <w:rsid w:val="00ED35CF"/>
    <w:rsid w:val="00ED36A4"/>
    <w:rsid w:val="00ED36F6"/>
    <w:rsid w:val="00ED37A8"/>
    <w:rsid w:val="00ED3874"/>
    <w:rsid w:val="00ED39EA"/>
    <w:rsid w:val="00ED39F5"/>
    <w:rsid w:val="00ED3A51"/>
    <w:rsid w:val="00ED3A6C"/>
    <w:rsid w:val="00ED3B1B"/>
    <w:rsid w:val="00ED3D2E"/>
    <w:rsid w:val="00ED3DEC"/>
    <w:rsid w:val="00ED3EC5"/>
    <w:rsid w:val="00ED3F57"/>
    <w:rsid w:val="00ED3FA7"/>
    <w:rsid w:val="00ED3FF5"/>
    <w:rsid w:val="00ED40F7"/>
    <w:rsid w:val="00ED4131"/>
    <w:rsid w:val="00ED41ED"/>
    <w:rsid w:val="00ED4238"/>
    <w:rsid w:val="00ED42AE"/>
    <w:rsid w:val="00ED43FF"/>
    <w:rsid w:val="00ED445A"/>
    <w:rsid w:val="00ED4501"/>
    <w:rsid w:val="00ED4546"/>
    <w:rsid w:val="00ED4674"/>
    <w:rsid w:val="00ED46F2"/>
    <w:rsid w:val="00ED4775"/>
    <w:rsid w:val="00ED478C"/>
    <w:rsid w:val="00ED47AF"/>
    <w:rsid w:val="00ED47DB"/>
    <w:rsid w:val="00ED4AF9"/>
    <w:rsid w:val="00ED4B49"/>
    <w:rsid w:val="00ED4B4D"/>
    <w:rsid w:val="00ED4C46"/>
    <w:rsid w:val="00ED4D57"/>
    <w:rsid w:val="00ED4DFF"/>
    <w:rsid w:val="00ED4EE8"/>
    <w:rsid w:val="00ED4F66"/>
    <w:rsid w:val="00ED51CE"/>
    <w:rsid w:val="00ED5268"/>
    <w:rsid w:val="00ED527A"/>
    <w:rsid w:val="00ED52C7"/>
    <w:rsid w:val="00ED5426"/>
    <w:rsid w:val="00ED543B"/>
    <w:rsid w:val="00ED544B"/>
    <w:rsid w:val="00ED5467"/>
    <w:rsid w:val="00ED548E"/>
    <w:rsid w:val="00ED553D"/>
    <w:rsid w:val="00ED55F1"/>
    <w:rsid w:val="00ED574A"/>
    <w:rsid w:val="00ED578B"/>
    <w:rsid w:val="00ED5818"/>
    <w:rsid w:val="00ED5876"/>
    <w:rsid w:val="00ED5882"/>
    <w:rsid w:val="00ED590F"/>
    <w:rsid w:val="00ED5994"/>
    <w:rsid w:val="00ED59C4"/>
    <w:rsid w:val="00ED5B10"/>
    <w:rsid w:val="00ED5BCD"/>
    <w:rsid w:val="00ED5E80"/>
    <w:rsid w:val="00ED5F4E"/>
    <w:rsid w:val="00ED6077"/>
    <w:rsid w:val="00ED60D1"/>
    <w:rsid w:val="00ED6112"/>
    <w:rsid w:val="00ED617B"/>
    <w:rsid w:val="00ED61C0"/>
    <w:rsid w:val="00ED61CE"/>
    <w:rsid w:val="00ED6453"/>
    <w:rsid w:val="00ED6465"/>
    <w:rsid w:val="00ED6521"/>
    <w:rsid w:val="00ED663F"/>
    <w:rsid w:val="00ED66C5"/>
    <w:rsid w:val="00ED68C3"/>
    <w:rsid w:val="00ED68F5"/>
    <w:rsid w:val="00ED6925"/>
    <w:rsid w:val="00ED6A5D"/>
    <w:rsid w:val="00ED6AA6"/>
    <w:rsid w:val="00ED6C2C"/>
    <w:rsid w:val="00ED6C45"/>
    <w:rsid w:val="00ED6C5E"/>
    <w:rsid w:val="00ED6E29"/>
    <w:rsid w:val="00ED6E4E"/>
    <w:rsid w:val="00ED7263"/>
    <w:rsid w:val="00ED7329"/>
    <w:rsid w:val="00ED739D"/>
    <w:rsid w:val="00ED73B9"/>
    <w:rsid w:val="00ED743A"/>
    <w:rsid w:val="00ED74F7"/>
    <w:rsid w:val="00ED7517"/>
    <w:rsid w:val="00ED7586"/>
    <w:rsid w:val="00ED758C"/>
    <w:rsid w:val="00ED76B1"/>
    <w:rsid w:val="00ED7737"/>
    <w:rsid w:val="00ED7756"/>
    <w:rsid w:val="00ED7784"/>
    <w:rsid w:val="00ED7838"/>
    <w:rsid w:val="00ED78D4"/>
    <w:rsid w:val="00ED792C"/>
    <w:rsid w:val="00ED7A39"/>
    <w:rsid w:val="00ED7AD9"/>
    <w:rsid w:val="00ED7DF7"/>
    <w:rsid w:val="00ED7E00"/>
    <w:rsid w:val="00ED7E9E"/>
    <w:rsid w:val="00ED7F0C"/>
    <w:rsid w:val="00EE0024"/>
    <w:rsid w:val="00EE00AE"/>
    <w:rsid w:val="00EE01BB"/>
    <w:rsid w:val="00EE01D0"/>
    <w:rsid w:val="00EE0272"/>
    <w:rsid w:val="00EE0388"/>
    <w:rsid w:val="00EE03E7"/>
    <w:rsid w:val="00EE0470"/>
    <w:rsid w:val="00EE0471"/>
    <w:rsid w:val="00EE0534"/>
    <w:rsid w:val="00EE059D"/>
    <w:rsid w:val="00EE067F"/>
    <w:rsid w:val="00EE068F"/>
    <w:rsid w:val="00EE06AF"/>
    <w:rsid w:val="00EE07DE"/>
    <w:rsid w:val="00EE0954"/>
    <w:rsid w:val="00EE0976"/>
    <w:rsid w:val="00EE09D8"/>
    <w:rsid w:val="00EE0AD4"/>
    <w:rsid w:val="00EE0BFE"/>
    <w:rsid w:val="00EE0C8D"/>
    <w:rsid w:val="00EE0CAE"/>
    <w:rsid w:val="00EE0DAF"/>
    <w:rsid w:val="00EE0E54"/>
    <w:rsid w:val="00EE0EC5"/>
    <w:rsid w:val="00EE0F3D"/>
    <w:rsid w:val="00EE10A8"/>
    <w:rsid w:val="00EE10E1"/>
    <w:rsid w:val="00EE115B"/>
    <w:rsid w:val="00EE1169"/>
    <w:rsid w:val="00EE11AD"/>
    <w:rsid w:val="00EE1226"/>
    <w:rsid w:val="00EE1262"/>
    <w:rsid w:val="00EE12B4"/>
    <w:rsid w:val="00EE138B"/>
    <w:rsid w:val="00EE13E3"/>
    <w:rsid w:val="00EE14E7"/>
    <w:rsid w:val="00EE1550"/>
    <w:rsid w:val="00EE1715"/>
    <w:rsid w:val="00EE1803"/>
    <w:rsid w:val="00EE1A19"/>
    <w:rsid w:val="00EE1BBB"/>
    <w:rsid w:val="00EE1BBD"/>
    <w:rsid w:val="00EE1CC6"/>
    <w:rsid w:val="00EE1E64"/>
    <w:rsid w:val="00EE1ED8"/>
    <w:rsid w:val="00EE1FFD"/>
    <w:rsid w:val="00EE20D8"/>
    <w:rsid w:val="00EE20DB"/>
    <w:rsid w:val="00EE2224"/>
    <w:rsid w:val="00EE2227"/>
    <w:rsid w:val="00EE2241"/>
    <w:rsid w:val="00EE23CC"/>
    <w:rsid w:val="00EE2408"/>
    <w:rsid w:val="00EE242E"/>
    <w:rsid w:val="00EE24CE"/>
    <w:rsid w:val="00EE24EB"/>
    <w:rsid w:val="00EE25A5"/>
    <w:rsid w:val="00EE25C5"/>
    <w:rsid w:val="00EE2749"/>
    <w:rsid w:val="00EE283A"/>
    <w:rsid w:val="00EE289D"/>
    <w:rsid w:val="00EE28F9"/>
    <w:rsid w:val="00EE2BFF"/>
    <w:rsid w:val="00EE2C18"/>
    <w:rsid w:val="00EE2C66"/>
    <w:rsid w:val="00EE2D14"/>
    <w:rsid w:val="00EE2D36"/>
    <w:rsid w:val="00EE2D48"/>
    <w:rsid w:val="00EE2E93"/>
    <w:rsid w:val="00EE2F0D"/>
    <w:rsid w:val="00EE2F6C"/>
    <w:rsid w:val="00EE3034"/>
    <w:rsid w:val="00EE3185"/>
    <w:rsid w:val="00EE32DF"/>
    <w:rsid w:val="00EE331B"/>
    <w:rsid w:val="00EE3339"/>
    <w:rsid w:val="00EE337F"/>
    <w:rsid w:val="00EE33CC"/>
    <w:rsid w:val="00EE33D1"/>
    <w:rsid w:val="00EE3576"/>
    <w:rsid w:val="00EE36AD"/>
    <w:rsid w:val="00EE380D"/>
    <w:rsid w:val="00EE391E"/>
    <w:rsid w:val="00EE39B4"/>
    <w:rsid w:val="00EE3A1B"/>
    <w:rsid w:val="00EE3C80"/>
    <w:rsid w:val="00EE3C9B"/>
    <w:rsid w:val="00EE3D6E"/>
    <w:rsid w:val="00EE3E05"/>
    <w:rsid w:val="00EE3E18"/>
    <w:rsid w:val="00EE3E2C"/>
    <w:rsid w:val="00EE3E67"/>
    <w:rsid w:val="00EE3EA1"/>
    <w:rsid w:val="00EE3F4D"/>
    <w:rsid w:val="00EE3FB2"/>
    <w:rsid w:val="00EE4062"/>
    <w:rsid w:val="00EE40D3"/>
    <w:rsid w:val="00EE40D5"/>
    <w:rsid w:val="00EE413F"/>
    <w:rsid w:val="00EE43B7"/>
    <w:rsid w:val="00EE440F"/>
    <w:rsid w:val="00EE4A55"/>
    <w:rsid w:val="00EE4A6D"/>
    <w:rsid w:val="00EE4B0E"/>
    <w:rsid w:val="00EE4B3F"/>
    <w:rsid w:val="00EE4BD5"/>
    <w:rsid w:val="00EE4C7C"/>
    <w:rsid w:val="00EE4CCC"/>
    <w:rsid w:val="00EE4DE7"/>
    <w:rsid w:val="00EE4DEA"/>
    <w:rsid w:val="00EE4F11"/>
    <w:rsid w:val="00EE4F33"/>
    <w:rsid w:val="00EE4F37"/>
    <w:rsid w:val="00EE4FDA"/>
    <w:rsid w:val="00EE5333"/>
    <w:rsid w:val="00EE5479"/>
    <w:rsid w:val="00EE5496"/>
    <w:rsid w:val="00EE54D7"/>
    <w:rsid w:val="00EE5658"/>
    <w:rsid w:val="00EE56DC"/>
    <w:rsid w:val="00EE572D"/>
    <w:rsid w:val="00EE57C6"/>
    <w:rsid w:val="00EE57C7"/>
    <w:rsid w:val="00EE57D0"/>
    <w:rsid w:val="00EE591D"/>
    <w:rsid w:val="00EE5927"/>
    <w:rsid w:val="00EE5ABE"/>
    <w:rsid w:val="00EE5B75"/>
    <w:rsid w:val="00EE5BBC"/>
    <w:rsid w:val="00EE5BF2"/>
    <w:rsid w:val="00EE5C67"/>
    <w:rsid w:val="00EE5D8D"/>
    <w:rsid w:val="00EE5DE8"/>
    <w:rsid w:val="00EE5F03"/>
    <w:rsid w:val="00EE5FAE"/>
    <w:rsid w:val="00EE60F7"/>
    <w:rsid w:val="00EE61B8"/>
    <w:rsid w:val="00EE622A"/>
    <w:rsid w:val="00EE629B"/>
    <w:rsid w:val="00EE6328"/>
    <w:rsid w:val="00EE639D"/>
    <w:rsid w:val="00EE64D0"/>
    <w:rsid w:val="00EE6519"/>
    <w:rsid w:val="00EE6639"/>
    <w:rsid w:val="00EE6715"/>
    <w:rsid w:val="00EE67AC"/>
    <w:rsid w:val="00EE67C9"/>
    <w:rsid w:val="00EE695C"/>
    <w:rsid w:val="00EE6975"/>
    <w:rsid w:val="00EE69D0"/>
    <w:rsid w:val="00EE6A93"/>
    <w:rsid w:val="00EE6C1E"/>
    <w:rsid w:val="00EE6C6D"/>
    <w:rsid w:val="00EE6D54"/>
    <w:rsid w:val="00EE6D86"/>
    <w:rsid w:val="00EE6DB2"/>
    <w:rsid w:val="00EE6DB3"/>
    <w:rsid w:val="00EE7063"/>
    <w:rsid w:val="00EE7139"/>
    <w:rsid w:val="00EE71B6"/>
    <w:rsid w:val="00EE71DF"/>
    <w:rsid w:val="00EE720C"/>
    <w:rsid w:val="00EE722A"/>
    <w:rsid w:val="00EE725D"/>
    <w:rsid w:val="00EE72AB"/>
    <w:rsid w:val="00EE72D1"/>
    <w:rsid w:val="00EE72F6"/>
    <w:rsid w:val="00EE737B"/>
    <w:rsid w:val="00EE73D2"/>
    <w:rsid w:val="00EE73EC"/>
    <w:rsid w:val="00EE7417"/>
    <w:rsid w:val="00EE74E6"/>
    <w:rsid w:val="00EE74E9"/>
    <w:rsid w:val="00EE7544"/>
    <w:rsid w:val="00EE756B"/>
    <w:rsid w:val="00EE7615"/>
    <w:rsid w:val="00EE7622"/>
    <w:rsid w:val="00EE766D"/>
    <w:rsid w:val="00EE7721"/>
    <w:rsid w:val="00EE772C"/>
    <w:rsid w:val="00EE774E"/>
    <w:rsid w:val="00EE776E"/>
    <w:rsid w:val="00EE77FA"/>
    <w:rsid w:val="00EE7910"/>
    <w:rsid w:val="00EE7B14"/>
    <w:rsid w:val="00EE7BC9"/>
    <w:rsid w:val="00EE7D26"/>
    <w:rsid w:val="00EE7D41"/>
    <w:rsid w:val="00EE7D5F"/>
    <w:rsid w:val="00EE7EC9"/>
    <w:rsid w:val="00EE7F2B"/>
    <w:rsid w:val="00EF00E2"/>
    <w:rsid w:val="00EF01E2"/>
    <w:rsid w:val="00EF0249"/>
    <w:rsid w:val="00EF02DE"/>
    <w:rsid w:val="00EF0333"/>
    <w:rsid w:val="00EF034E"/>
    <w:rsid w:val="00EF046E"/>
    <w:rsid w:val="00EF04AD"/>
    <w:rsid w:val="00EF04DE"/>
    <w:rsid w:val="00EF0556"/>
    <w:rsid w:val="00EF05C0"/>
    <w:rsid w:val="00EF066F"/>
    <w:rsid w:val="00EF0680"/>
    <w:rsid w:val="00EF0695"/>
    <w:rsid w:val="00EF0799"/>
    <w:rsid w:val="00EF07A3"/>
    <w:rsid w:val="00EF07ED"/>
    <w:rsid w:val="00EF0960"/>
    <w:rsid w:val="00EF099C"/>
    <w:rsid w:val="00EF09A6"/>
    <w:rsid w:val="00EF0A57"/>
    <w:rsid w:val="00EF0C58"/>
    <w:rsid w:val="00EF0E6B"/>
    <w:rsid w:val="00EF0EA3"/>
    <w:rsid w:val="00EF0EC1"/>
    <w:rsid w:val="00EF0EEF"/>
    <w:rsid w:val="00EF0F1C"/>
    <w:rsid w:val="00EF0F4F"/>
    <w:rsid w:val="00EF102A"/>
    <w:rsid w:val="00EF1068"/>
    <w:rsid w:val="00EF1085"/>
    <w:rsid w:val="00EF1100"/>
    <w:rsid w:val="00EF11D9"/>
    <w:rsid w:val="00EF121F"/>
    <w:rsid w:val="00EF1300"/>
    <w:rsid w:val="00EF1318"/>
    <w:rsid w:val="00EF13D4"/>
    <w:rsid w:val="00EF1471"/>
    <w:rsid w:val="00EF156E"/>
    <w:rsid w:val="00EF1582"/>
    <w:rsid w:val="00EF1761"/>
    <w:rsid w:val="00EF18DF"/>
    <w:rsid w:val="00EF195A"/>
    <w:rsid w:val="00EF1993"/>
    <w:rsid w:val="00EF1A9C"/>
    <w:rsid w:val="00EF1BAC"/>
    <w:rsid w:val="00EF1BBC"/>
    <w:rsid w:val="00EF1C3D"/>
    <w:rsid w:val="00EF1CCD"/>
    <w:rsid w:val="00EF1CDA"/>
    <w:rsid w:val="00EF1D3D"/>
    <w:rsid w:val="00EF1EB3"/>
    <w:rsid w:val="00EF1EC6"/>
    <w:rsid w:val="00EF1ECF"/>
    <w:rsid w:val="00EF1FD8"/>
    <w:rsid w:val="00EF2034"/>
    <w:rsid w:val="00EF2081"/>
    <w:rsid w:val="00EF214A"/>
    <w:rsid w:val="00EF217E"/>
    <w:rsid w:val="00EF2244"/>
    <w:rsid w:val="00EF235A"/>
    <w:rsid w:val="00EF2374"/>
    <w:rsid w:val="00EF246F"/>
    <w:rsid w:val="00EF2524"/>
    <w:rsid w:val="00EF262A"/>
    <w:rsid w:val="00EF26B5"/>
    <w:rsid w:val="00EF26F6"/>
    <w:rsid w:val="00EF26FE"/>
    <w:rsid w:val="00EF2721"/>
    <w:rsid w:val="00EF2741"/>
    <w:rsid w:val="00EF286E"/>
    <w:rsid w:val="00EF2970"/>
    <w:rsid w:val="00EF29BB"/>
    <w:rsid w:val="00EF2A17"/>
    <w:rsid w:val="00EF2AC1"/>
    <w:rsid w:val="00EF2B3C"/>
    <w:rsid w:val="00EF2BCE"/>
    <w:rsid w:val="00EF2E01"/>
    <w:rsid w:val="00EF2E11"/>
    <w:rsid w:val="00EF2ECC"/>
    <w:rsid w:val="00EF2EEA"/>
    <w:rsid w:val="00EF2F69"/>
    <w:rsid w:val="00EF303A"/>
    <w:rsid w:val="00EF3052"/>
    <w:rsid w:val="00EF30C3"/>
    <w:rsid w:val="00EF31BC"/>
    <w:rsid w:val="00EF31BE"/>
    <w:rsid w:val="00EF31E3"/>
    <w:rsid w:val="00EF324E"/>
    <w:rsid w:val="00EF32BE"/>
    <w:rsid w:val="00EF32E7"/>
    <w:rsid w:val="00EF33F5"/>
    <w:rsid w:val="00EF34A1"/>
    <w:rsid w:val="00EF3756"/>
    <w:rsid w:val="00EF380F"/>
    <w:rsid w:val="00EF3BF1"/>
    <w:rsid w:val="00EF3C6A"/>
    <w:rsid w:val="00EF3D71"/>
    <w:rsid w:val="00EF3D91"/>
    <w:rsid w:val="00EF3DDE"/>
    <w:rsid w:val="00EF3E18"/>
    <w:rsid w:val="00EF3E70"/>
    <w:rsid w:val="00EF3EC6"/>
    <w:rsid w:val="00EF3F07"/>
    <w:rsid w:val="00EF4099"/>
    <w:rsid w:val="00EF4124"/>
    <w:rsid w:val="00EF443D"/>
    <w:rsid w:val="00EF446E"/>
    <w:rsid w:val="00EF44BB"/>
    <w:rsid w:val="00EF44DF"/>
    <w:rsid w:val="00EF451A"/>
    <w:rsid w:val="00EF454F"/>
    <w:rsid w:val="00EF45A6"/>
    <w:rsid w:val="00EF45DE"/>
    <w:rsid w:val="00EF461E"/>
    <w:rsid w:val="00EF482E"/>
    <w:rsid w:val="00EF4894"/>
    <w:rsid w:val="00EF4A15"/>
    <w:rsid w:val="00EF4A8D"/>
    <w:rsid w:val="00EF4AD0"/>
    <w:rsid w:val="00EF4AE5"/>
    <w:rsid w:val="00EF4B9B"/>
    <w:rsid w:val="00EF4BAC"/>
    <w:rsid w:val="00EF4BF4"/>
    <w:rsid w:val="00EF4C78"/>
    <w:rsid w:val="00EF4D53"/>
    <w:rsid w:val="00EF4E14"/>
    <w:rsid w:val="00EF5010"/>
    <w:rsid w:val="00EF5045"/>
    <w:rsid w:val="00EF504F"/>
    <w:rsid w:val="00EF5414"/>
    <w:rsid w:val="00EF545C"/>
    <w:rsid w:val="00EF55F9"/>
    <w:rsid w:val="00EF5789"/>
    <w:rsid w:val="00EF5829"/>
    <w:rsid w:val="00EF5878"/>
    <w:rsid w:val="00EF58E8"/>
    <w:rsid w:val="00EF5A81"/>
    <w:rsid w:val="00EF5B99"/>
    <w:rsid w:val="00EF5BCC"/>
    <w:rsid w:val="00EF5CB8"/>
    <w:rsid w:val="00EF5CDE"/>
    <w:rsid w:val="00EF5CE5"/>
    <w:rsid w:val="00EF5D25"/>
    <w:rsid w:val="00EF5DA1"/>
    <w:rsid w:val="00EF5DC9"/>
    <w:rsid w:val="00EF5EE0"/>
    <w:rsid w:val="00EF5F31"/>
    <w:rsid w:val="00EF5FAC"/>
    <w:rsid w:val="00EF6117"/>
    <w:rsid w:val="00EF6292"/>
    <w:rsid w:val="00EF6315"/>
    <w:rsid w:val="00EF6332"/>
    <w:rsid w:val="00EF6376"/>
    <w:rsid w:val="00EF63DC"/>
    <w:rsid w:val="00EF640E"/>
    <w:rsid w:val="00EF6412"/>
    <w:rsid w:val="00EF6624"/>
    <w:rsid w:val="00EF66DE"/>
    <w:rsid w:val="00EF6778"/>
    <w:rsid w:val="00EF6895"/>
    <w:rsid w:val="00EF696D"/>
    <w:rsid w:val="00EF69A8"/>
    <w:rsid w:val="00EF6AAF"/>
    <w:rsid w:val="00EF6B29"/>
    <w:rsid w:val="00EF6B47"/>
    <w:rsid w:val="00EF6BBB"/>
    <w:rsid w:val="00EF6BC1"/>
    <w:rsid w:val="00EF6DAF"/>
    <w:rsid w:val="00EF6E2D"/>
    <w:rsid w:val="00EF6F07"/>
    <w:rsid w:val="00EF6F4D"/>
    <w:rsid w:val="00EF6F88"/>
    <w:rsid w:val="00EF7003"/>
    <w:rsid w:val="00EF70BF"/>
    <w:rsid w:val="00EF70C1"/>
    <w:rsid w:val="00EF7115"/>
    <w:rsid w:val="00EF7147"/>
    <w:rsid w:val="00EF7188"/>
    <w:rsid w:val="00EF72C1"/>
    <w:rsid w:val="00EF72C8"/>
    <w:rsid w:val="00EF730A"/>
    <w:rsid w:val="00EF7418"/>
    <w:rsid w:val="00EF751B"/>
    <w:rsid w:val="00EF7532"/>
    <w:rsid w:val="00EF7546"/>
    <w:rsid w:val="00EF7552"/>
    <w:rsid w:val="00EF7601"/>
    <w:rsid w:val="00EF7645"/>
    <w:rsid w:val="00EF795E"/>
    <w:rsid w:val="00EF7976"/>
    <w:rsid w:val="00EF7A5A"/>
    <w:rsid w:val="00EF7A8B"/>
    <w:rsid w:val="00EF7B54"/>
    <w:rsid w:val="00EF7B6C"/>
    <w:rsid w:val="00EF7B87"/>
    <w:rsid w:val="00EF7C82"/>
    <w:rsid w:val="00EF7CE4"/>
    <w:rsid w:val="00EF7CFA"/>
    <w:rsid w:val="00EF7F5C"/>
    <w:rsid w:val="00F0015A"/>
    <w:rsid w:val="00F00168"/>
    <w:rsid w:val="00F00189"/>
    <w:rsid w:val="00F0021D"/>
    <w:rsid w:val="00F00357"/>
    <w:rsid w:val="00F003CF"/>
    <w:rsid w:val="00F003F6"/>
    <w:rsid w:val="00F00411"/>
    <w:rsid w:val="00F00486"/>
    <w:rsid w:val="00F004FF"/>
    <w:rsid w:val="00F005C7"/>
    <w:rsid w:val="00F005DB"/>
    <w:rsid w:val="00F005F4"/>
    <w:rsid w:val="00F0067C"/>
    <w:rsid w:val="00F00682"/>
    <w:rsid w:val="00F006E1"/>
    <w:rsid w:val="00F007E7"/>
    <w:rsid w:val="00F00898"/>
    <w:rsid w:val="00F008E5"/>
    <w:rsid w:val="00F008E8"/>
    <w:rsid w:val="00F008FE"/>
    <w:rsid w:val="00F0094E"/>
    <w:rsid w:val="00F0095D"/>
    <w:rsid w:val="00F009AC"/>
    <w:rsid w:val="00F009B9"/>
    <w:rsid w:val="00F00A8E"/>
    <w:rsid w:val="00F00B45"/>
    <w:rsid w:val="00F00B6F"/>
    <w:rsid w:val="00F00C04"/>
    <w:rsid w:val="00F00C07"/>
    <w:rsid w:val="00F00CE7"/>
    <w:rsid w:val="00F00D18"/>
    <w:rsid w:val="00F00DB1"/>
    <w:rsid w:val="00F00F2B"/>
    <w:rsid w:val="00F00F91"/>
    <w:rsid w:val="00F01006"/>
    <w:rsid w:val="00F01014"/>
    <w:rsid w:val="00F01298"/>
    <w:rsid w:val="00F01364"/>
    <w:rsid w:val="00F01574"/>
    <w:rsid w:val="00F01579"/>
    <w:rsid w:val="00F01669"/>
    <w:rsid w:val="00F017B6"/>
    <w:rsid w:val="00F017F1"/>
    <w:rsid w:val="00F01849"/>
    <w:rsid w:val="00F018FF"/>
    <w:rsid w:val="00F019CC"/>
    <w:rsid w:val="00F01A42"/>
    <w:rsid w:val="00F01A53"/>
    <w:rsid w:val="00F01AD8"/>
    <w:rsid w:val="00F01B3D"/>
    <w:rsid w:val="00F01C13"/>
    <w:rsid w:val="00F01C2A"/>
    <w:rsid w:val="00F01C8B"/>
    <w:rsid w:val="00F01F84"/>
    <w:rsid w:val="00F01FA9"/>
    <w:rsid w:val="00F01FD9"/>
    <w:rsid w:val="00F01FE8"/>
    <w:rsid w:val="00F0203C"/>
    <w:rsid w:val="00F02054"/>
    <w:rsid w:val="00F020D9"/>
    <w:rsid w:val="00F02132"/>
    <w:rsid w:val="00F02159"/>
    <w:rsid w:val="00F0223B"/>
    <w:rsid w:val="00F02251"/>
    <w:rsid w:val="00F0226A"/>
    <w:rsid w:val="00F02294"/>
    <w:rsid w:val="00F02386"/>
    <w:rsid w:val="00F02573"/>
    <w:rsid w:val="00F025A4"/>
    <w:rsid w:val="00F0269B"/>
    <w:rsid w:val="00F0282A"/>
    <w:rsid w:val="00F028B4"/>
    <w:rsid w:val="00F02A77"/>
    <w:rsid w:val="00F02A82"/>
    <w:rsid w:val="00F02A84"/>
    <w:rsid w:val="00F02A9D"/>
    <w:rsid w:val="00F02CA9"/>
    <w:rsid w:val="00F02CF1"/>
    <w:rsid w:val="00F02DBA"/>
    <w:rsid w:val="00F02DC1"/>
    <w:rsid w:val="00F02E01"/>
    <w:rsid w:val="00F02E19"/>
    <w:rsid w:val="00F02E4E"/>
    <w:rsid w:val="00F0308C"/>
    <w:rsid w:val="00F03252"/>
    <w:rsid w:val="00F032FB"/>
    <w:rsid w:val="00F0332F"/>
    <w:rsid w:val="00F0344F"/>
    <w:rsid w:val="00F03518"/>
    <w:rsid w:val="00F035C0"/>
    <w:rsid w:val="00F03626"/>
    <w:rsid w:val="00F036B0"/>
    <w:rsid w:val="00F03895"/>
    <w:rsid w:val="00F038A6"/>
    <w:rsid w:val="00F038E6"/>
    <w:rsid w:val="00F03960"/>
    <w:rsid w:val="00F03964"/>
    <w:rsid w:val="00F03AAE"/>
    <w:rsid w:val="00F03ACC"/>
    <w:rsid w:val="00F03B1E"/>
    <w:rsid w:val="00F03B3C"/>
    <w:rsid w:val="00F03C18"/>
    <w:rsid w:val="00F03C38"/>
    <w:rsid w:val="00F03C9B"/>
    <w:rsid w:val="00F03D1B"/>
    <w:rsid w:val="00F03F00"/>
    <w:rsid w:val="00F0402F"/>
    <w:rsid w:val="00F040D6"/>
    <w:rsid w:val="00F04195"/>
    <w:rsid w:val="00F0426C"/>
    <w:rsid w:val="00F04613"/>
    <w:rsid w:val="00F04620"/>
    <w:rsid w:val="00F0465A"/>
    <w:rsid w:val="00F04A79"/>
    <w:rsid w:val="00F04B50"/>
    <w:rsid w:val="00F04C15"/>
    <w:rsid w:val="00F04D7B"/>
    <w:rsid w:val="00F04E38"/>
    <w:rsid w:val="00F04E41"/>
    <w:rsid w:val="00F04E9C"/>
    <w:rsid w:val="00F04EDA"/>
    <w:rsid w:val="00F04F8B"/>
    <w:rsid w:val="00F05094"/>
    <w:rsid w:val="00F050C8"/>
    <w:rsid w:val="00F05163"/>
    <w:rsid w:val="00F0524D"/>
    <w:rsid w:val="00F05330"/>
    <w:rsid w:val="00F0533B"/>
    <w:rsid w:val="00F05342"/>
    <w:rsid w:val="00F05348"/>
    <w:rsid w:val="00F053BF"/>
    <w:rsid w:val="00F0545C"/>
    <w:rsid w:val="00F0545E"/>
    <w:rsid w:val="00F05542"/>
    <w:rsid w:val="00F05544"/>
    <w:rsid w:val="00F05567"/>
    <w:rsid w:val="00F056C5"/>
    <w:rsid w:val="00F05923"/>
    <w:rsid w:val="00F05A26"/>
    <w:rsid w:val="00F05A94"/>
    <w:rsid w:val="00F05BD6"/>
    <w:rsid w:val="00F05CC6"/>
    <w:rsid w:val="00F05D9D"/>
    <w:rsid w:val="00F05DB5"/>
    <w:rsid w:val="00F05E11"/>
    <w:rsid w:val="00F05E65"/>
    <w:rsid w:val="00F05EAC"/>
    <w:rsid w:val="00F05F21"/>
    <w:rsid w:val="00F05F6B"/>
    <w:rsid w:val="00F062A6"/>
    <w:rsid w:val="00F062BF"/>
    <w:rsid w:val="00F062E2"/>
    <w:rsid w:val="00F063D2"/>
    <w:rsid w:val="00F063F0"/>
    <w:rsid w:val="00F063F1"/>
    <w:rsid w:val="00F06408"/>
    <w:rsid w:val="00F06413"/>
    <w:rsid w:val="00F0651E"/>
    <w:rsid w:val="00F06589"/>
    <w:rsid w:val="00F066C6"/>
    <w:rsid w:val="00F0673B"/>
    <w:rsid w:val="00F0673D"/>
    <w:rsid w:val="00F06752"/>
    <w:rsid w:val="00F067D4"/>
    <w:rsid w:val="00F0688D"/>
    <w:rsid w:val="00F068AF"/>
    <w:rsid w:val="00F068C2"/>
    <w:rsid w:val="00F068F7"/>
    <w:rsid w:val="00F069CB"/>
    <w:rsid w:val="00F069DA"/>
    <w:rsid w:val="00F06A80"/>
    <w:rsid w:val="00F06B58"/>
    <w:rsid w:val="00F06CBC"/>
    <w:rsid w:val="00F06CBF"/>
    <w:rsid w:val="00F06CDE"/>
    <w:rsid w:val="00F06CF8"/>
    <w:rsid w:val="00F06E1B"/>
    <w:rsid w:val="00F06E32"/>
    <w:rsid w:val="00F06EB4"/>
    <w:rsid w:val="00F06F50"/>
    <w:rsid w:val="00F0709A"/>
    <w:rsid w:val="00F070F9"/>
    <w:rsid w:val="00F07168"/>
    <w:rsid w:val="00F07185"/>
    <w:rsid w:val="00F0719F"/>
    <w:rsid w:val="00F071DD"/>
    <w:rsid w:val="00F073DF"/>
    <w:rsid w:val="00F07472"/>
    <w:rsid w:val="00F07644"/>
    <w:rsid w:val="00F076F4"/>
    <w:rsid w:val="00F077B6"/>
    <w:rsid w:val="00F077F6"/>
    <w:rsid w:val="00F078A2"/>
    <w:rsid w:val="00F078CE"/>
    <w:rsid w:val="00F0794F"/>
    <w:rsid w:val="00F07978"/>
    <w:rsid w:val="00F0798B"/>
    <w:rsid w:val="00F07A51"/>
    <w:rsid w:val="00F07C06"/>
    <w:rsid w:val="00F07C16"/>
    <w:rsid w:val="00F07E03"/>
    <w:rsid w:val="00F07F04"/>
    <w:rsid w:val="00F10071"/>
    <w:rsid w:val="00F10123"/>
    <w:rsid w:val="00F10143"/>
    <w:rsid w:val="00F1026A"/>
    <w:rsid w:val="00F1034C"/>
    <w:rsid w:val="00F1036B"/>
    <w:rsid w:val="00F10788"/>
    <w:rsid w:val="00F1078F"/>
    <w:rsid w:val="00F107F3"/>
    <w:rsid w:val="00F108EE"/>
    <w:rsid w:val="00F10941"/>
    <w:rsid w:val="00F10983"/>
    <w:rsid w:val="00F1098F"/>
    <w:rsid w:val="00F10B28"/>
    <w:rsid w:val="00F10B84"/>
    <w:rsid w:val="00F10BA7"/>
    <w:rsid w:val="00F10C37"/>
    <w:rsid w:val="00F10F68"/>
    <w:rsid w:val="00F10FE3"/>
    <w:rsid w:val="00F11024"/>
    <w:rsid w:val="00F11125"/>
    <w:rsid w:val="00F111A0"/>
    <w:rsid w:val="00F111B8"/>
    <w:rsid w:val="00F1125E"/>
    <w:rsid w:val="00F1129E"/>
    <w:rsid w:val="00F11324"/>
    <w:rsid w:val="00F1142D"/>
    <w:rsid w:val="00F11512"/>
    <w:rsid w:val="00F11547"/>
    <w:rsid w:val="00F115B6"/>
    <w:rsid w:val="00F116F7"/>
    <w:rsid w:val="00F1171C"/>
    <w:rsid w:val="00F118DF"/>
    <w:rsid w:val="00F11AAF"/>
    <w:rsid w:val="00F11B08"/>
    <w:rsid w:val="00F11B52"/>
    <w:rsid w:val="00F11BB5"/>
    <w:rsid w:val="00F11CBF"/>
    <w:rsid w:val="00F11ED9"/>
    <w:rsid w:val="00F11F5B"/>
    <w:rsid w:val="00F11FE8"/>
    <w:rsid w:val="00F1200F"/>
    <w:rsid w:val="00F12027"/>
    <w:rsid w:val="00F12241"/>
    <w:rsid w:val="00F1237E"/>
    <w:rsid w:val="00F12382"/>
    <w:rsid w:val="00F12384"/>
    <w:rsid w:val="00F123AC"/>
    <w:rsid w:val="00F125F6"/>
    <w:rsid w:val="00F12623"/>
    <w:rsid w:val="00F12650"/>
    <w:rsid w:val="00F129BA"/>
    <w:rsid w:val="00F129CF"/>
    <w:rsid w:val="00F12A0A"/>
    <w:rsid w:val="00F12A4E"/>
    <w:rsid w:val="00F12AA9"/>
    <w:rsid w:val="00F12CDD"/>
    <w:rsid w:val="00F12D60"/>
    <w:rsid w:val="00F12EAD"/>
    <w:rsid w:val="00F12EF6"/>
    <w:rsid w:val="00F12FA5"/>
    <w:rsid w:val="00F130EF"/>
    <w:rsid w:val="00F13100"/>
    <w:rsid w:val="00F13226"/>
    <w:rsid w:val="00F13270"/>
    <w:rsid w:val="00F13275"/>
    <w:rsid w:val="00F13306"/>
    <w:rsid w:val="00F13418"/>
    <w:rsid w:val="00F13471"/>
    <w:rsid w:val="00F1350C"/>
    <w:rsid w:val="00F13568"/>
    <w:rsid w:val="00F135D4"/>
    <w:rsid w:val="00F1376C"/>
    <w:rsid w:val="00F137AC"/>
    <w:rsid w:val="00F138F8"/>
    <w:rsid w:val="00F1397E"/>
    <w:rsid w:val="00F13A0D"/>
    <w:rsid w:val="00F13A54"/>
    <w:rsid w:val="00F13A85"/>
    <w:rsid w:val="00F13B96"/>
    <w:rsid w:val="00F13E67"/>
    <w:rsid w:val="00F13E79"/>
    <w:rsid w:val="00F13EA2"/>
    <w:rsid w:val="00F13F21"/>
    <w:rsid w:val="00F13F5A"/>
    <w:rsid w:val="00F1402F"/>
    <w:rsid w:val="00F14036"/>
    <w:rsid w:val="00F1412D"/>
    <w:rsid w:val="00F14143"/>
    <w:rsid w:val="00F14184"/>
    <w:rsid w:val="00F141DC"/>
    <w:rsid w:val="00F1423E"/>
    <w:rsid w:val="00F142C6"/>
    <w:rsid w:val="00F142FD"/>
    <w:rsid w:val="00F14345"/>
    <w:rsid w:val="00F14460"/>
    <w:rsid w:val="00F1458C"/>
    <w:rsid w:val="00F14644"/>
    <w:rsid w:val="00F146E4"/>
    <w:rsid w:val="00F1472E"/>
    <w:rsid w:val="00F14821"/>
    <w:rsid w:val="00F1488D"/>
    <w:rsid w:val="00F14951"/>
    <w:rsid w:val="00F149C5"/>
    <w:rsid w:val="00F14A1C"/>
    <w:rsid w:val="00F14D2A"/>
    <w:rsid w:val="00F14DB1"/>
    <w:rsid w:val="00F14DFA"/>
    <w:rsid w:val="00F14E5B"/>
    <w:rsid w:val="00F14F72"/>
    <w:rsid w:val="00F14F8A"/>
    <w:rsid w:val="00F14FB3"/>
    <w:rsid w:val="00F150CF"/>
    <w:rsid w:val="00F15161"/>
    <w:rsid w:val="00F15302"/>
    <w:rsid w:val="00F1543D"/>
    <w:rsid w:val="00F15655"/>
    <w:rsid w:val="00F15717"/>
    <w:rsid w:val="00F157BA"/>
    <w:rsid w:val="00F15832"/>
    <w:rsid w:val="00F1588A"/>
    <w:rsid w:val="00F158FB"/>
    <w:rsid w:val="00F159E6"/>
    <w:rsid w:val="00F15A1B"/>
    <w:rsid w:val="00F15A23"/>
    <w:rsid w:val="00F15A2C"/>
    <w:rsid w:val="00F15A8D"/>
    <w:rsid w:val="00F15ABD"/>
    <w:rsid w:val="00F15AC4"/>
    <w:rsid w:val="00F15C52"/>
    <w:rsid w:val="00F15CCE"/>
    <w:rsid w:val="00F15E44"/>
    <w:rsid w:val="00F16107"/>
    <w:rsid w:val="00F16195"/>
    <w:rsid w:val="00F16293"/>
    <w:rsid w:val="00F162F4"/>
    <w:rsid w:val="00F16305"/>
    <w:rsid w:val="00F16314"/>
    <w:rsid w:val="00F16374"/>
    <w:rsid w:val="00F16390"/>
    <w:rsid w:val="00F16425"/>
    <w:rsid w:val="00F1643B"/>
    <w:rsid w:val="00F16583"/>
    <w:rsid w:val="00F16634"/>
    <w:rsid w:val="00F16660"/>
    <w:rsid w:val="00F16A19"/>
    <w:rsid w:val="00F16A31"/>
    <w:rsid w:val="00F16A43"/>
    <w:rsid w:val="00F16ABD"/>
    <w:rsid w:val="00F16ACA"/>
    <w:rsid w:val="00F16BC0"/>
    <w:rsid w:val="00F16E14"/>
    <w:rsid w:val="00F16EA2"/>
    <w:rsid w:val="00F17033"/>
    <w:rsid w:val="00F1703A"/>
    <w:rsid w:val="00F17093"/>
    <w:rsid w:val="00F170CA"/>
    <w:rsid w:val="00F170FB"/>
    <w:rsid w:val="00F17147"/>
    <w:rsid w:val="00F17164"/>
    <w:rsid w:val="00F17237"/>
    <w:rsid w:val="00F17323"/>
    <w:rsid w:val="00F174A8"/>
    <w:rsid w:val="00F175A0"/>
    <w:rsid w:val="00F175C2"/>
    <w:rsid w:val="00F17676"/>
    <w:rsid w:val="00F17684"/>
    <w:rsid w:val="00F1776A"/>
    <w:rsid w:val="00F177A6"/>
    <w:rsid w:val="00F177D2"/>
    <w:rsid w:val="00F17856"/>
    <w:rsid w:val="00F17894"/>
    <w:rsid w:val="00F17A06"/>
    <w:rsid w:val="00F17A53"/>
    <w:rsid w:val="00F17B53"/>
    <w:rsid w:val="00F17C97"/>
    <w:rsid w:val="00F17D67"/>
    <w:rsid w:val="00F17DB3"/>
    <w:rsid w:val="00F17DF0"/>
    <w:rsid w:val="00F17EE7"/>
    <w:rsid w:val="00F2002A"/>
    <w:rsid w:val="00F20260"/>
    <w:rsid w:val="00F202AB"/>
    <w:rsid w:val="00F202D2"/>
    <w:rsid w:val="00F2043E"/>
    <w:rsid w:val="00F20560"/>
    <w:rsid w:val="00F20689"/>
    <w:rsid w:val="00F20707"/>
    <w:rsid w:val="00F2074D"/>
    <w:rsid w:val="00F20842"/>
    <w:rsid w:val="00F20871"/>
    <w:rsid w:val="00F20904"/>
    <w:rsid w:val="00F2091F"/>
    <w:rsid w:val="00F2092F"/>
    <w:rsid w:val="00F2094D"/>
    <w:rsid w:val="00F20ADD"/>
    <w:rsid w:val="00F20AE5"/>
    <w:rsid w:val="00F20C61"/>
    <w:rsid w:val="00F20DA3"/>
    <w:rsid w:val="00F20DD3"/>
    <w:rsid w:val="00F20E2D"/>
    <w:rsid w:val="00F20E35"/>
    <w:rsid w:val="00F20F33"/>
    <w:rsid w:val="00F20F5C"/>
    <w:rsid w:val="00F20F75"/>
    <w:rsid w:val="00F20F83"/>
    <w:rsid w:val="00F21076"/>
    <w:rsid w:val="00F2117F"/>
    <w:rsid w:val="00F211A7"/>
    <w:rsid w:val="00F21322"/>
    <w:rsid w:val="00F21356"/>
    <w:rsid w:val="00F214FD"/>
    <w:rsid w:val="00F2163A"/>
    <w:rsid w:val="00F21654"/>
    <w:rsid w:val="00F21702"/>
    <w:rsid w:val="00F217DD"/>
    <w:rsid w:val="00F217EE"/>
    <w:rsid w:val="00F2185E"/>
    <w:rsid w:val="00F21925"/>
    <w:rsid w:val="00F219B6"/>
    <w:rsid w:val="00F219D2"/>
    <w:rsid w:val="00F21A78"/>
    <w:rsid w:val="00F21C25"/>
    <w:rsid w:val="00F21CCD"/>
    <w:rsid w:val="00F21D4E"/>
    <w:rsid w:val="00F21EF4"/>
    <w:rsid w:val="00F21F1A"/>
    <w:rsid w:val="00F22013"/>
    <w:rsid w:val="00F220AC"/>
    <w:rsid w:val="00F22194"/>
    <w:rsid w:val="00F22325"/>
    <w:rsid w:val="00F227F9"/>
    <w:rsid w:val="00F22819"/>
    <w:rsid w:val="00F22827"/>
    <w:rsid w:val="00F2285B"/>
    <w:rsid w:val="00F2291B"/>
    <w:rsid w:val="00F22945"/>
    <w:rsid w:val="00F229CF"/>
    <w:rsid w:val="00F22B06"/>
    <w:rsid w:val="00F22B2A"/>
    <w:rsid w:val="00F22BD3"/>
    <w:rsid w:val="00F22C38"/>
    <w:rsid w:val="00F22D54"/>
    <w:rsid w:val="00F22E48"/>
    <w:rsid w:val="00F22E69"/>
    <w:rsid w:val="00F22E80"/>
    <w:rsid w:val="00F22E9E"/>
    <w:rsid w:val="00F22EF0"/>
    <w:rsid w:val="00F232EE"/>
    <w:rsid w:val="00F2339A"/>
    <w:rsid w:val="00F234A9"/>
    <w:rsid w:val="00F234B1"/>
    <w:rsid w:val="00F23526"/>
    <w:rsid w:val="00F2356D"/>
    <w:rsid w:val="00F23578"/>
    <w:rsid w:val="00F23632"/>
    <w:rsid w:val="00F23645"/>
    <w:rsid w:val="00F23700"/>
    <w:rsid w:val="00F2374A"/>
    <w:rsid w:val="00F23780"/>
    <w:rsid w:val="00F2390C"/>
    <w:rsid w:val="00F2399B"/>
    <w:rsid w:val="00F23B5B"/>
    <w:rsid w:val="00F23BBF"/>
    <w:rsid w:val="00F23BE8"/>
    <w:rsid w:val="00F23C20"/>
    <w:rsid w:val="00F23C57"/>
    <w:rsid w:val="00F23CC7"/>
    <w:rsid w:val="00F23DEB"/>
    <w:rsid w:val="00F23FDE"/>
    <w:rsid w:val="00F24038"/>
    <w:rsid w:val="00F24052"/>
    <w:rsid w:val="00F24061"/>
    <w:rsid w:val="00F240AA"/>
    <w:rsid w:val="00F24153"/>
    <w:rsid w:val="00F241F7"/>
    <w:rsid w:val="00F24219"/>
    <w:rsid w:val="00F2421E"/>
    <w:rsid w:val="00F2432B"/>
    <w:rsid w:val="00F24365"/>
    <w:rsid w:val="00F245A6"/>
    <w:rsid w:val="00F245C1"/>
    <w:rsid w:val="00F2461B"/>
    <w:rsid w:val="00F246E2"/>
    <w:rsid w:val="00F24896"/>
    <w:rsid w:val="00F248B2"/>
    <w:rsid w:val="00F249AE"/>
    <w:rsid w:val="00F24AC2"/>
    <w:rsid w:val="00F24B27"/>
    <w:rsid w:val="00F24BE1"/>
    <w:rsid w:val="00F24BEF"/>
    <w:rsid w:val="00F24C4A"/>
    <w:rsid w:val="00F24D8A"/>
    <w:rsid w:val="00F24D8D"/>
    <w:rsid w:val="00F24DA9"/>
    <w:rsid w:val="00F24EB9"/>
    <w:rsid w:val="00F24FCC"/>
    <w:rsid w:val="00F25269"/>
    <w:rsid w:val="00F253B1"/>
    <w:rsid w:val="00F253BC"/>
    <w:rsid w:val="00F254D2"/>
    <w:rsid w:val="00F25578"/>
    <w:rsid w:val="00F255F6"/>
    <w:rsid w:val="00F25673"/>
    <w:rsid w:val="00F25705"/>
    <w:rsid w:val="00F2579A"/>
    <w:rsid w:val="00F257A0"/>
    <w:rsid w:val="00F257E8"/>
    <w:rsid w:val="00F257FD"/>
    <w:rsid w:val="00F258C6"/>
    <w:rsid w:val="00F259FE"/>
    <w:rsid w:val="00F25BCD"/>
    <w:rsid w:val="00F25BF5"/>
    <w:rsid w:val="00F25C52"/>
    <w:rsid w:val="00F25DA3"/>
    <w:rsid w:val="00F25E01"/>
    <w:rsid w:val="00F25F01"/>
    <w:rsid w:val="00F25F9B"/>
    <w:rsid w:val="00F2606F"/>
    <w:rsid w:val="00F260A6"/>
    <w:rsid w:val="00F261BF"/>
    <w:rsid w:val="00F26259"/>
    <w:rsid w:val="00F2638C"/>
    <w:rsid w:val="00F263AA"/>
    <w:rsid w:val="00F26418"/>
    <w:rsid w:val="00F26435"/>
    <w:rsid w:val="00F264FD"/>
    <w:rsid w:val="00F265DC"/>
    <w:rsid w:val="00F26649"/>
    <w:rsid w:val="00F266C0"/>
    <w:rsid w:val="00F266D2"/>
    <w:rsid w:val="00F266F0"/>
    <w:rsid w:val="00F26798"/>
    <w:rsid w:val="00F26857"/>
    <w:rsid w:val="00F26986"/>
    <w:rsid w:val="00F269A5"/>
    <w:rsid w:val="00F269D8"/>
    <w:rsid w:val="00F26A1F"/>
    <w:rsid w:val="00F26A34"/>
    <w:rsid w:val="00F26AA2"/>
    <w:rsid w:val="00F26AE7"/>
    <w:rsid w:val="00F26B05"/>
    <w:rsid w:val="00F26B75"/>
    <w:rsid w:val="00F26C11"/>
    <w:rsid w:val="00F26D59"/>
    <w:rsid w:val="00F26D5D"/>
    <w:rsid w:val="00F26E37"/>
    <w:rsid w:val="00F26E7B"/>
    <w:rsid w:val="00F26EE6"/>
    <w:rsid w:val="00F27006"/>
    <w:rsid w:val="00F270ED"/>
    <w:rsid w:val="00F271DF"/>
    <w:rsid w:val="00F27205"/>
    <w:rsid w:val="00F27217"/>
    <w:rsid w:val="00F2725A"/>
    <w:rsid w:val="00F27261"/>
    <w:rsid w:val="00F27291"/>
    <w:rsid w:val="00F2735F"/>
    <w:rsid w:val="00F2738E"/>
    <w:rsid w:val="00F27496"/>
    <w:rsid w:val="00F2763A"/>
    <w:rsid w:val="00F27725"/>
    <w:rsid w:val="00F27766"/>
    <w:rsid w:val="00F27897"/>
    <w:rsid w:val="00F278E0"/>
    <w:rsid w:val="00F278F2"/>
    <w:rsid w:val="00F27942"/>
    <w:rsid w:val="00F279D0"/>
    <w:rsid w:val="00F279FE"/>
    <w:rsid w:val="00F27A24"/>
    <w:rsid w:val="00F27A53"/>
    <w:rsid w:val="00F27A84"/>
    <w:rsid w:val="00F27B5E"/>
    <w:rsid w:val="00F27BAB"/>
    <w:rsid w:val="00F27C7B"/>
    <w:rsid w:val="00F27CCC"/>
    <w:rsid w:val="00F27D18"/>
    <w:rsid w:val="00F27D6F"/>
    <w:rsid w:val="00F27E6C"/>
    <w:rsid w:val="00F27ECB"/>
    <w:rsid w:val="00F27F7B"/>
    <w:rsid w:val="00F3007B"/>
    <w:rsid w:val="00F30143"/>
    <w:rsid w:val="00F303D9"/>
    <w:rsid w:val="00F30426"/>
    <w:rsid w:val="00F304C8"/>
    <w:rsid w:val="00F30507"/>
    <w:rsid w:val="00F3050A"/>
    <w:rsid w:val="00F305EE"/>
    <w:rsid w:val="00F30626"/>
    <w:rsid w:val="00F30728"/>
    <w:rsid w:val="00F30730"/>
    <w:rsid w:val="00F30738"/>
    <w:rsid w:val="00F309DC"/>
    <w:rsid w:val="00F30B84"/>
    <w:rsid w:val="00F30C8F"/>
    <w:rsid w:val="00F30CBE"/>
    <w:rsid w:val="00F30D01"/>
    <w:rsid w:val="00F30D45"/>
    <w:rsid w:val="00F30D81"/>
    <w:rsid w:val="00F30DE6"/>
    <w:rsid w:val="00F30E2B"/>
    <w:rsid w:val="00F30F11"/>
    <w:rsid w:val="00F30F5C"/>
    <w:rsid w:val="00F31006"/>
    <w:rsid w:val="00F310A8"/>
    <w:rsid w:val="00F310BD"/>
    <w:rsid w:val="00F310E8"/>
    <w:rsid w:val="00F31172"/>
    <w:rsid w:val="00F311D3"/>
    <w:rsid w:val="00F3129B"/>
    <w:rsid w:val="00F312AD"/>
    <w:rsid w:val="00F31362"/>
    <w:rsid w:val="00F31376"/>
    <w:rsid w:val="00F313B8"/>
    <w:rsid w:val="00F3143F"/>
    <w:rsid w:val="00F3150A"/>
    <w:rsid w:val="00F31586"/>
    <w:rsid w:val="00F315DC"/>
    <w:rsid w:val="00F31633"/>
    <w:rsid w:val="00F3166D"/>
    <w:rsid w:val="00F316AD"/>
    <w:rsid w:val="00F31701"/>
    <w:rsid w:val="00F318C5"/>
    <w:rsid w:val="00F3190B"/>
    <w:rsid w:val="00F31964"/>
    <w:rsid w:val="00F319F8"/>
    <w:rsid w:val="00F31A2C"/>
    <w:rsid w:val="00F31A8E"/>
    <w:rsid w:val="00F31AB7"/>
    <w:rsid w:val="00F31AB8"/>
    <w:rsid w:val="00F31B69"/>
    <w:rsid w:val="00F31C31"/>
    <w:rsid w:val="00F31C32"/>
    <w:rsid w:val="00F31C39"/>
    <w:rsid w:val="00F31C71"/>
    <w:rsid w:val="00F31D09"/>
    <w:rsid w:val="00F31D17"/>
    <w:rsid w:val="00F31D21"/>
    <w:rsid w:val="00F31DFF"/>
    <w:rsid w:val="00F31EC1"/>
    <w:rsid w:val="00F31F26"/>
    <w:rsid w:val="00F31FA6"/>
    <w:rsid w:val="00F321E0"/>
    <w:rsid w:val="00F322BB"/>
    <w:rsid w:val="00F32333"/>
    <w:rsid w:val="00F323FA"/>
    <w:rsid w:val="00F32486"/>
    <w:rsid w:val="00F3257E"/>
    <w:rsid w:val="00F326EE"/>
    <w:rsid w:val="00F3270E"/>
    <w:rsid w:val="00F32821"/>
    <w:rsid w:val="00F329A4"/>
    <w:rsid w:val="00F32B67"/>
    <w:rsid w:val="00F32BB8"/>
    <w:rsid w:val="00F32C53"/>
    <w:rsid w:val="00F32C5D"/>
    <w:rsid w:val="00F32CF3"/>
    <w:rsid w:val="00F32D3A"/>
    <w:rsid w:val="00F32EAB"/>
    <w:rsid w:val="00F32ED6"/>
    <w:rsid w:val="00F32F5B"/>
    <w:rsid w:val="00F32FDB"/>
    <w:rsid w:val="00F3316A"/>
    <w:rsid w:val="00F331A0"/>
    <w:rsid w:val="00F331B3"/>
    <w:rsid w:val="00F3321D"/>
    <w:rsid w:val="00F33253"/>
    <w:rsid w:val="00F33259"/>
    <w:rsid w:val="00F333E5"/>
    <w:rsid w:val="00F333FA"/>
    <w:rsid w:val="00F33621"/>
    <w:rsid w:val="00F33640"/>
    <w:rsid w:val="00F33699"/>
    <w:rsid w:val="00F337EB"/>
    <w:rsid w:val="00F33820"/>
    <w:rsid w:val="00F33872"/>
    <w:rsid w:val="00F338CE"/>
    <w:rsid w:val="00F339A0"/>
    <w:rsid w:val="00F339E4"/>
    <w:rsid w:val="00F33A4F"/>
    <w:rsid w:val="00F33A66"/>
    <w:rsid w:val="00F33ABE"/>
    <w:rsid w:val="00F33AEB"/>
    <w:rsid w:val="00F33B17"/>
    <w:rsid w:val="00F33B36"/>
    <w:rsid w:val="00F33B4B"/>
    <w:rsid w:val="00F33C35"/>
    <w:rsid w:val="00F33CF9"/>
    <w:rsid w:val="00F33D27"/>
    <w:rsid w:val="00F33D85"/>
    <w:rsid w:val="00F33E6C"/>
    <w:rsid w:val="00F33EB0"/>
    <w:rsid w:val="00F33EB5"/>
    <w:rsid w:val="00F33F86"/>
    <w:rsid w:val="00F33F93"/>
    <w:rsid w:val="00F33FD8"/>
    <w:rsid w:val="00F34038"/>
    <w:rsid w:val="00F34126"/>
    <w:rsid w:val="00F3423E"/>
    <w:rsid w:val="00F34241"/>
    <w:rsid w:val="00F34584"/>
    <w:rsid w:val="00F345B5"/>
    <w:rsid w:val="00F345DB"/>
    <w:rsid w:val="00F3464F"/>
    <w:rsid w:val="00F3474A"/>
    <w:rsid w:val="00F3474F"/>
    <w:rsid w:val="00F347EB"/>
    <w:rsid w:val="00F34855"/>
    <w:rsid w:val="00F34A7D"/>
    <w:rsid w:val="00F34A94"/>
    <w:rsid w:val="00F34B3B"/>
    <w:rsid w:val="00F34C9F"/>
    <w:rsid w:val="00F34CB5"/>
    <w:rsid w:val="00F34CCB"/>
    <w:rsid w:val="00F34D0D"/>
    <w:rsid w:val="00F34D2A"/>
    <w:rsid w:val="00F34DA0"/>
    <w:rsid w:val="00F34E46"/>
    <w:rsid w:val="00F34E5A"/>
    <w:rsid w:val="00F34E88"/>
    <w:rsid w:val="00F34F0A"/>
    <w:rsid w:val="00F34F29"/>
    <w:rsid w:val="00F34F2B"/>
    <w:rsid w:val="00F34F79"/>
    <w:rsid w:val="00F3505D"/>
    <w:rsid w:val="00F35174"/>
    <w:rsid w:val="00F35243"/>
    <w:rsid w:val="00F35374"/>
    <w:rsid w:val="00F35414"/>
    <w:rsid w:val="00F354E0"/>
    <w:rsid w:val="00F3550F"/>
    <w:rsid w:val="00F355E0"/>
    <w:rsid w:val="00F35684"/>
    <w:rsid w:val="00F3569D"/>
    <w:rsid w:val="00F35702"/>
    <w:rsid w:val="00F357CC"/>
    <w:rsid w:val="00F357FD"/>
    <w:rsid w:val="00F35839"/>
    <w:rsid w:val="00F358B0"/>
    <w:rsid w:val="00F35938"/>
    <w:rsid w:val="00F35977"/>
    <w:rsid w:val="00F359A7"/>
    <w:rsid w:val="00F35ABB"/>
    <w:rsid w:val="00F35AF3"/>
    <w:rsid w:val="00F35B57"/>
    <w:rsid w:val="00F35BD0"/>
    <w:rsid w:val="00F35D08"/>
    <w:rsid w:val="00F35D20"/>
    <w:rsid w:val="00F35DE3"/>
    <w:rsid w:val="00F35E64"/>
    <w:rsid w:val="00F35E77"/>
    <w:rsid w:val="00F35E93"/>
    <w:rsid w:val="00F35FB6"/>
    <w:rsid w:val="00F360B7"/>
    <w:rsid w:val="00F36113"/>
    <w:rsid w:val="00F3620E"/>
    <w:rsid w:val="00F3632E"/>
    <w:rsid w:val="00F36337"/>
    <w:rsid w:val="00F365AD"/>
    <w:rsid w:val="00F365C8"/>
    <w:rsid w:val="00F3669D"/>
    <w:rsid w:val="00F366AB"/>
    <w:rsid w:val="00F3672B"/>
    <w:rsid w:val="00F367BA"/>
    <w:rsid w:val="00F367BD"/>
    <w:rsid w:val="00F3680E"/>
    <w:rsid w:val="00F369E2"/>
    <w:rsid w:val="00F369F3"/>
    <w:rsid w:val="00F36A6A"/>
    <w:rsid w:val="00F36B38"/>
    <w:rsid w:val="00F36BDA"/>
    <w:rsid w:val="00F36C2D"/>
    <w:rsid w:val="00F36C43"/>
    <w:rsid w:val="00F36D33"/>
    <w:rsid w:val="00F36DFF"/>
    <w:rsid w:val="00F37111"/>
    <w:rsid w:val="00F371F2"/>
    <w:rsid w:val="00F371F8"/>
    <w:rsid w:val="00F3723B"/>
    <w:rsid w:val="00F37286"/>
    <w:rsid w:val="00F372B1"/>
    <w:rsid w:val="00F37359"/>
    <w:rsid w:val="00F374A3"/>
    <w:rsid w:val="00F3759F"/>
    <w:rsid w:val="00F37632"/>
    <w:rsid w:val="00F37693"/>
    <w:rsid w:val="00F3776B"/>
    <w:rsid w:val="00F3777D"/>
    <w:rsid w:val="00F3788A"/>
    <w:rsid w:val="00F3795A"/>
    <w:rsid w:val="00F37B24"/>
    <w:rsid w:val="00F37B36"/>
    <w:rsid w:val="00F37BAE"/>
    <w:rsid w:val="00F37C0A"/>
    <w:rsid w:val="00F37C23"/>
    <w:rsid w:val="00F37CBC"/>
    <w:rsid w:val="00F37E40"/>
    <w:rsid w:val="00F37F6C"/>
    <w:rsid w:val="00F400CF"/>
    <w:rsid w:val="00F4011C"/>
    <w:rsid w:val="00F40125"/>
    <w:rsid w:val="00F401F6"/>
    <w:rsid w:val="00F40270"/>
    <w:rsid w:val="00F40340"/>
    <w:rsid w:val="00F40365"/>
    <w:rsid w:val="00F40387"/>
    <w:rsid w:val="00F40390"/>
    <w:rsid w:val="00F4042B"/>
    <w:rsid w:val="00F4043F"/>
    <w:rsid w:val="00F405C0"/>
    <w:rsid w:val="00F405DA"/>
    <w:rsid w:val="00F40677"/>
    <w:rsid w:val="00F40864"/>
    <w:rsid w:val="00F408B6"/>
    <w:rsid w:val="00F4098A"/>
    <w:rsid w:val="00F409C2"/>
    <w:rsid w:val="00F40A2B"/>
    <w:rsid w:val="00F40AFE"/>
    <w:rsid w:val="00F40C4A"/>
    <w:rsid w:val="00F40C6B"/>
    <w:rsid w:val="00F40C8D"/>
    <w:rsid w:val="00F40CEC"/>
    <w:rsid w:val="00F40D5B"/>
    <w:rsid w:val="00F40DE2"/>
    <w:rsid w:val="00F40E0F"/>
    <w:rsid w:val="00F40E1B"/>
    <w:rsid w:val="00F40E7A"/>
    <w:rsid w:val="00F40EBB"/>
    <w:rsid w:val="00F40EC8"/>
    <w:rsid w:val="00F40ED5"/>
    <w:rsid w:val="00F40F73"/>
    <w:rsid w:val="00F40F9C"/>
    <w:rsid w:val="00F40F9D"/>
    <w:rsid w:val="00F40FB5"/>
    <w:rsid w:val="00F410D3"/>
    <w:rsid w:val="00F41101"/>
    <w:rsid w:val="00F41124"/>
    <w:rsid w:val="00F412E7"/>
    <w:rsid w:val="00F4136C"/>
    <w:rsid w:val="00F4138E"/>
    <w:rsid w:val="00F41397"/>
    <w:rsid w:val="00F413DD"/>
    <w:rsid w:val="00F4158D"/>
    <w:rsid w:val="00F415DF"/>
    <w:rsid w:val="00F4161B"/>
    <w:rsid w:val="00F416C7"/>
    <w:rsid w:val="00F41881"/>
    <w:rsid w:val="00F41941"/>
    <w:rsid w:val="00F41A11"/>
    <w:rsid w:val="00F41B84"/>
    <w:rsid w:val="00F41BFB"/>
    <w:rsid w:val="00F41C08"/>
    <w:rsid w:val="00F41C1D"/>
    <w:rsid w:val="00F41CF8"/>
    <w:rsid w:val="00F41DAE"/>
    <w:rsid w:val="00F420A8"/>
    <w:rsid w:val="00F421B0"/>
    <w:rsid w:val="00F421D7"/>
    <w:rsid w:val="00F4223F"/>
    <w:rsid w:val="00F424AA"/>
    <w:rsid w:val="00F42566"/>
    <w:rsid w:val="00F425AC"/>
    <w:rsid w:val="00F4267A"/>
    <w:rsid w:val="00F426A0"/>
    <w:rsid w:val="00F42734"/>
    <w:rsid w:val="00F4279B"/>
    <w:rsid w:val="00F427C8"/>
    <w:rsid w:val="00F42840"/>
    <w:rsid w:val="00F429FF"/>
    <w:rsid w:val="00F42B17"/>
    <w:rsid w:val="00F42BBF"/>
    <w:rsid w:val="00F42BD0"/>
    <w:rsid w:val="00F42CDB"/>
    <w:rsid w:val="00F42D15"/>
    <w:rsid w:val="00F42D4F"/>
    <w:rsid w:val="00F42EA6"/>
    <w:rsid w:val="00F42EEC"/>
    <w:rsid w:val="00F42F4B"/>
    <w:rsid w:val="00F43014"/>
    <w:rsid w:val="00F43023"/>
    <w:rsid w:val="00F430D3"/>
    <w:rsid w:val="00F430F8"/>
    <w:rsid w:val="00F432E4"/>
    <w:rsid w:val="00F4331A"/>
    <w:rsid w:val="00F4332D"/>
    <w:rsid w:val="00F4336E"/>
    <w:rsid w:val="00F433C6"/>
    <w:rsid w:val="00F4352E"/>
    <w:rsid w:val="00F43563"/>
    <w:rsid w:val="00F435AB"/>
    <w:rsid w:val="00F43662"/>
    <w:rsid w:val="00F437BA"/>
    <w:rsid w:val="00F43AC8"/>
    <w:rsid w:val="00F43C1A"/>
    <w:rsid w:val="00F43C2D"/>
    <w:rsid w:val="00F43DB0"/>
    <w:rsid w:val="00F43E28"/>
    <w:rsid w:val="00F43E3B"/>
    <w:rsid w:val="00F43F54"/>
    <w:rsid w:val="00F43F73"/>
    <w:rsid w:val="00F44035"/>
    <w:rsid w:val="00F4407C"/>
    <w:rsid w:val="00F44129"/>
    <w:rsid w:val="00F441DE"/>
    <w:rsid w:val="00F4433A"/>
    <w:rsid w:val="00F4435C"/>
    <w:rsid w:val="00F44452"/>
    <w:rsid w:val="00F444E1"/>
    <w:rsid w:val="00F44666"/>
    <w:rsid w:val="00F446D1"/>
    <w:rsid w:val="00F447F1"/>
    <w:rsid w:val="00F44809"/>
    <w:rsid w:val="00F4489C"/>
    <w:rsid w:val="00F4498E"/>
    <w:rsid w:val="00F449D0"/>
    <w:rsid w:val="00F44A92"/>
    <w:rsid w:val="00F44C6A"/>
    <w:rsid w:val="00F44D7B"/>
    <w:rsid w:val="00F44DD6"/>
    <w:rsid w:val="00F44E7B"/>
    <w:rsid w:val="00F44F44"/>
    <w:rsid w:val="00F45054"/>
    <w:rsid w:val="00F45093"/>
    <w:rsid w:val="00F450A8"/>
    <w:rsid w:val="00F451FE"/>
    <w:rsid w:val="00F452A0"/>
    <w:rsid w:val="00F452F9"/>
    <w:rsid w:val="00F45301"/>
    <w:rsid w:val="00F4532B"/>
    <w:rsid w:val="00F4535E"/>
    <w:rsid w:val="00F4550C"/>
    <w:rsid w:val="00F4551D"/>
    <w:rsid w:val="00F45538"/>
    <w:rsid w:val="00F455E1"/>
    <w:rsid w:val="00F45668"/>
    <w:rsid w:val="00F457C6"/>
    <w:rsid w:val="00F45817"/>
    <w:rsid w:val="00F45897"/>
    <w:rsid w:val="00F45900"/>
    <w:rsid w:val="00F45A9F"/>
    <w:rsid w:val="00F45B40"/>
    <w:rsid w:val="00F45B73"/>
    <w:rsid w:val="00F45B7F"/>
    <w:rsid w:val="00F45D84"/>
    <w:rsid w:val="00F45DEC"/>
    <w:rsid w:val="00F45E10"/>
    <w:rsid w:val="00F45E14"/>
    <w:rsid w:val="00F45E3F"/>
    <w:rsid w:val="00F45E47"/>
    <w:rsid w:val="00F4600A"/>
    <w:rsid w:val="00F460B9"/>
    <w:rsid w:val="00F460D7"/>
    <w:rsid w:val="00F46149"/>
    <w:rsid w:val="00F4614E"/>
    <w:rsid w:val="00F46190"/>
    <w:rsid w:val="00F461EE"/>
    <w:rsid w:val="00F4639C"/>
    <w:rsid w:val="00F4648C"/>
    <w:rsid w:val="00F46889"/>
    <w:rsid w:val="00F468CB"/>
    <w:rsid w:val="00F469D5"/>
    <w:rsid w:val="00F469DE"/>
    <w:rsid w:val="00F469F0"/>
    <w:rsid w:val="00F46B9D"/>
    <w:rsid w:val="00F46D9E"/>
    <w:rsid w:val="00F46DD7"/>
    <w:rsid w:val="00F46F23"/>
    <w:rsid w:val="00F46FD0"/>
    <w:rsid w:val="00F46FEC"/>
    <w:rsid w:val="00F4700E"/>
    <w:rsid w:val="00F4709F"/>
    <w:rsid w:val="00F470A9"/>
    <w:rsid w:val="00F470B4"/>
    <w:rsid w:val="00F47104"/>
    <w:rsid w:val="00F471A3"/>
    <w:rsid w:val="00F4749F"/>
    <w:rsid w:val="00F474A2"/>
    <w:rsid w:val="00F4763B"/>
    <w:rsid w:val="00F476E5"/>
    <w:rsid w:val="00F477BB"/>
    <w:rsid w:val="00F477CD"/>
    <w:rsid w:val="00F47826"/>
    <w:rsid w:val="00F47999"/>
    <w:rsid w:val="00F479BA"/>
    <w:rsid w:val="00F47A50"/>
    <w:rsid w:val="00F47AC2"/>
    <w:rsid w:val="00F47B23"/>
    <w:rsid w:val="00F47C27"/>
    <w:rsid w:val="00F47C4F"/>
    <w:rsid w:val="00F47C5C"/>
    <w:rsid w:val="00F47D2E"/>
    <w:rsid w:val="00F47E86"/>
    <w:rsid w:val="00F47F5D"/>
    <w:rsid w:val="00F47FE9"/>
    <w:rsid w:val="00F500D3"/>
    <w:rsid w:val="00F501DD"/>
    <w:rsid w:val="00F501F4"/>
    <w:rsid w:val="00F5030B"/>
    <w:rsid w:val="00F50355"/>
    <w:rsid w:val="00F505B6"/>
    <w:rsid w:val="00F50691"/>
    <w:rsid w:val="00F506A9"/>
    <w:rsid w:val="00F506CE"/>
    <w:rsid w:val="00F50754"/>
    <w:rsid w:val="00F5079C"/>
    <w:rsid w:val="00F507CC"/>
    <w:rsid w:val="00F508D0"/>
    <w:rsid w:val="00F50942"/>
    <w:rsid w:val="00F5099E"/>
    <w:rsid w:val="00F509DA"/>
    <w:rsid w:val="00F50AFD"/>
    <w:rsid w:val="00F50DA5"/>
    <w:rsid w:val="00F50E0D"/>
    <w:rsid w:val="00F50E7F"/>
    <w:rsid w:val="00F50EA8"/>
    <w:rsid w:val="00F50F13"/>
    <w:rsid w:val="00F50F17"/>
    <w:rsid w:val="00F50F7D"/>
    <w:rsid w:val="00F50FE8"/>
    <w:rsid w:val="00F51026"/>
    <w:rsid w:val="00F510BA"/>
    <w:rsid w:val="00F5118A"/>
    <w:rsid w:val="00F511EB"/>
    <w:rsid w:val="00F511F6"/>
    <w:rsid w:val="00F511FF"/>
    <w:rsid w:val="00F5122B"/>
    <w:rsid w:val="00F512E1"/>
    <w:rsid w:val="00F51310"/>
    <w:rsid w:val="00F5133B"/>
    <w:rsid w:val="00F514DF"/>
    <w:rsid w:val="00F5159D"/>
    <w:rsid w:val="00F515B8"/>
    <w:rsid w:val="00F515CC"/>
    <w:rsid w:val="00F516F2"/>
    <w:rsid w:val="00F51794"/>
    <w:rsid w:val="00F51889"/>
    <w:rsid w:val="00F518EA"/>
    <w:rsid w:val="00F51B0C"/>
    <w:rsid w:val="00F51B44"/>
    <w:rsid w:val="00F51CAA"/>
    <w:rsid w:val="00F51CB3"/>
    <w:rsid w:val="00F51D12"/>
    <w:rsid w:val="00F51E60"/>
    <w:rsid w:val="00F51E9A"/>
    <w:rsid w:val="00F51EAE"/>
    <w:rsid w:val="00F520E7"/>
    <w:rsid w:val="00F52131"/>
    <w:rsid w:val="00F522A0"/>
    <w:rsid w:val="00F522EB"/>
    <w:rsid w:val="00F5233D"/>
    <w:rsid w:val="00F5236C"/>
    <w:rsid w:val="00F52450"/>
    <w:rsid w:val="00F525F6"/>
    <w:rsid w:val="00F52623"/>
    <w:rsid w:val="00F52763"/>
    <w:rsid w:val="00F527E3"/>
    <w:rsid w:val="00F52817"/>
    <w:rsid w:val="00F52939"/>
    <w:rsid w:val="00F52963"/>
    <w:rsid w:val="00F5296E"/>
    <w:rsid w:val="00F52990"/>
    <w:rsid w:val="00F5299C"/>
    <w:rsid w:val="00F529CD"/>
    <w:rsid w:val="00F52A59"/>
    <w:rsid w:val="00F52BF6"/>
    <w:rsid w:val="00F52C69"/>
    <w:rsid w:val="00F52D7B"/>
    <w:rsid w:val="00F52EC6"/>
    <w:rsid w:val="00F52F3A"/>
    <w:rsid w:val="00F52FD6"/>
    <w:rsid w:val="00F53117"/>
    <w:rsid w:val="00F5311D"/>
    <w:rsid w:val="00F53135"/>
    <w:rsid w:val="00F53197"/>
    <w:rsid w:val="00F531DC"/>
    <w:rsid w:val="00F5334B"/>
    <w:rsid w:val="00F533D7"/>
    <w:rsid w:val="00F535EA"/>
    <w:rsid w:val="00F536D4"/>
    <w:rsid w:val="00F5381D"/>
    <w:rsid w:val="00F538CC"/>
    <w:rsid w:val="00F53A3B"/>
    <w:rsid w:val="00F53B56"/>
    <w:rsid w:val="00F53B7A"/>
    <w:rsid w:val="00F53C12"/>
    <w:rsid w:val="00F53C27"/>
    <w:rsid w:val="00F53CD8"/>
    <w:rsid w:val="00F53CF2"/>
    <w:rsid w:val="00F53F64"/>
    <w:rsid w:val="00F5403B"/>
    <w:rsid w:val="00F540D0"/>
    <w:rsid w:val="00F540DB"/>
    <w:rsid w:val="00F540EE"/>
    <w:rsid w:val="00F540F4"/>
    <w:rsid w:val="00F54108"/>
    <w:rsid w:val="00F542E7"/>
    <w:rsid w:val="00F54355"/>
    <w:rsid w:val="00F54371"/>
    <w:rsid w:val="00F5438F"/>
    <w:rsid w:val="00F543EA"/>
    <w:rsid w:val="00F5454E"/>
    <w:rsid w:val="00F546A7"/>
    <w:rsid w:val="00F546D7"/>
    <w:rsid w:val="00F549A8"/>
    <w:rsid w:val="00F54AEF"/>
    <w:rsid w:val="00F54CE1"/>
    <w:rsid w:val="00F54D20"/>
    <w:rsid w:val="00F54F02"/>
    <w:rsid w:val="00F54FAF"/>
    <w:rsid w:val="00F55044"/>
    <w:rsid w:val="00F55069"/>
    <w:rsid w:val="00F5506B"/>
    <w:rsid w:val="00F55093"/>
    <w:rsid w:val="00F551E3"/>
    <w:rsid w:val="00F551F8"/>
    <w:rsid w:val="00F551FB"/>
    <w:rsid w:val="00F552EA"/>
    <w:rsid w:val="00F5538F"/>
    <w:rsid w:val="00F553C5"/>
    <w:rsid w:val="00F5563B"/>
    <w:rsid w:val="00F556CD"/>
    <w:rsid w:val="00F55766"/>
    <w:rsid w:val="00F55899"/>
    <w:rsid w:val="00F558A2"/>
    <w:rsid w:val="00F5593F"/>
    <w:rsid w:val="00F559CC"/>
    <w:rsid w:val="00F55A37"/>
    <w:rsid w:val="00F55A4A"/>
    <w:rsid w:val="00F55ACE"/>
    <w:rsid w:val="00F55AE9"/>
    <w:rsid w:val="00F55B70"/>
    <w:rsid w:val="00F55B88"/>
    <w:rsid w:val="00F55BBA"/>
    <w:rsid w:val="00F55CE6"/>
    <w:rsid w:val="00F55D12"/>
    <w:rsid w:val="00F55D56"/>
    <w:rsid w:val="00F55D5D"/>
    <w:rsid w:val="00F55D85"/>
    <w:rsid w:val="00F55EDF"/>
    <w:rsid w:val="00F56110"/>
    <w:rsid w:val="00F5615F"/>
    <w:rsid w:val="00F56249"/>
    <w:rsid w:val="00F562E4"/>
    <w:rsid w:val="00F56338"/>
    <w:rsid w:val="00F563EC"/>
    <w:rsid w:val="00F56443"/>
    <w:rsid w:val="00F56461"/>
    <w:rsid w:val="00F56491"/>
    <w:rsid w:val="00F5655A"/>
    <w:rsid w:val="00F56574"/>
    <w:rsid w:val="00F56688"/>
    <w:rsid w:val="00F56691"/>
    <w:rsid w:val="00F567E8"/>
    <w:rsid w:val="00F567FD"/>
    <w:rsid w:val="00F5685C"/>
    <w:rsid w:val="00F5685D"/>
    <w:rsid w:val="00F5687E"/>
    <w:rsid w:val="00F568C5"/>
    <w:rsid w:val="00F568D0"/>
    <w:rsid w:val="00F56A59"/>
    <w:rsid w:val="00F56A5B"/>
    <w:rsid w:val="00F56A5F"/>
    <w:rsid w:val="00F56AA3"/>
    <w:rsid w:val="00F56BB8"/>
    <w:rsid w:val="00F56BDB"/>
    <w:rsid w:val="00F56DD5"/>
    <w:rsid w:val="00F56DDA"/>
    <w:rsid w:val="00F56DF7"/>
    <w:rsid w:val="00F56F39"/>
    <w:rsid w:val="00F56F88"/>
    <w:rsid w:val="00F56FFF"/>
    <w:rsid w:val="00F57118"/>
    <w:rsid w:val="00F57192"/>
    <w:rsid w:val="00F57304"/>
    <w:rsid w:val="00F57379"/>
    <w:rsid w:val="00F5745A"/>
    <w:rsid w:val="00F576CB"/>
    <w:rsid w:val="00F576E3"/>
    <w:rsid w:val="00F57722"/>
    <w:rsid w:val="00F57859"/>
    <w:rsid w:val="00F57961"/>
    <w:rsid w:val="00F57CDE"/>
    <w:rsid w:val="00F57E42"/>
    <w:rsid w:val="00F57E98"/>
    <w:rsid w:val="00F57EF4"/>
    <w:rsid w:val="00F57F81"/>
    <w:rsid w:val="00F57F8A"/>
    <w:rsid w:val="00F60023"/>
    <w:rsid w:val="00F600FA"/>
    <w:rsid w:val="00F60109"/>
    <w:rsid w:val="00F60208"/>
    <w:rsid w:val="00F60233"/>
    <w:rsid w:val="00F6028E"/>
    <w:rsid w:val="00F60313"/>
    <w:rsid w:val="00F60353"/>
    <w:rsid w:val="00F603E8"/>
    <w:rsid w:val="00F60407"/>
    <w:rsid w:val="00F604DE"/>
    <w:rsid w:val="00F6050F"/>
    <w:rsid w:val="00F605CF"/>
    <w:rsid w:val="00F60753"/>
    <w:rsid w:val="00F607A7"/>
    <w:rsid w:val="00F607EF"/>
    <w:rsid w:val="00F60922"/>
    <w:rsid w:val="00F60971"/>
    <w:rsid w:val="00F60A3B"/>
    <w:rsid w:val="00F60B85"/>
    <w:rsid w:val="00F60C28"/>
    <w:rsid w:val="00F60C5D"/>
    <w:rsid w:val="00F60C5F"/>
    <w:rsid w:val="00F60CF6"/>
    <w:rsid w:val="00F60DB8"/>
    <w:rsid w:val="00F60E13"/>
    <w:rsid w:val="00F60EE1"/>
    <w:rsid w:val="00F60F49"/>
    <w:rsid w:val="00F60F91"/>
    <w:rsid w:val="00F60FE6"/>
    <w:rsid w:val="00F60FF3"/>
    <w:rsid w:val="00F61035"/>
    <w:rsid w:val="00F61085"/>
    <w:rsid w:val="00F610C7"/>
    <w:rsid w:val="00F610D2"/>
    <w:rsid w:val="00F61144"/>
    <w:rsid w:val="00F611EE"/>
    <w:rsid w:val="00F61241"/>
    <w:rsid w:val="00F612DB"/>
    <w:rsid w:val="00F6132F"/>
    <w:rsid w:val="00F613CD"/>
    <w:rsid w:val="00F6147E"/>
    <w:rsid w:val="00F61702"/>
    <w:rsid w:val="00F618B1"/>
    <w:rsid w:val="00F6197C"/>
    <w:rsid w:val="00F619E4"/>
    <w:rsid w:val="00F61A9C"/>
    <w:rsid w:val="00F61AA1"/>
    <w:rsid w:val="00F61AA4"/>
    <w:rsid w:val="00F61BF9"/>
    <w:rsid w:val="00F61C04"/>
    <w:rsid w:val="00F61C90"/>
    <w:rsid w:val="00F61D3C"/>
    <w:rsid w:val="00F61E13"/>
    <w:rsid w:val="00F61EAB"/>
    <w:rsid w:val="00F61F1B"/>
    <w:rsid w:val="00F61F9B"/>
    <w:rsid w:val="00F61FDC"/>
    <w:rsid w:val="00F6203D"/>
    <w:rsid w:val="00F6204E"/>
    <w:rsid w:val="00F620A4"/>
    <w:rsid w:val="00F620AD"/>
    <w:rsid w:val="00F620D8"/>
    <w:rsid w:val="00F62205"/>
    <w:rsid w:val="00F62277"/>
    <w:rsid w:val="00F62345"/>
    <w:rsid w:val="00F62353"/>
    <w:rsid w:val="00F623F1"/>
    <w:rsid w:val="00F624A5"/>
    <w:rsid w:val="00F624AC"/>
    <w:rsid w:val="00F624B5"/>
    <w:rsid w:val="00F62510"/>
    <w:rsid w:val="00F6274B"/>
    <w:rsid w:val="00F627B0"/>
    <w:rsid w:val="00F6290C"/>
    <w:rsid w:val="00F629DF"/>
    <w:rsid w:val="00F62A6F"/>
    <w:rsid w:val="00F62AC9"/>
    <w:rsid w:val="00F62B4D"/>
    <w:rsid w:val="00F62BA0"/>
    <w:rsid w:val="00F62BC5"/>
    <w:rsid w:val="00F62C1B"/>
    <w:rsid w:val="00F62C9B"/>
    <w:rsid w:val="00F62CCC"/>
    <w:rsid w:val="00F62CD5"/>
    <w:rsid w:val="00F62EBB"/>
    <w:rsid w:val="00F62EF0"/>
    <w:rsid w:val="00F62F6B"/>
    <w:rsid w:val="00F62FCC"/>
    <w:rsid w:val="00F62FD9"/>
    <w:rsid w:val="00F63030"/>
    <w:rsid w:val="00F630F4"/>
    <w:rsid w:val="00F632BD"/>
    <w:rsid w:val="00F632C8"/>
    <w:rsid w:val="00F632E7"/>
    <w:rsid w:val="00F63463"/>
    <w:rsid w:val="00F635FA"/>
    <w:rsid w:val="00F63807"/>
    <w:rsid w:val="00F63969"/>
    <w:rsid w:val="00F63A20"/>
    <w:rsid w:val="00F63AAA"/>
    <w:rsid w:val="00F63B3D"/>
    <w:rsid w:val="00F63BEE"/>
    <w:rsid w:val="00F63C92"/>
    <w:rsid w:val="00F63D11"/>
    <w:rsid w:val="00F63DF5"/>
    <w:rsid w:val="00F63EEE"/>
    <w:rsid w:val="00F63FC9"/>
    <w:rsid w:val="00F64065"/>
    <w:rsid w:val="00F6408B"/>
    <w:rsid w:val="00F64092"/>
    <w:rsid w:val="00F640DE"/>
    <w:rsid w:val="00F64293"/>
    <w:rsid w:val="00F64307"/>
    <w:rsid w:val="00F6435D"/>
    <w:rsid w:val="00F643CF"/>
    <w:rsid w:val="00F6452F"/>
    <w:rsid w:val="00F64613"/>
    <w:rsid w:val="00F64759"/>
    <w:rsid w:val="00F648B9"/>
    <w:rsid w:val="00F64AA1"/>
    <w:rsid w:val="00F64BC5"/>
    <w:rsid w:val="00F64BE1"/>
    <w:rsid w:val="00F64C99"/>
    <w:rsid w:val="00F64D50"/>
    <w:rsid w:val="00F64DDA"/>
    <w:rsid w:val="00F64E6C"/>
    <w:rsid w:val="00F64EB9"/>
    <w:rsid w:val="00F65033"/>
    <w:rsid w:val="00F650AB"/>
    <w:rsid w:val="00F650B4"/>
    <w:rsid w:val="00F65147"/>
    <w:rsid w:val="00F65202"/>
    <w:rsid w:val="00F65292"/>
    <w:rsid w:val="00F65482"/>
    <w:rsid w:val="00F65566"/>
    <w:rsid w:val="00F65699"/>
    <w:rsid w:val="00F65702"/>
    <w:rsid w:val="00F657FC"/>
    <w:rsid w:val="00F6582D"/>
    <w:rsid w:val="00F65868"/>
    <w:rsid w:val="00F658DB"/>
    <w:rsid w:val="00F65C62"/>
    <w:rsid w:val="00F65D8A"/>
    <w:rsid w:val="00F65DFD"/>
    <w:rsid w:val="00F65E7D"/>
    <w:rsid w:val="00F65EC9"/>
    <w:rsid w:val="00F65F75"/>
    <w:rsid w:val="00F65F79"/>
    <w:rsid w:val="00F65FE8"/>
    <w:rsid w:val="00F660C3"/>
    <w:rsid w:val="00F66122"/>
    <w:rsid w:val="00F66128"/>
    <w:rsid w:val="00F66163"/>
    <w:rsid w:val="00F662B0"/>
    <w:rsid w:val="00F66304"/>
    <w:rsid w:val="00F663C2"/>
    <w:rsid w:val="00F66577"/>
    <w:rsid w:val="00F665A5"/>
    <w:rsid w:val="00F665D3"/>
    <w:rsid w:val="00F666D0"/>
    <w:rsid w:val="00F667B3"/>
    <w:rsid w:val="00F6689A"/>
    <w:rsid w:val="00F668A4"/>
    <w:rsid w:val="00F668DD"/>
    <w:rsid w:val="00F668EF"/>
    <w:rsid w:val="00F66975"/>
    <w:rsid w:val="00F66B05"/>
    <w:rsid w:val="00F66C47"/>
    <w:rsid w:val="00F66D2C"/>
    <w:rsid w:val="00F66D82"/>
    <w:rsid w:val="00F66DA5"/>
    <w:rsid w:val="00F66DD9"/>
    <w:rsid w:val="00F66E95"/>
    <w:rsid w:val="00F66F32"/>
    <w:rsid w:val="00F66FCC"/>
    <w:rsid w:val="00F67040"/>
    <w:rsid w:val="00F671B5"/>
    <w:rsid w:val="00F6728E"/>
    <w:rsid w:val="00F672AF"/>
    <w:rsid w:val="00F67302"/>
    <w:rsid w:val="00F67323"/>
    <w:rsid w:val="00F673C5"/>
    <w:rsid w:val="00F67402"/>
    <w:rsid w:val="00F6748E"/>
    <w:rsid w:val="00F67490"/>
    <w:rsid w:val="00F67506"/>
    <w:rsid w:val="00F67550"/>
    <w:rsid w:val="00F6773F"/>
    <w:rsid w:val="00F677A0"/>
    <w:rsid w:val="00F6788B"/>
    <w:rsid w:val="00F67A5C"/>
    <w:rsid w:val="00F67B10"/>
    <w:rsid w:val="00F67BC2"/>
    <w:rsid w:val="00F67BE9"/>
    <w:rsid w:val="00F67BFF"/>
    <w:rsid w:val="00F67C2A"/>
    <w:rsid w:val="00F67C63"/>
    <w:rsid w:val="00F67DEB"/>
    <w:rsid w:val="00F67F18"/>
    <w:rsid w:val="00F67FCC"/>
    <w:rsid w:val="00F701A9"/>
    <w:rsid w:val="00F70259"/>
    <w:rsid w:val="00F70371"/>
    <w:rsid w:val="00F704C6"/>
    <w:rsid w:val="00F704EB"/>
    <w:rsid w:val="00F70621"/>
    <w:rsid w:val="00F706FE"/>
    <w:rsid w:val="00F7070D"/>
    <w:rsid w:val="00F707D3"/>
    <w:rsid w:val="00F7083F"/>
    <w:rsid w:val="00F708F8"/>
    <w:rsid w:val="00F70A10"/>
    <w:rsid w:val="00F70A4F"/>
    <w:rsid w:val="00F70A7D"/>
    <w:rsid w:val="00F70AA3"/>
    <w:rsid w:val="00F70B08"/>
    <w:rsid w:val="00F70B9F"/>
    <w:rsid w:val="00F70BCD"/>
    <w:rsid w:val="00F70BE2"/>
    <w:rsid w:val="00F70BF1"/>
    <w:rsid w:val="00F70C7D"/>
    <w:rsid w:val="00F70C81"/>
    <w:rsid w:val="00F70C91"/>
    <w:rsid w:val="00F70EEE"/>
    <w:rsid w:val="00F7104C"/>
    <w:rsid w:val="00F7107F"/>
    <w:rsid w:val="00F71094"/>
    <w:rsid w:val="00F71188"/>
    <w:rsid w:val="00F71236"/>
    <w:rsid w:val="00F71322"/>
    <w:rsid w:val="00F7136F"/>
    <w:rsid w:val="00F7141E"/>
    <w:rsid w:val="00F7169A"/>
    <w:rsid w:val="00F71800"/>
    <w:rsid w:val="00F718EC"/>
    <w:rsid w:val="00F71938"/>
    <w:rsid w:val="00F719AA"/>
    <w:rsid w:val="00F719E0"/>
    <w:rsid w:val="00F71B05"/>
    <w:rsid w:val="00F71BB3"/>
    <w:rsid w:val="00F71D71"/>
    <w:rsid w:val="00F71DF2"/>
    <w:rsid w:val="00F71ED9"/>
    <w:rsid w:val="00F72048"/>
    <w:rsid w:val="00F7208D"/>
    <w:rsid w:val="00F72165"/>
    <w:rsid w:val="00F7217C"/>
    <w:rsid w:val="00F721B2"/>
    <w:rsid w:val="00F72211"/>
    <w:rsid w:val="00F722E9"/>
    <w:rsid w:val="00F7231A"/>
    <w:rsid w:val="00F72346"/>
    <w:rsid w:val="00F72366"/>
    <w:rsid w:val="00F72368"/>
    <w:rsid w:val="00F72417"/>
    <w:rsid w:val="00F72545"/>
    <w:rsid w:val="00F7266D"/>
    <w:rsid w:val="00F7285F"/>
    <w:rsid w:val="00F72896"/>
    <w:rsid w:val="00F7291F"/>
    <w:rsid w:val="00F729BE"/>
    <w:rsid w:val="00F72A22"/>
    <w:rsid w:val="00F72AB9"/>
    <w:rsid w:val="00F72BC9"/>
    <w:rsid w:val="00F72C2E"/>
    <w:rsid w:val="00F72C7C"/>
    <w:rsid w:val="00F72D21"/>
    <w:rsid w:val="00F72D77"/>
    <w:rsid w:val="00F72DAD"/>
    <w:rsid w:val="00F72E69"/>
    <w:rsid w:val="00F72EBC"/>
    <w:rsid w:val="00F72F73"/>
    <w:rsid w:val="00F73060"/>
    <w:rsid w:val="00F730CB"/>
    <w:rsid w:val="00F730FE"/>
    <w:rsid w:val="00F73190"/>
    <w:rsid w:val="00F731D4"/>
    <w:rsid w:val="00F73204"/>
    <w:rsid w:val="00F73250"/>
    <w:rsid w:val="00F732BB"/>
    <w:rsid w:val="00F733B5"/>
    <w:rsid w:val="00F733E3"/>
    <w:rsid w:val="00F7341A"/>
    <w:rsid w:val="00F7373E"/>
    <w:rsid w:val="00F737C1"/>
    <w:rsid w:val="00F737DA"/>
    <w:rsid w:val="00F73852"/>
    <w:rsid w:val="00F7386A"/>
    <w:rsid w:val="00F739C2"/>
    <w:rsid w:val="00F73A23"/>
    <w:rsid w:val="00F73A82"/>
    <w:rsid w:val="00F73B27"/>
    <w:rsid w:val="00F73B5F"/>
    <w:rsid w:val="00F73B62"/>
    <w:rsid w:val="00F73BD1"/>
    <w:rsid w:val="00F73C22"/>
    <w:rsid w:val="00F73DC4"/>
    <w:rsid w:val="00F73F35"/>
    <w:rsid w:val="00F73F8C"/>
    <w:rsid w:val="00F73FA4"/>
    <w:rsid w:val="00F73FD2"/>
    <w:rsid w:val="00F74032"/>
    <w:rsid w:val="00F74084"/>
    <w:rsid w:val="00F741AE"/>
    <w:rsid w:val="00F7436E"/>
    <w:rsid w:val="00F743DA"/>
    <w:rsid w:val="00F744C2"/>
    <w:rsid w:val="00F74530"/>
    <w:rsid w:val="00F74614"/>
    <w:rsid w:val="00F7463B"/>
    <w:rsid w:val="00F746F2"/>
    <w:rsid w:val="00F74806"/>
    <w:rsid w:val="00F7481F"/>
    <w:rsid w:val="00F74852"/>
    <w:rsid w:val="00F7491A"/>
    <w:rsid w:val="00F74969"/>
    <w:rsid w:val="00F74A36"/>
    <w:rsid w:val="00F74AD6"/>
    <w:rsid w:val="00F74B48"/>
    <w:rsid w:val="00F74D6A"/>
    <w:rsid w:val="00F74DF8"/>
    <w:rsid w:val="00F74EBB"/>
    <w:rsid w:val="00F74FBB"/>
    <w:rsid w:val="00F74FE2"/>
    <w:rsid w:val="00F75118"/>
    <w:rsid w:val="00F75182"/>
    <w:rsid w:val="00F751BF"/>
    <w:rsid w:val="00F75264"/>
    <w:rsid w:val="00F75272"/>
    <w:rsid w:val="00F75292"/>
    <w:rsid w:val="00F752C6"/>
    <w:rsid w:val="00F75422"/>
    <w:rsid w:val="00F754F4"/>
    <w:rsid w:val="00F755A3"/>
    <w:rsid w:val="00F755B7"/>
    <w:rsid w:val="00F75658"/>
    <w:rsid w:val="00F7568D"/>
    <w:rsid w:val="00F7575A"/>
    <w:rsid w:val="00F757A2"/>
    <w:rsid w:val="00F758B0"/>
    <w:rsid w:val="00F759D3"/>
    <w:rsid w:val="00F75A53"/>
    <w:rsid w:val="00F75ABE"/>
    <w:rsid w:val="00F75BD7"/>
    <w:rsid w:val="00F75BF8"/>
    <w:rsid w:val="00F75C28"/>
    <w:rsid w:val="00F75C4C"/>
    <w:rsid w:val="00F75D93"/>
    <w:rsid w:val="00F75ECE"/>
    <w:rsid w:val="00F76172"/>
    <w:rsid w:val="00F7620E"/>
    <w:rsid w:val="00F76224"/>
    <w:rsid w:val="00F76288"/>
    <w:rsid w:val="00F76334"/>
    <w:rsid w:val="00F764C3"/>
    <w:rsid w:val="00F7653A"/>
    <w:rsid w:val="00F765FF"/>
    <w:rsid w:val="00F7663C"/>
    <w:rsid w:val="00F76641"/>
    <w:rsid w:val="00F7670C"/>
    <w:rsid w:val="00F769A7"/>
    <w:rsid w:val="00F769EC"/>
    <w:rsid w:val="00F76BEC"/>
    <w:rsid w:val="00F76E58"/>
    <w:rsid w:val="00F76EAB"/>
    <w:rsid w:val="00F76F3D"/>
    <w:rsid w:val="00F76F7C"/>
    <w:rsid w:val="00F77129"/>
    <w:rsid w:val="00F77266"/>
    <w:rsid w:val="00F77283"/>
    <w:rsid w:val="00F772F7"/>
    <w:rsid w:val="00F77308"/>
    <w:rsid w:val="00F7730C"/>
    <w:rsid w:val="00F77426"/>
    <w:rsid w:val="00F774A8"/>
    <w:rsid w:val="00F774B3"/>
    <w:rsid w:val="00F774E9"/>
    <w:rsid w:val="00F77620"/>
    <w:rsid w:val="00F77636"/>
    <w:rsid w:val="00F778B0"/>
    <w:rsid w:val="00F778C2"/>
    <w:rsid w:val="00F77931"/>
    <w:rsid w:val="00F77944"/>
    <w:rsid w:val="00F77960"/>
    <w:rsid w:val="00F77A4D"/>
    <w:rsid w:val="00F77A70"/>
    <w:rsid w:val="00F77ABE"/>
    <w:rsid w:val="00F77BD3"/>
    <w:rsid w:val="00F77D25"/>
    <w:rsid w:val="00F77D90"/>
    <w:rsid w:val="00F77F2A"/>
    <w:rsid w:val="00F77F5C"/>
    <w:rsid w:val="00F77FAA"/>
    <w:rsid w:val="00F80022"/>
    <w:rsid w:val="00F80029"/>
    <w:rsid w:val="00F80197"/>
    <w:rsid w:val="00F80466"/>
    <w:rsid w:val="00F804C0"/>
    <w:rsid w:val="00F804D5"/>
    <w:rsid w:val="00F805BF"/>
    <w:rsid w:val="00F8061A"/>
    <w:rsid w:val="00F807A3"/>
    <w:rsid w:val="00F807AF"/>
    <w:rsid w:val="00F8085E"/>
    <w:rsid w:val="00F80870"/>
    <w:rsid w:val="00F80906"/>
    <w:rsid w:val="00F80A16"/>
    <w:rsid w:val="00F80A48"/>
    <w:rsid w:val="00F80AAC"/>
    <w:rsid w:val="00F80B31"/>
    <w:rsid w:val="00F80B83"/>
    <w:rsid w:val="00F80C24"/>
    <w:rsid w:val="00F80E1D"/>
    <w:rsid w:val="00F80E93"/>
    <w:rsid w:val="00F80EEB"/>
    <w:rsid w:val="00F81058"/>
    <w:rsid w:val="00F8110A"/>
    <w:rsid w:val="00F8127F"/>
    <w:rsid w:val="00F812D7"/>
    <w:rsid w:val="00F81432"/>
    <w:rsid w:val="00F81532"/>
    <w:rsid w:val="00F815BC"/>
    <w:rsid w:val="00F81690"/>
    <w:rsid w:val="00F81748"/>
    <w:rsid w:val="00F8176E"/>
    <w:rsid w:val="00F8178C"/>
    <w:rsid w:val="00F81829"/>
    <w:rsid w:val="00F8195F"/>
    <w:rsid w:val="00F81A9D"/>
    <w:rsid w:val="00F81D15"/>
    <w:rsid w:val="00F81D65"/>
    <w:rsid w:val="00F81E5B"/>
    <w:rsid w:val="00F81E72"/>
    <w:rsid w:val="00F81E75"/>
    <w:rsid w:val="00F81EF8"/>
    <w:rsid w:val="00F81F70"/>
    <w:rsid w:val="00F81FF5"/>
    <w:rsid w:val="00F822AF"/>
    <w:rsid w:val="00F822C0"/>
    <w:rsid w:val="00F82506"/>
    <w:rsid w:val="00F8250C"/>
    <w:rsid w:val="00F82515"/>
    <w:rsid w:val="00F8252A"/>
    <w:rsid w:val="00F826C8"/>
    <w:rsid w:val="00F8270E"/>
    <w:rsid w:val="00F82789"/>
    <w:rsid w:val="00F827CC"/>
    <w:rsid w:val="00F827F5"/>
    <w:rsid w:val="00F8289A"/>
    <w:rsid w:val="00F828A7"/>
    <w:rsid w:val="00F828EC"/>
    <w:rsid w:val="00F82922"/>
    <w:rsid w:val="00F8295C"/>
    <w:rsid w:val="00F82A59"/>
    <w:rsid w:val="00F82B04"/>
    <w:rsid w:val="00F82B73"/>
    <w:rsid w:val="00F82D12"/>
    <w:rsid w:val="00F82D59"/>
    <w:rsid w:val="00F82E5E"/>
    <w:rsid w:val="00F82F0C"/>
    <w:rsid w:val="00F82F45"/>
    <w:rsid w:val="00F8300A"/>
    <w:rsid w:val="00F8300C"/>
    <w:rsid w:val="00F830D0"/>
    <w:rsid w:val="00F8317C"/>
    <w:rsid w:val="00F831D3"/>
    <w:rsid w:val="00F8328B"/>
    <w:rsid w:val="00F833B6"/>
    <w:rsid w:val="00F833F9"/>
    <w:rsid w:val="00F835FF"/>
    <w:rsid w:val="00F83607"/>
    <w:rsid w:val="00F837A1"/>
    <w:rsid w:val="00F837D2"/>
    <w:rsid w:val="00F83882"/>
    <w:rsid w:val="00F83D27"/>
    <w:rsid w:val="00F83E97"/>
    <w:rsid w:val="00F83FC4"/>
    <w:rsid w:val="00F83FD7"/>
    <w:rsid w:val="00F84064"/>
    <w:rsid w:val="00F84100"/>
    <w:rsid w:val="00F842E6"/>
    <w:rsid w:val="00F84305"/>
    <w:rsid w:val="00F843AE"/>
    <w:rsid w:val="00F843B0"/>
    <w:rsid w:val="00F843FB"/>
    <w:rsid w:val="00F84703"/>
    <w:rsid w:val="00F84748"/>
    <w:rsid w:val="00F84755"/>
    <w:rsid w:val="00F847C3"/>
    <w:rsid w:val="00F847D3"/>
    <w:rsid w:val="00F84821"/>
    <w:rsid w:val="00F84930"/>
    <w:rsid w:val="00F84958"/>
    <w:rsid w:val="00F84A95"/>
    <w:rsid w:val="00F84AD5"/>
    <w:rsid w:val="00F84B81"/>
    <w:rsid w:val="00F84C12"/>
    <w:rsid w:val="00F84C9D"/>
    <w:rsid w:val="00F84CB6"/>
    <w:rsid w:val="00F84F0F"/>
    <w:rsid w:val="00F84FD5"/>
    <w:rsid w:val="00F8505C"/>
    <w:rsid w:val="00F850F0"/>
    <w:rsid w:val="00F851A9"/>
    <w:rsid w:val="00F851D8"/>
    <w:rsid w:val="00F852D1"/>
    <w:rsid w:val="00F85385"/>
    <w:rsid w:val="00F8548B"/>
    <w:rsid w:val="00F8554B"/>
    <w:rsid w:val="00F8554C"/>
    <w:rsid w:val="00F8554D"/>
    <w:rsid w:val="00F85552"/>
    <w:rsid w:val="00F855AB"/>
    <w:rsid w:val="00F8565E"/>
    <w:rsid w:val="00F856F4"/>
    <w:rsid w:val="00F8578F"/>
    <w:rsid w:val="00F8583B"/>
    <w:rsid w:val="00F85927"/>
    <w:rsid w:val="00F859C9"/>
    <w:rsid w:val="00F859CA"/>
    <w:rsid w:val="00F85A6E"/>
    <w:rsid w:val="00F85B25"/>
    <w:rsid w:val="00F85CA7"/>
    <w:rsid w:val="00F85DED"/>
    <w:rsid w:val="00F85ED2"/>
    <w:rsid w:val="00F85F26"/>
    <w:rsid w:val="00F86048"/>
    <w:rsid w:val="00F8619F"/>
    <w:rsid w:val="00F861A8"/>
    <w:rsid w:val="00F862FF"/>
    <w:rsid w:val="00F863B6"/>
    <w:rsid w:val="00F863F1"/>
    <w:rsid w:val="00F864D3"/>
    <w:rsid w:val="00F8652D"/>
    <w:rsid w:val="00F86643"/>
    <w:rsid w:val="00F86649"/>
    <w:rsid w:val="00F86697"/>
    <w:rsid w:val="00F867B1"/>
    <w:rsid w:val="00F86B70"/>
    <w:rsid w:val="00F86C56"/>
    <w:rsid w:val="00F86EB8"/>
    <w:rsid w:val="00F86F1B"/>
    <w:rsid w:val="00F86FC6"/>
    <w:rsid w:val="00F8725F"/>
    <w:rsid w:val="00F87264"/>
    <w:rsid w:val="00F87376"/>
    <w:rsid w:val="00F873AD"/>
    <w:rsid w:val="00F87492"/>
    <w:rsid w:val="00F8753E"/>
    <w:rsid w:val="00F87561"/>
    <w:rsid w:val="00F875AB"/>
    <w:rsid w:val="00F876BF"/>
    <w:rsid w:val="00F8773E"/>
    <w:rsid w:val="00F87775"/>
    <w:rsid w:val="00F877A1"/>
    <w:rsid w:val="00F877F2"/>
    <w:rsid w:val="00F87960"/>
    <w:rsid w:val="00F8796D"/>
    <w:rsid w:val="00F8796F"/>
    <w:rsid w:val="00F87A1A"/>
    <w:rsid w:val="00F87A67"/>
    <w:rsid w:val="00F87BE7"/>
    <w:rsid w:val="00F87E53"/>
    <w:rsid w:val="00F87E5D"/>
    <w:rsid w:val="00F87F51"/>
    <w:rsid w:val="00F87F70"/>
    <w:rsid w:val="00F90012"/>
    <w:rsid w:val="00F9001A"/>
    <w:rsid w:val="00F9003A"/>
    <w:rsid w:val="00F900E5"/>
    <w:rsid w:val="00F90238"/>
    <w:rsid w:val="00F90306"/>
    <w:rsid w:val="00F9037B"/>
    <w:rsid w:val="00F9043A"/>
    <w:rsid w:val="00F905B5"/>
    <w:rsid w:val="00F90673"/>
    <w:rsid w:val="00F906E9"/>
    <w:rsid w:val="00F906EB"/>
    <w:rsid w:val="00F90703"/>
    <w:rsid w:val="00F90778"/>
    <w:rsid w:val="00F9083A"/>
    <w:rsid w:val="00F909C4"/>
    <w:rsid w:val="00F90AF5"/>
    <w:rsid w:val="00F90BBB"/>
    <w:rsid w:val="00F90C5B"/>
    <w:rsid w:val="00F90CB3"/>
    <w:rsid w:val="00F90DBE"/>
    <w:rsid w:val="00F90DBF"/>
    <w:rsid w:val="00F90E13"/>
    <w:rsid w:val="00F91118"/>
    <w:rsid w:val="00F9115B"/>
    <w:rsid w:val="00F9116A"/>
    <w:rsid w:val="00F9118D"/>
    <w:rsid w:val="00F912BD"/>
    <w:rsid w:val="00F912C3"/>
    <w:rsid w:val="00F912ED"/>
    <w:rsid w:val="00F914AA"/>
    <w:rsid w:val="00F9158D"/>
    <w:rsid w:val="00F91625"/>
    <w:rsid w:val="00F916A4"/>
    <w:rsid w:val="00F917E7"/>
    <w:rsid w:val="00F918E3"/>
    <w:rsid w:val="00F918FC"/>
    <w:rsid w:val="00F919C5"/>
    <w:rsid w:val="00F91AE9"/>
    <w:rsid w:val="00F91B99"/>
    <w:rsid w:val="00F91DBE"/>
    <w:rsid w:val="00F91E4F"/>
    <w:rsid w:val="00F91EC7"/>
    <w:rsid w:val="00F91EE3"/>
    <w:rsid w:val="00F92285"/>
    <w:rsid w:val="00F9249A"/>
    <w:rsid w:val="00F924BA"/>
    <w:rsid w:val="00F924E6"/>
    <w:rsid w:val="00F924F8"/>
    <w:rsid w:val="00F925F5"/>
    <w:rsid w:val="00F92670"/>
    <w:rsid w:val="00F926EB"/>
    <w:rsid w:val="00F92719"/>
    <w:rsid w:val="00F9276A"/>
    <w:rsid w:val="00F92894"/>
    <w:rsid w:val="00F92C5B"/>
    <w:rsid w:val="00F92C6B"/>
    <w:rsid w:val="00F92D19"/>
    <w:rsid w:val="00F92E33"/>
    <w:rsid w:val="00F92E36"/>
    <w:rsid w:val="00F92EA3"/>
    <w:rsid w:val="00F92F46"/>
    <w:rsid w:val="00F92FB6"/>
    <w:rsid w:val="00F93041"/>
    <w:rsid w:val="00F930CA"/>
    <w:rsid w:val="00F931BB"/>
    <w:rsid w:val="00F931D1"/>
    <w:rsid w:val="00F9327B"/>
    <w:rsid w:val="00F932C7"/>
    <w:rsid w:val="00F935C6"/>
    <w:rsid w:val="00F9361C"/>
    <w:rsid w:val="00F9375A"/>
    <w:rsid w:val="00F937CB"/>
    <w:rsid w:val="00F937DF"/>
    <w:rsid w:val="00F937FE"/>
    <w:rsid w:val="00F939CE"/>
    <w:rsid w:val="00F939D3"/>
    <w:rsid w:val="00F93B33"/>
    <w:rsid w:val="00F93C10"/>
    <w:rsid w:val="00F93CB4"/>
    <w:rsid w:val="00F93CF3"/>
    <w:rsid w:val="00F93DBC"/>
    <w:rsid w:val="00F93E74"/>
    <w:rsid w:val="00F93EA7"/>
    <w:rsid w:val="00F93EAA"/>
    <w:rsid w:val="00F94057"/>
    <w:rsid w:val="00F94094"/>
    <w:rsid w:val="00F940B9"/>
    <w:rsid w:val="00F9419C"/>
    <w:rsid w:val="00F94213"/>
    <w:rsid w:val="00F942F0"/>
    <w:rsid w:val="00F94307"/>
    <w:rsid w:val="00F94358"/>
    <w:rsid w:val="00F943C9"/>
    <w:rsid w:val="00F945EB"/>
    <w:rsid w:val="00F94602"/>
    <w:rsid w:val="00F946B2"/>
    <w:rsid w:val="00F94733"/>
    <w:rsid w:val="00F94736"/>
    <w:rsid w:val="00F94926"/>
    <w:rsid w:val="00F94991"/>
    <w:rsid w:val="00F949CC"/>
    <w:rsid w:val="00F949E3"/>
    <w:rsid w:val="00F94A8D"/>
    <w:rsid w:val="00F94D50"/>
    <w:rsid w:val="00F94DFF"/>
    <w:rsid w:val="00F94E0F"/>
    <w:rsid w:val="00F94E4E"/>
    <w:rsid w:val="00F94ECB"/>
    <w:rsid w:val="00F95022"/>
    <w:rsid w:val="00F95144"/>
    <w:rsid w:val="00F9515E"/>
    <w:rsid w:val="00F95221"/>
    <w:rsid w:val="00F95239"/>
    <w:rsid w:val="00F9529B"/>
    <w:rsid w:val="00F952EA"/>
    <w:rsid w:val="00F952EE"/>
    <w:rsid w:val="00F953CB"/>
    <w:rsid w:val="00F9540C"/>
    <w:rsid w:val="00F95470"/>
    <w:rsid w:val="00F9565B"/>
    <w:rsid w:val="00F95691"/>
    <w:rsid w:val="00F956A5"/>
    <w:rsid w:val="00F956C5"/>
    <w:rsid w:val="00F95778"/>
    <w:rsid w:val="00F957E9"/>
    <w:rsid w:val="00F958DB"/>
    <w:rsid w:val="00F95957"/>
    <w:rsid w:val="00F95B5F"/>
    <w:rsid w:val="00F95BA3"/>
    <w:rsid w:val="00F9602D"/>
    <w:rsid w:val="00F9604E"/>
    <w:rsid w:val="00F96052"/>
    <w:rsid w:val="00F96104"/>
    <w:rsid w:val="00F96105"/>
    <w:rsid w:val="00F96121"/>
    <w:rsid w:val="00F9620B"/>
    <w:rsid w:val="00F962F3"/>
    <w:rsid w:val="00F9635E"/>
    <w:rsid w:val="00F963A5"/>
    <w:rsid w:val="00F963C1"/>
    <w:rsid w:val="00F96493"/>
    <w:rsid w:val="00F964A6"/>
    <w:rsid w:val="00F9656E"/>
    <w:rsid w:val="00F9656F"/>
    <w:rsid w:val="00F965BA"/>
    <w:rsid w:val="00F965CB"/>
    <w:rsid w:val="00F966DE"/>
    <w:rsid w:val="00F967E0"/>
    <w:rsid w:val="00F96819"/>
    <w:rsid w:val="00F968ED"/>
    <w:rsid w:val="00F969C5"/>
    <w:rsid w:val="00F96B3E"/>
    <w:rsid w:val="00F96BC1"/>
    <w:rsid w:val="00F96C23"/>
    <w:rsid w:val="00F96D07"/>
    <w:rsid w:val="00F96D23"/>
    <w:rsid w:val="00F96DF4"/>
    <w:rsid w:val="00F96E51"/>
    <w:rsid w:val="00F96E61"/>
    <w:rsid w:val="00F96ED0"/>
    <w:rsid w:val="00F96F73"/>
    <w:rsid w:val="00F97036"/>
    <w:rsid w:val="00F97082"/>
    <w:rsid w:val="00F970A8"/>
    <w:rsid w:val="00F970AD"/>
    <w:rsid w:val="00F970F0"/>
    <w:rsid w:val="00F97138"/>
    <w:rsid w:val="00F9713D"/>
    <w:rsid w:val="00F9724A"/>
    <w:rsid w:val="00F9732A"/>
    <w:rsid w:val="00F97403"/>
    <w:rsid w:val="00F975DC"/>
    <w:rsid w:val="00F975EE"/>
    <w:rsid w:val="00F9770F"/>
    <w:rsid w:val="00F9772C"/>
    <w:rsid w:val="00F977F8"/>
    <w:rsid w:val="00F97851"/>
    <w:rsid w:val="00F9794E"/>
    <w:rsid w:val="00F97A1B"/>
    <w:rsid w:val="00F97A9E"/>
    <w:rsid w:val="00F97B0B"/>
    <w:rsid w:val="00F97B2F"/>
    <w:rsid w:val="00F97B50"/>
    <w:rsid w:val="00F97C6D"/>
    <w:rsid w:val="00F97CEE"/>
    <w:rsid w:val="00F97D31"/>
    <w:rsid w:val="00F97DB6"/>
    <w:rsid w:val="00F97E44"/>
    <w:rsid w:val="00F97EE0"/>
    <w:rsid w:val="00F97F98"/>
    <w:rsid w:val="00F97FD2"/>
    <w:rsid w:val="00F97FEA"/>
    <w:rsid w:val="00FA01A2"/>
    <w:rsid w:val="00FA0292"/>
    <w:rsid w:val="00FA0294"/>
    <w:rsid w:val="00FA02FE"/>
    <w:rsid w:val="00FA03F8"/>
    <w:rsid w:val="00FA041C"/>
    <w:rsid w:val="00FA042A"/>
    <w:rsid w:val="00FA046C"/>
    <w:rsid w:val="00FA05DB"/>
    <w:rsid w:val="00FA0726"/>
    <w:rsid w:val="00FA07D2"/>
    <w:rsid w:val="00FA0884"/>
    <w:rsid w:val="00FA08DC"/>
    <w:rsid w:val="00FA09C4"/>
    <w:rsid w:val="00FA0A0B"/>
    <w:rsid w:val="00FA0A63"/>
    <w:rsid w:val="00FA0B4C"/>
    <w:rsid w:val="00FA0B52"/>
    <w:rsid w:val="00FA0B92"/>
    <w:rsid w:val="00FA0BAB"/>
    <w:rsid w:val="00FA0BAC"/>
    <w:rsid w:val="00FA0CB8"/>
    <w:rsid w:val="00FA0CF1"/>
    <w:rsid w:val="00FA0D0E"/>
    <w:rsid w:val="00FA0DA9"/>
    <w:rsid w:val="00FA0DF3"/>
    <w:rsid w:val="00FA0EAE"/>
    <w:rsid w:val="00FA0EEE"/>
    <w:rsid w:val="00FA0FD3"/>
    <w:rsid w:val="00FA10CE"/>
    <w:rsid w:val="00FA10D4"/>
    <w:rsid w:val="00FA1116"/>
    <w:rsid w:val="00FA135E"/>
    <w:rsid w:val="00FA1474"/>
    <w:rsid w:val="00FA1585"/>
    <w:rsid w:val="00FA171F"/>
    <w:rsid w:val="00FA175B"/>
    <w:rsid w:val="00FA1879"/>
    <w:rsid w:val="00FA18CB"/>
    <w:rsid w:val="00FA18CE"/>
    <w:rsid w:val="00FA1945"/>
    <w:rsid w:val="00FA1982"/>
    <w:rsid w:val="00FA1983"/>
    <w:rsid w:val="00FA19D0"/>
    <w:rsid w:val="00FA1A1F"/>
    <w:rsid w:val="00FA1B7E"/>
    <w:rsid w:val="00FA1C10"/>
    <w:rsid w:val="00FA1C16"/>
    <w:rsid w:val="00FA1C37"/>
    <w:rsid w:val="00FA1C93"/>
    <w:rsid w:val="00FA1CF7"/>
    <w:rsid w:val="00FA1DB2"/>
    <w:rsid w:val="00FA1E2A"/>
    <w:rsid w:val="00FA1EB0"/>
    <w:rsid w:val="00FA1F95"/>
    <w:rsid w:val="00FA20FC"/>
    <w:rsid w:val="00FA2177"/>
    <w:rsid w:val="00FA21B1"/>
    <w:rsid w:val="00FA225F"/>
    <w:rsid w:val="00FA22F8"/>
    <w:rsid w:val="00FA23D8"/>
    <w:rsid w:val="00FA2434"/>
    <w:rsid w:val="00FA246D"/>
    <w:rsid w:val="00FA25FA"/>
    <w:rsid w:val="00FA262F"/>
    <w:rsid w:val="00FA2699"/>
    <w:rsid w:val="00FA269E"/>
    <w:rsid w:val="00FA271B"/>
    <w:rsid w:val="00FA27E9"/>
    <w:rsid w:val="00FA2878"/>
    <w:rsid w:val="00FA288F"/>
    <w:rsid w:val="00FA2A0A"/>
    <w:rsid w:val="00FA2CCA"/>
    <w:rsid w:val="00FA2CD2"/>
    <w:rsid w:val="00FA2CD8"/>
    <w:rsid w:val="00FA2D38"/>
    <w:rsid w:val="00FA2D57"/>
    <w:rsid w:val="00FA2F0B"/>
    <w:rsid w:val="00FA2F6D"/>
    <w:rsid w:val="00FA2FDC"/>
    <w:rsid w:val="00FA31B0"/>
    <w:rsid w:val="00FA32E2"/>
    <w:rsid w:val="00FA32E9"/>
    <w:rsid w:val="00FA33B7"/>
    <w:rsid w:val="00FA33F3"/>
    <w:rsid w:val="00FA3490"/>
    <w:rsid w:val="00FA35B6"/>
    <w:rsid w:val="00FA35C7"/>
    <w:rsid w:val="00FA35D8"/>
    <w:rsid w:val="00FA35ED"/>
    <w:rsid w:val="00FA3697"/>
    <w:rsid w:val="00FA37EB"/>
    <w:rsid w:val="00FA38FE"/>
    <w:rsid w:val="00FA3970"/>
    <w:rsid w:val="00FA3A01"/>
    <w:rsid w:val="00FA3AB2"/>
    <w:rsid w:val="00FA3C85"/>
    <w:rsid w:val="00FA42C9"/>
    <w:rsid w:val="00FA4343"/>
    <w:rsid w:val="00FA4368"/>
    <w:rsid w:val="00FA439E"/>
    <w:rsid w:val="00FA43C6"/>
    <w:rsid w:val="00FA4547"/>
    <w:rsid w:val="00FA4723"/>
    <w:rsid w:val="00FA4730"/>
    <w:rsid w:val="00FA4751"/>
    <w:rsid w:val="00FA47D1"/>
    <w:rsid w:val="00FA4A40"/>
    <w:rsid w:val="00FA4AF7"/>
    <w:rsid w:val="00FA4C0A"/>
    <w:rsid w:val="00FA4C5A"/>
    <w:rsid w:val="00FA4C63"/>
    <w:rsid w:val="00FA4E2C"/>
    <w:rsid w:val="00FA4F11"/>
    <w:rsid w:val="00FA50C9"/>
    <w:rsid w:val="00FA5191"/>
    <w:rsid w:val="00FA52AF"/>
    <w:rsid w:val="00FA53FD"/>
    <w:rsid w:val="00FA54A4"/>
    <w:rsid w:val="00FA56AE"/>
    <w:rsid w:val="00FA5719"/>
    <w:rsid w:val="00FA59CF"/>
    <w:rsid w:val="00FA5AA5"/>
    <w:rsid w:val="00FA5B0B"/>
    <w:rsid w:val="00FA5B82"/>
    <w:rsid w:val="00FA5D14"/>
    <w:rsid w:val="00FA5D9E"/>
    <w:rsid w:val="00FA5DF0"/>
    <w:rsid w:val="00FA5E30"/>
    <w:rsid w:val="00FA5E80"/>
    <w:rsid w:val="00FA5EF3"/>
    <w:rsid w:val="00FA618D"/>
    <w:rsid w:val="00FA6251"/>
    <w:rsid w:val="00FA6352"/>
    <w:rsid w:val="00FA6366"/>
    <w:rsid w:val="00FA6412"/>
    <w:rsid w:val="00FA6434"/>
    <w:rsid w:val="00FA6470"/>
    <w:rsid w:val="00FA6576"/>
    <w:rsid w:val="00FA664C"/>
    <w:rsid w:val="00FA6709"/>
    <w:rsid w:val="00FA6756"/>
    <w:rsid w:val="00FA697E"/>
    <w:rsid w:val="00FA69DA"/>
    <w:rsid w:val="00FA6A96"/>
    <w:rsid w:val="00FA6AA1"/>
    <w:rsid w:val="00FA6ACC"/>
    <w:rsid w:val="00FA6C79"/>
    <w:rsid w:val="00FA6C8F"/>
    <w:rsid w:val="00FA6D02"/>
    <w:rsid w:val="00FA6E1B"/>
    <w:rsid w:val="00FA6E31"/>
    <w:rsid w:val="00FA6E3D"/>
    <w:rsid w:val="00FA6EE2"/>
    <w:rsid w:val="00FA6F25"/>
    <w:rsid w:val="00FA7107"/>
    <w:rsid w:val="00FA7109"/>
    <w:rsid w:val="00FA71C3"/>
    <w:rsid w:val="00FA71E8"/>
    <w:rsid w:val="00FA722E"/>
    <w:rsid w:val="00FA7363"/>
    <w:rsid w:val="00FA7413"/>
    <w:rsid w:val="00FA7434"/>
    <w:rsid w:val="00FA751A"/>
    <w:rsid w:val="00FA753F"/>
    <w:rsid w:val="00FA75C4"/>
    <w:rsid w:val="00FA75F0"/>
    <w:rsid w:val="00FA75F9"/>
    <w:rsid w:val="00FA763E"/>
    <w:rsid w:val="00FA782A"/>
    <w:rsid w:val="00FA784A"/>
    <w:rsid w:val="00FA78B3"/>
    <w:rsid w:val="00FA7A72"/>
    <w:rsid w:val="00FA7A8F"/>
    <w:rsid w:val="00FA7AA2"/>
    <w:rsid w:val="00FA7AA4"/>
    <w:rsid w:val="00FA7B69"/>
    <w:rsid w:val="00FA7C92"/>
    <w:rsid w:val="00FA7D75"/>
    <w:rsid w:val="00FA7DB0"/>
    <w:rsid w:val="00FA7E84"/>
    <w:rsid w:val="00FA7FFB"/>
    <w:rsid w:val="00FB002F"/>
    <w:rsid w:val="00FB003D"/>
    <w:rsid w:val="00FB016B"/>
    <w:rsid w:val="00FB01F5"/>
    <w:rsid w:val="00FB026A"/>
    <w:rsid w:val="00FB03A2"/>
    <w:rsid w:val="00FB03BB"/>
    <w:rsid w:val="00FB0550"/>
    <w:rsid w:val="00FB05F4"/>
    <w:rsid w:val="00FB0606"/>
    <w:rsid w:val="00FB06F4"/>
    <w:rsid w:val="00FB071E"/>
    <w:rsid w:val="00FB07B0"/>
    <w:rsid w:val="00FB07D0"/>
    <w:rsid w:val="00FB0809"/>
    <w:rsid w:val="00FB0874"/>
    <w:rsid w:val="00FB08A2"/>
    <w:rsid w:val="00FB0921"/>
    <w:rsid w:val="00FB0A25"/>
    <w:rsid w:val="00FB0A3C"/>
    <w:rsid w:val="00FB0AA9"/>
    <w:rsid w:val="00FB0AB6"/>
    <w:rsid w:val="00FB0CD4"/>
    <w:rsid w:val="00FB0D9A"/>
    <w:rsid w:val="00FB0DF5"/>
    <w:rsid w:val="00FB0E00"/>
    <w:rsid w:val="00FB0E43"/>
    <w:rsid w:val="00FB0EEF"/>
    <w:rsid w:val="00FB0F20"/>
    <w:rsid w:val="00FB0FC4"/>
    <w:rsid w:val="00FB104F"/>
    <w:rsid w:val="00FB10B8"/>
    <w:rsid w:val="00FB1131"/>
    <w:rsid w:val="00FB1190"/>
    <w:rsid w:val="00FB11B1"/>
    <w:rsid w:val="00FB1286"/>
    <w:rsid w:val="00FB1330"/>
    <w:rsid w:val="00FB1367"/>
    <w:rsid w:val="00FB1386"/>
    <w:rsid w:val="00FB13BD"/>
    <w:rsid w:val="00FB1466"/>
    <w:rsid w:val="00FB147B"/>
    <w:rsid w:val="00FB1496"/>
    <w:rsid w:val="00FB14B0"/>
    <w:rsid w:val="00FB15FA"/>
    <w:rsid w:val="00FB173C"/>
    <w:rsid w:val="00FB174C"/>
    <w:rsid w:val="00FB1798"/>
    <w:rsid w:val="00FB18A4"/>
    <w:rsid w:val="00FB18C4"/>
    <w:rsid w:val="00FB1998"/>
    <w:rsid w:val="00FB19E1"/>
    <w:rsid w:val="00FB1AC3"/>
    <w:rsid w:val="00FB1AD7"/>
    <w:rsid w:val="00FB1AF3"/>
    <w:rsid w:val="00FB1C4E"/>
    <w:rsid w:val="00FB1DF1"/>
    <w:rsid w:val="00FB1E5F"/>
    <w:rsid w:val="00FB1FCE"/>
    <w:rsid w:val="00FB1FE5"/>
    <w:rsid w:val="00FB204F"/>
    <w:rsid w:val="00FB206A"/>
    <w:rsid w:val="00FB21A8"/>
    <w:rsid w:val="00FB21BD"/>
    <w:rsid w:val="00FB221B"/>
    <w:rsid w:val="00FB2260"/>
    <w:rsid w:val="00FB2317"/>
    <w:rsid w:val="00FB23A4"/>
    <w:rsid w:val="00FB24B5"/>
    <w:rsid w:val="00FB24C0"/>
    <w:rsid w:val="00FB254B"/>
    <w:rsid w:val="00FB25E3"/>
    <w:rsid w:val="00FB2618"/>
    <w:rsid w:val="00FB2630"/>
    <w:rsid w:val="00FB26A7"/>
    <w:rsid w:val="00FB26C6"/>
    <w:rsid w:val="00FB26E4"/>
    <w:rsid w:val="00FB28CA"/>
    <w:rsid w:val="00FB2908"/>
    <w:rsid w:val="00FB2A02"/>
    <w:rsid w:val="00FB2B69"/>
    <w:rsid w:val="00FB2BA7"/>
    <w:rsid w:val="00FB2CE6"/>
    <w:rsid w:val="00FB2CEA"/>
    <w:rsid w:val="00FB2CFC"/>
    <w:rsid w:val="00FB2D7F"/>
    <w:rsid w:val="00FB2DC5"/>
    <w:rsid w:val="00FB2E31"/>
    <w:rsid w:val="00FB2E37"/>
    <w:rsid w:val="00FB2ECF"/>
    <w:rsid w:val="00FB2F51"/>
    <w:rsid w:val="00FB2F70"/>
    <w:rsid w:val="00FB2F96"/>
    <w:rsid w:val="00FB2FDB"/>
    <w:rsid w:val="00FB300D"/>
    <w:rsid w:val="00FB3213"/>
    <w:rsid w:val="00FB3349"/>
    <w:rsid w:val="00FB33DB"/>
    <w:rsid w:val="00FB376B"/>
    <w:rsid w:val="00FB37F8"/>
    <w:rsid w:val="00FB3869"/>
    <w:rsid w:val="00FB3930"/>
    <w:rsid w:val="00FB3989"/>
    <w:rsid w:val="00FB3A1D"/>
    <w:rsid w:val="00FB3AA6"/>
    <w:rsid w:val="00FB3AAE"/>
    <w:rsid w:val="00FB3B24"/>
    <w:rsid w:val="00FB3B64"/>
    <w:rsid w:val="00FB3BCE"/>
    <w:rsid w:val="00FB3C24"/>
    <w:rsid w:val="00FB3C5D"/>
    <w:rsid w:val="00FB3D67"/>
    <w:rsid w:val="00FB3E5D"/>
    <w:rsid w:val="00FB4091"/>
    <w:rsid w:val="00FB4218"/>
    <w:rsid w:val="00FB432F"/>
    <w:rsid w:val="00FB43FC"/>
    <w:rsid w:val="00FB4425"/>
    <w:rsid w:val="00FB450B"/>
    <w:rsid w:val="00FB4538"/>
    <w:rsid w:val="00FB455A"/>
    <w:rsid w:val="00FB4641"/>
    <w:rsid w:val="00FB472F"/>
    <w:rsid w:val="00FB47CE"/>
    <w:rsid w:val="00FB484C"/>
    <w:rsid w:val="00FB485B"/>
    <w:rsid w:val="00FB49B0"/>
    <w:rsid w:val="00FB49F7"/>
    <w:rsid w:val="00FB4A3F"/>
    <w:rsid w:val="00FB4ACD"/>
    <w:rsid w:val="00FB4BA3"/>
    <w:rsid w:val="00FB4C14"/>
    <w:rsid w:val="00FB4C64"/>
    <w:rsid w:val="00FB4D0C"/>
    <w:rsid w:val="00FB4E5A"/>
    <w:rsid w:val="00FB4FCB"/>
    <w:rsid w:val="00FB524F"/>
    <w:rsid w:val="00FB525F"/>
    <w:rsid w:val="00FB530F"/>
    <w:rsid w:val="00FB5349"/>
    <w:rsid w:val="00FB539F"/>
    <w:rsid w:val="00FB54F4"/>
    <w:rsid w:val="00FB5589"/>
    <w:rsid w:val="00FB55C9"/>
    <w:rsid w:val="00FB55FB"/>
    <w:rsid w:val="00FB5684"/>
    <w:rsid w:val="00FB5708"/>
    <w:rsid w:val="00FB570E"/>
    <w:rsid w:val="00FB5794"/>
    <w:rsid w:val="00FB57FE"/>
    <w:rsid w:val="00FB5808"/>
    <w:rsid w:val="00FB5855"/>
    <w:rsid w:val="00FB58BB"/>
    <w:rsid w:val="00FB5A18"/>
    <w:rsid w:val="00FB5A2E"/>
    <w:rsid w:val="00FB5B3F"/>
    <w:rsid w:val="00FB5BA4"/>
    <w:rsid w:val="00FB5BE9"/>
    <w:rsid w:val="00FB5C1C"/>
    <w:rsid w:val="00FB5CCD"/>
    <w:rsid w:val="00FB5D8B"/>
    <w:rsid w:val="00FB5E70"/>
    <w:rsid w:val="00FB5F01"/>
    <w:rsid w:val="00FB5F67"/>
    <w:rsid w:val="00FB5FAB"/>
    <w:rsid w:val="00FB5FFF"/>
    <w:rsid w:val="00FB61F0"/>
    <w:rsid w:val="00FB63ED"/>
    <w:rsid w:val="00FB6424"/>
    <w:rsid w:val="00FB6446"/>
    <w:rsid w:val="00FB6483"/>
    <w:rsid w:val="00FB6505"/>
    <w:rsid w:val="00FB65C7"/>
    <w:rsid w:val="00FB65CD"/>
    <w:rsid w:val="00FB6665"/>
    <w:rsid w:val="00FB66AE"/>
    <w:rsid w:val="00FB674E"/>
    <w:rsid w:val="00FB675E"/>
    <w:rsid w:val="00FB681D"/>
    <w:rsid w:val="00FB695A"/>
    <w:rsid w:val="00FB69C5"/>
    <w:rsid w:val="00FB69D9"/>
    <w:rsid w:val="00FB6A24"/>
    <w:rsid w:val="00FB6A3F"/>
    <w:rsid w:val="00FB6A4A"/>
    <w:rsid w:val="00FB6A73"/>
    <w:rsid w:val="00FB6C85"/>
    <w:rsid w:val="00FB6D3C"/>
    <w:rsid w:val="00FB6D3D"/>
    <w:rsid w:val="00FB6D4B"/>
    <w:rsid w:val="00FB6D6E"/>
    <w:rsid w:val="00FB6D9B"/>
    <w:rsid w:val="00FB6DDC"/>
    <w:rsid w:val="00FB6DEF"/>
    <w:rsid w:val="00FB6F1D"/>
    <w:rsid w:val="00FB7012"/>
    <w:rsid w:val="00FB7037"/>
    <w:rsid w:val="00FB70E8"/>
    <w:rsid w:val="00FB710C"/>
    <w:rsid w:val="00FB71AA"/>
    <w:rsid w:val="00FB7214"/>
    <w:rsid w:val="00FB7233"/>
    <w:rsid w:val="00FB7322"/>
    <w:rsid w:val="00FB73A8"/>
    <w:rsid w:val="00FB7404"/>
    <w:rsid w:val="00FB742D"/>
    <w:rsid w:val="00FB7479"/>
    <w:rsid w:val="00FB76B7"/>
    <w:rsid w:val="00FB779E"/>
    <w:rsid w:val="00FB77E9"/>
    <w:rsid w:val="00FB796F"/>
    <w:rsid w:val="00FB7B28"/>
    <w:rsid w:val="00FB7BB8"/>
    <w:rsid w:val="00FB7BB9"/>
    <w:rsid w:val="00FB7D09"/>
    <w:rsid w:val="00FB7E3C"/>
    <w:rsid w:val="00FB7EEC"/>
    <w:rsid w:val="00FC0132"/>
    <w:rsid w:val="00FC01BA"/>
    <w:rsid w:val="00FC030E"/>
    <w:rsid w:val="00FC05DF"/>
    <w:rsid w:val="00FC05F6"/>
    <w:rsid w:val="00FC063F"/>
    <w:rsid w:val="00FC0649"/>
    <w:rsid w:val="00FC0887"/>
    <w:rsid w:val="00FC08B5"/>
    <w:rsid w:val="00FC08BC"/>
    <w:rsid w:val="00FC0906"/>
    <w:rsid w:val="00FC0988"/>
    <w:rsid w:val="00FC0A48"/>
    <w:rsid w:val="00FC0A87"/>
    <w:rsid w:val="00FC0A8C"/>
    <w:rsid w:val="00FC0A9A"/>
    <w:rsid w:val="00FC0C33"/>
    <w:rsid w:val="00FC0CE4"/>
    <w:rsid w:val="00FC0D27"/>
    <w:rsid w:val="00FC0EC0"/>
    <w:rsid w:val="00FC0F1B"/>
    <w:rsid w:val="00FC0F33"/>
    <w:rsid w:val="00FC0F3B"/>
    <w:rsid w:val="00FC0F64"/>
    <w:rsid w:val="00FC0F96"/>
    <w:rsid w:val="00FC0FA7"/>
    <w:rsid w:val="00FC0FB9"/>
    <w:rsid w:val="00FC0FE3"/>
    <w:rsid w:val="00FC105D"/>
    <w:rsid w:val="00FC105E"/>
    <w:rsid w:val="00FC11F0"/>
    <w:rsid w:val="00FC13EF"/>
    <w:rsid w:val="00FC155D"/>
    <w:rsid w:val="00FC1563"/>
    <w:rsid w:val="00FC1625"/>
    <w:rsid w:val="00FC17F5"/>
    <w:rsid w:val="00FC1940"/>
    <w:rsid w:val="00FC197F"/>
    <w:rsid w:val="00FC1A2C"/>
    <w:rsid w:val="00FC1B0E"/>
    <w:rsid w:val="00FC1BAE"/>
    <w:rsid w:val="00FC1C55"/>
    <w:rsid w:val="00FC1CAA"/>
    <w:rsid w:val="00FC1D21"/>
    <w:rsid w:val="00FC1D32"/>
    <w:rsid w:val="00FC1D8B"/>
    <w:rsid w:val="00FC1EA1"/>
    <w:rsid w:val="00FC1ED3"/>
    <w:rsid w:val="00FC1EF8"/>
    <w:rsid w:val="00FC1F3A"/>
    <w:rsid w:val="00FC1F4B"/>
    <w:rsid w:val="00FC1F89"/>
    <w:rsid w:val="00FC200C"/>
    <w:rsid w:val="00FC20D6"/>
    <w:rsid w:val="00FC20F8"/>
    <w:rsid w:val="00FC218E"/>
    <w:rsid w:val="00FC21F9"/>
    <w:rsid w:val="00FC221E"/>
    <w:rsid w:val="00FC22C0"/>
    <w:rsid w:val="00FC23DD"/>
    <w:rsid w:val="00FC24C5"/>
    <w:rsid w:val="00FC27A0"/>
    <w:rsid w:val="00FC2886"/>
    <w:rsid w:val="00FC2917"/>
    <w:rsid w:val="00FC296B"/>
    <w:rsid w:val="00FC2A34"/>
    <w:rsid w:val="00FC2A80"/>
    <w:rsid w:val="00FC2C28"/>
    <w:rsid w:val="00FC2C43"/>
    <w:rsid w:val="00FC2C46"/>
    <w:rsid w:val="00FC2C82"/>
    <w:rsid w:val="00FC2D69"/>
    <w:rsid w:val="00FC2E1D"/>
    <w:rsid w:val="00FC2EF1"/>
    <w:rsid w:val="00FC2F64"/>
    <w:rsid w:val="00FC2F88"/>
    <w:rsid w:val="00FC3063"/>
    <w:rsid w:val="00FC3069"/>
    <w:rsid w:val="00FC30E9"/>
    <w:rsid w:val="00FC3141"/>
    <w:rsid w:val="00FC3143"/>
    <w:rsid w:val="00FC33E7"/>
    <w:rsid w:val="00FC3403"/>
    <w:rsid w:val="00FC344C"/>
    <w:rsid w:val="00FC3485"/>
    <w:rsid w:val="00FC3499"/>
    <w:rsid w:val="00FC34B2"/>
    <w:rsid w:val="00FC3579"/>
    <w:rsid w:val="00FC3592"/>
    <w:rsid w:val="00FC35A1"/>
    <w:rsid w:val="00FC35FB"/>
    <w:rsid w:val="00FC3640"/>
    <w:rsid w:val="00FC36C5"/>
    <w:rsid w:val="00FC36DF"/>
    <w:rsid w:val="00FC375B"/>
    <w:rsid w:val="00FC38D8"/>
    <w:rsid w:val="00FC3996"/>
    <w:rsid w:val="00FC39B6"/>
    <w:rsid w:val="00FC39DF"/>
    <w:rsid w:val="00FC3AB6"/>
    <w:rsid w:val="00FC3B1F"/>
    <w:rsid w:val="00FC3B52"/>
    <w:rsid w:val="00FC3E99"/>
    <w:rsid w:val="00FC3EED"/>
    <w:rsid w:val="00FC3F39"/>
    <w:rsid w:val="00FC3FF3"/>
    <w:rsid w:val="00FC40B3"/>
    <w:rsid w:val="00FC41B4"/>
    <w:rsid w:val="00FC4241"/>
    <w:rsid w:val="00FC43D4"/>
    <w:rsid w:val="00FC43E2"/>
    <w:rsid w:val="00FC4606"/>
    <w:rsid w:val="00FC4642"/>
    <w:rsid w:val="00FC46BF"/>
    <w:rsid w:val="00FC485F"/>
    <w:rsid w:val="00FC491F"/>
    <w:rsid w:val="00FC497E"/>
    <w:rsid w:val="00FC4B52"/>
    <w:rsid w:val="00FC4BB2"/>
    <w:rsid w:val="00FC4BF7"/>
    <w:rsid w:val="00FC4C03"/>
    <w:rsid w:val="00FC4CFC"/>
    <w:rsid w:val="00FC4D46"/>
    <w:rsid w:val="00FC4D6A"/>
    <w:rsid w:val="00FC4E69"/>
    <w:rsid w:val="00FC4E8C"/>
    <w:rsid w:val="00FC4F05"/>
    <w:rsid w:val="00FC4F20"/>
    <w:rsid w:val="00FC4F7E"/>
    <w:rsid w:val="00FC5034"/>
    <w:rsid w:val="00FC505B"/>
    <w:rsid w:val="00FC510E"/>
    <w:rsid w:val="00FC51AB"/>
    <w:rsid w:val="00FC5301"/>
    <w:rsid w:val="00FC53AD"/>
    <w:rsid w:val="00FC5497"/>
    <w:rsid w:val="00FC54BD"/>
    <w:rsid w:val="00FC56F2"/>
    <w:rsid w:val="00FC57CC"/>
    <w:rsid w:val="00FC584B"/>
    <w:rsid w:val="00FC5898"/>
    <w:rsid w:val="00FC594F"/>
    <w:rsid w:val="00FC5964"/>
    <w:rsid w:val="00FC59A6"/>
    <w:rsid w:val="00FC5B01"/>
    <w:rsid w:val="00FC5B2A"/>
    <w:rsid w:val="00FC5C3A"/>
    <w:rsid w:val="00FC5C3D"/>
    <w:rsid w:val="00FC5C40"/>
    <w:rsid w:val="00FC5CF8"/>
    <w:rsid w:val="00FC5DF8"/>
    <w:rsid w:val="00FC5E16"/>
    <w:rsid w:val="00FC5F31"/>
    <w:rsid w:val="00FC611A"/>
    <w:rsid w:val="00FC61CA"/>
    <w:rsid w:val="00FC61FF"/>
    <w:rsid w:val="00FC6212"/>
    <w:rsid w:val="00FC6351"/>
    <w:rsid w:val="00FC6396"/>
    <w:rsid w:val="00FC6406"/>
    <w:rsid w:val="00FC6411"/>
    <w:rsid w:val="00FC64B0"/>
    <w:rsid w:val="00FC654E"/>
    <w:rsid w:val="00FC65A8"/>
    <w:rsid w:val="00FC65E0"/>
    <w:rsid w:val="00FC6657"/>
    <w:rsid w:val="00FC66C7"/>
    <w:rsid w:val="00FC66E2"/>
    <w:rsid w:val="00FC6719"/>
    <w:rsid w:val="00FC6743"/>
    <w:rsid w:val="00FC67A0"/>
    <w:rsid w:val="00FC6851"/>
    <w:rsid w:val="00FC6975"/>
    <w:rsid w:val="00FC699F"/>
    <w:rsid w:val="00FC6A74"/>
    <w:rsid w:val="00FC6A91"/>
    <w:rsid w:val="00FC6B4A"/>
    <w:rsid w:val="00FC6B61"/>
    <w:rsid w:val="00FC6B6B"/>
    <w:rsid w:val="00FC6B81"/>
    <w:rsid w:val="00FC6B9D"/>
    <w:rsid w:val="00FC6C56"/>
    <w:rsid w:val="00FC6C6B"/>
    <w:rsid w:val="00FC6C86"/>
    <w:rsid w:val="00FC6D1F"/>
    <w:rsid w:val="00FC6D31"/>
    <w:rsid w:val="00FC6D53"/>
    <w:rsid w:val="00FC6D64"/>
    <w:rsid w:val="00FC6E04"/>
    <w:rsid w:val="00FC6EAD"/>
    <w:rsid w:val="00FC6F2F"/>
    <w:rsid w:val="00FC70D8"/>
    <w:rsid w:val="00FC7141"/>
    <w:rsid w:val="00FC7285"/>
    <w:rsid w:val="00FC7458"/>
    <w:rsid w:val="00FC7466"/>
    <w:rsid w:val="00FC746B"/>
    <w:rsid w:val="00FC7480"/>
    <w:rsid w:val="00FC74C4"/>
    <w:rsid w:val="00FC76DD"/>
    <w:rsid w:val="00FC775A"/>
    <w:rsid w:val="00FC7768"/>
    <w:rsid w:val="00FC7771"/>
    <w:rsid w:val="00FC78E0"/>
    <w:rsid w:val="00FC7B0A"/>
    <w:rsid w:val="00FC7C7A"/>
    <w:rsid w:val="00FC7D4C"/>
    <w:rsid w:val="00FC7DC7"/>
    <w:rsid w:val="00FC7EE6"/>
    <w:rsid w:val="00FC7EF9"/>
    <w:rsid w:val="00FC7F57"/>
    <w:rsid w:val="00FC7F7D"/>
    <w:rsid w:val="00FC7FAB"/>
    <w:rsid w:val="00FC7FF0"/>
    <w:rsid w:val="00FD00A8"/>
    <w:rsid w:val="00FD00AB"/>
    <w:rsid w:val="00FD00E9"/>
    <w:rsid w:val="00FD00EB"/>
    <w:rsid w:val="00FD00F0"/>
    <w:rsid w:val="00FD0146"/>
    <w:rsid w:val="00FD0377"/>
    <w:rsid w:val="00FD0411"/>
    <w:rsid w:val="00FD0449"/>
    <w:rsid w:val="00FD04FD"/>
    <w:rsid w:val="00FD0624"/>
    <w:rsid w:val="00FD06B0"/>
    <w:rsid w:val="00FD077D"/>
    <w:rsid w:val="00FD07D2"/>
    <w:rsid w:val="00FD0809"/>
    <w:rsid w:val="00FD0935"/>
    <w:rsid w:val="00FD0943"/>
    <w:rsid w:val="00FD0A8B"/>
    <w:rsid w:val="00FD0AE2"/>
    <w:rsid w:val="00FD0AF8"/>
    <w:rsid w:val="00FD0B64"/>
    <w:rsid w:val="00FD0B8C"/>
    <w:rsid w:val="00FD0C40"/>
    <w:rsid w:val="00FD0C45"/>
    <w:rsid w:val="00FD0D3C"/>
    <w:rsid w:val="00FD0D50"/>
    <w:rsid w:val="00FD0E45"/>
    <w:rsid w:val="00FD0FB0"/>
    <w:rsid w:val="00FD0FF8"/>
    <w:rsid w:val="00FD103D"/>
    <w:rsid w:val="00FD13ED"/>
    <w:rsid w:val="00FD1427"/>
    <w:rsid w:val="00FD149E"/>
    <w:rsid w:val="00FD1570"/>
    <w:rsid w:val="00FD15F6"/>
    <w:rsid w:val="00FD165C"/>
    <w:rsid w:val="00FD176F"/>
    <w:rsid w:val="00FD1876"/>
    <w:rsid w:val="00FD1A77"/>
    <w:rsid w:val="00FD1A7B"/>
    <w:rsid w:val="00FD1A83"/>
    <w:rsid w:val="00FD1AA8"/>
    <w:rsid w:val="00FD1CB6"/>
    <w:rsid w:val="00FD1D26"/>
    <w:rsid w:val="00FD1D80"/>
    <w:rsid w:val="00FD1E5D"/>
    <w:rsid w:val="00FD1F0A"/>
    <w:rsid w:val="00FD2101"/>
    <w:rsid w:val="00FD2125"/>
    <w:rsid w:val="00FD2163"/>
    <w:rsid w:val="00FD216B"/>
    <w:rsid w:val="00FD217C"/>
    <w:rsid w:val="00FD21B8"/>
    <w:rsid w:val="00FD22B8"/>
    <w:rsid w:val="00FD23CA"/>
    <w:rsid w:val="00FD2556"/>
    <w:rsid w:val="00FD25EB"/>
    <w:rsid w:val="00FD26CB"/>
    <w:rsid w:val="00FD26D2"/>
    <w:rsid w:val="00FD26E8"/>
    <w:rsid w:val="00FD2795"/>
    <w:rsid w:val="00FD285D"/>
    <w:rsid w:val="00FD286E"/>
    <w:rsid w:val="00FD29F6"/>
    <w:rsid w:val="00FD2A94"/>
    <w:rsid w:val="00FD2B06"/>
    <w:rsid w:val="00FD2C7D"/>
    <w:rsid w:val="00FD2CE3"/>
    <w:rsid w:val="00FD2CE5"/>
    <w:rsid w:val="00FD2D3C"/>
    <w:rsid w:val="00FD2D85"/>
    <w:rsid w:val="00FD2E83"/>
    <w:rsid w:val="00FD3069"/>
    <w:rsid w:val="00FD311C"/>
    <w:rsid w:val="00FD3234"/>
    <w:rsid w:val="00FD333A"/>
    <w:rsid w:val="00FD35A8"/>
    <w:rsid w:val="00FD35D5"/>
    <w:rsid w:val="00FD35EB"/>
    <w:rsid w:val="00FD3641"/>
    <w:rsid w:val="00FD3716"/>
    <w:rsid w:val="00FD374C"/>
    <w:rsid w:val="00FD37FA"/>
    <w:rsid w:val="00FD380E"/>
    <w:rsid w:val="00FD382C"/>
    <w:rsid w:val="00FD3840"/>
    <w:rsid w:val="00FD38CB"/>
    <w:rsid w:val="00FD38D3"/>
    <w:rsid w:val="00FD3981"/>
    <w:rsid w:val="00FD3AD6"/>
    <w:rsid w:val="00FD3B2A"/>
    <w:rsid w:val="00FD3B9E"/>
    <w:rsid w:val="00FD3BA1"/>
    <w:rsid w:val="00FD3C3E"/>
    <w:rsid w:val="00FD3C93"/>
    <w:rsid w:val="00FD3CB9"/>
    <w:rsid w:val="00FD3D14"/>
    <w:rsid w:val="00FD3E44"/>
    <w:rsid w:val="00FD3E52"/>
    <w:rsid w:val="00FD3F1C"/>
    <w:rsid w:val="00FD3F75"/>
    <w:rsid w:val="00FD4075"/>
    <w:rsid w:val="00FD408A"/>
    <w:rsid w:val="00FD41AB"/>
    <w:rsid w:val="00FD41B1"/>
    <w:rsid w:val="00FD4275"/>
    <w:rsid w:val="00FD4385"/>
    <w:rsid w:val="00FD4450"/>
    <w:rsid w:val="00FD44AD"/>
    <w:rsid w:val="00FD4528"/>
    <w:rsid w:val="00FD458D"/>
    <w:rsid w:val="00FD46D6"/>
    <w:rsid w:val="00FD475B"/>
    <w:rsid w:val="00FD4764"/>
    <w:rsid w:val="00FD4767"/>
    <w:rsid w:val="00FD4888"/>
    <w:rsid w:val="00FD4892"/>
    <w:rsid w:val="00FD49CB"/>
    <w:rsid w:val="00FD4A2B"/>
    <w:rsid w:val="00FD4BA2"/>
    <w:rsid w:val="00FD4C27"/>
    <w:rsid w:val="00FD4C66"/>
    <w:rsid w:val="00FD4C82"/>
    <w:rsid w:val="00FD4CD1"/>
    <w:rsid w:val="00FD4D37"/>
    <w:rsid w:val="00FD4E1C"/>
    <w:rsid w:val="00FD4EFF"/>
    <w:rsid w:val="00FD4F0E"/>
    <w:rsid w:val="00FD4F6C"/>
    <w:rsid w:val="00FD4F96"/>
    <w:rsid w:val="00FD4FCC"/>
    <w:rsid w:val="00FD5039"/>
    <w:rsid w:val="00FD5102"/>
    <w:rsid w:val="00FD51F2"/>
    <w:rsid w:val="00FD525C"/>
    <w:rsid w:val="00FD52DA"/>
    <w:rsid w:val="00FD5320"/>
    <w:rsid w:val="00FD5322"/>
    <w:rsid w:val="00FD53A9"/>
    <w:rsid w:val="00FD5517"/>
    <w:rsid w:val="00FD558C"/>
    <w:rsid w:val="00FD559F"/>
    <w:rsid w:val="00FD55D6"/>
    <w:rsid w:val="00FD5745"/>
    <w:rsid w:val="00FD57C9"/>
    <w:rsid w:val="00FD580C"/>
    <w:rsid w:val="00FD590E"/>
    <w:rsid w:val="00FD5919"/>
    <w:rsid w:val="00FD5991"/>
    <w:rsid w:val="00FD5A58"/>
    <w:rsid w:val="00FD5A8F"/>
    <w:rsid w:val="00FD5B89"/>
    <w:rsid w:val="00FD5BBB"/>
    <w:rsid w:val="00FD5C66"/>
    <w:rsid w:val="00FD5CC0"/>
    <w:rsid w:val="00FD5D0E"/>
    <w:rsid w:val="00FD5DC9"/>
    <w:rsid w:val="00FD5E77"/>
    <w:rsid w:val="00FD5E9F"/>
    <w:rsid w:val="00FD5EB0"/>
    <w:rsid w:val="00FD6003"/>
    <w:rsid w:val="00FD60A3"/>
    <w:rsid w:val="00FD616A"/>
    <w:rsid w:val="00FD61C5"/>
    <w:rsid w:val="00FD61CA"/>
    <w:rsid w:val="00FD6225"/>
    <w:rsid w:val="00FD638D"/>
    <w:rsid w:val="00FD6470"/>
    <w:rsid w:val="00FD658A"/>
    <w:rsid w:val="00FD65D4"/>
    <w:rsid w:val="00FD65E7"/>
    <w:rsid w:val="00FD673D"/>
    <w:rsid w:val="00FD6783"/>
    <w:rsid w:val="00FD6920"/>
    <w:rsid w:val="00FD695B"/>
    <w:rsid w:val="00FD6961"/>
    <w:rsid w:val="00FD69DE"/>
    <w:rsid w:val="00FD6A38"/>
    <w:rsid w:val="00FD6AF6"/>
    <w:rsid w:val="00FD6B94"/>
    <w:rsid w:val="00FD6CA4"/>
    <w:rsid w:val="00FD6CB5"/>
    <w:rsid w:val="00FD6E98"/>
    <w:rsid w:val="00FD6EA2"/>
    <w:rsid w:val="00FD6EBA"/>
    <w:rsid w:val="00FD6EC5"/>
    <w:rsid w:val="00FD6EFE"/>
    <w:rsid w:val="00FD6F59"/>
    <w:rsid w:val="00FD71A8"/>
    <w:rsid w:val="00FD729C"/>
    <w:rsid w:val="00FD7366"/>
    <w:rsid w:val="00FD7368"/>
    <w:rsid w:val="00FD73C5"/>
    <w:rsid w:val="00FD7507"/>
    <w:rsid w:val="00FD754A"/>
    <w:rsid w:val="00FD76FB"/>
    <w:rsid w:val="00FD7798"/>
    <w:rsid w:val="00FD789B"/>
    <w:rsid w:val="00FD78A5"/>
    <w:rsid w:val="00FD797A"/>
    <w:rsid w:val="00FD7AE4"/>
    <w:rsid w:val="00FD7B5F"/>
    <w:rsid w:val="00FD7BA3"/>
    <w:rsid w:val="00FD7BA5"/>
    <w:rsid w:val="00FD7C88"/>
    <w:rsid w:val="00FD7D24"/>
    <w:rsid w:val="00FD7D6D"/>
    <w:rsid w:val="00FD7D8C"/>
    <w:rsid w:val="00FD7D93"/>
    <w:rsid w:val="00FD7F29"/>
    <w:rsid w:val="00FD7FE1"/>
    <w:rsid w:val="00FD7FE2"/>
    <w:rsid w:val="00FE0021"/>
    <w:rsid w:val="00FE0056"/>
    <w:rsid w:val="00FE0093"/>
    <w:rsid w:val="00FE00DA"/>
    <w:rsid w:val="00FE0148"/>
    <w:rsid w:val="00FE0221"/>
    <w:rsid w:val="00FE02A8"/>
    <w:rsid w:val="00FE0342"/>
    <w:rsid w:val="00FE035B"/>
    <w:rsid w:val="00FE035F"/>
    <w:rsid w:val="00FE040E"/>
    <w:rsid w:val="00FE0504"/>
    <w:rsid w:val="00FE0532"/>
    <w:rsid w:val="00FE05C3"/>
    <w:rsid w:val="00FE0737"/>
    <w:rsid w:val="00FE09D0"/>
    <w:rsid w:val="00FE09D8"/>
    <w:rsid w:val="00FE0A97"/>
    <w:rsid w:val="00FE0AB3"/>
    <w:rsid w:val="00FE0ABD"/>
    <w:rsid w:val="00FE0B06"/>
    <w:rsid w:val="00FE0BC0"/>
    <w:rsid w:val="00FE0C13"/>
    <w:rsid w:val="00FE0DF9"/>
    <w:rsid w:val="00FE0E65"/>
    <w:rsid w:val="00FE0F23"/>
    <w:rsid w:val="00FE107D"/>
    <w:rsid w:val="00FE1208"/>
    <w:rsid w:val="00FE1287"/>
    <w:rsid w:val="00FE1357"/>
    <w:rsid w:val="00FE1358"/>
    <w:rsid w:val="00FE1383"/>
    <w:rsid w:val="00FE13F5"/>
    <w:rsid w:val="00FE14F1"/>
    <w:rsid w:val="00FE14F9"/>
    <w:rsid w:val="00FE158C"/>
    <w:rsid w:val="00FE15A7"/>
    <w:rsid w:val="00FE1708"/>
    <w:rsid w:val="00FE1726"/>
    <w:rsid w:val="00FE1898"/>
    <w:rsid w:val="00FE1921"/>
    <w:rsid w:val="00FE1938"/>
    <w:rsid w:val="00FE1A13"/>
    <w:rsid w:val="00FE1AB9"/>
    <w:rsid w:val="00FE1BE9"/>
    <w:rsid w:val="00FE1C2A"/>
    <w:rsid w:val="00FE1CD5"/>
    <w:rsid w:val="00FE1CFF"/>
    <w:rsid w:val="00FE1D4E"/>
    <w:rsid w:val="00FE1E23"/>
    <w:rsid w:val="00FE1E37"/>
    <w:rsid w:val="00FE1E43"/>
    <w:rsid w:val="00FE1F25"/>
    <w:rsid w:val="00FE1F73"/>
    <w:rsid w:val="00FE2243"/>
    <w:rsid w:val="00FE2292"/>
    <w:rsid w:val="00FE22CD"/>
    <w:rsid w:val="00FE22F7"/>
    <w:rsid w:val="00FE23A4"/>
    <w:rsid w:val="00FE24F3"/>
    <w:rsid w:val="00FE254E"/>
    <w:rsid w:val="00FE2590"/>
    <w:rsid w:val="00FE25CA"/>
    <w:rsid w:val="00FE25DE"/>
    <w:rsid w:val="00FE27A9"/>
    <w:rsid w:val="00FE2A12"/>
    <w:rsid w:val="00FE2B3F"/>
    <w:rsid w:val="00FE2B72"/>
    <w:rsid w:val="00FE2BDB"/>
    <w:rsid w:val="00FE2C16"/>
    <w:rsid w:val="00FE2D76"/>
    <w:rsid w:val="00FE2DC3"/>
    <w:rsid w:val="00FE2E44"/>
    <w:rsid w:val="00FE2E51"/>
    <w:rsid w:val="00FE2E67"/>
    <w:rsid w:val="00FE2E7B"/>
    <w:rsid w:val="00FE2F1F"/>
    <w:rsid w:val="00FE2F52"/>
    <w:rsid w:val="00FE30AC"/>
    <w:rsid w:val="00FE3150"/>
    <w:rsid w:val="00FE3152"/>
    <w:rsid w:val="00FE32A1"/>
    <w:rsid w:val="00FE33E4"/>
    <w:rsid w:val="00FE33FF"/>
    <w:rsid w:val="00FE3457"/>
    <w:rsid w:val="00FE39A9"/>
    <w:rsid w:val="00FE39DC"/>
    <w:rsid w:val="00FE3A7F"/>
    <w:rsid w:val="00FE3A9B"/>
    <w:rsid w:val="00FE3B6B"/>
    <w:rsid w:val="00FE3BF6"/>
    <w:rsid w:val="00FE3D49"/>
    <w:rsid w:val="00FE3D58"/>
    <w:rsid w:val="00FE3DC7"/>
    <w:rsid w:val="00FE3EA6"/>
    <w:rsid w:val="00FE3EAF"/>
    <w:rsid w:val="00FE3FC3"/>
    <w:rsid w:val="00FE4042"/>
    <w:rsid w:val="00FE4050"/>
    <w:rsid w:val="00FE412B"/>
    <w:rsid w:val="00FE4130"/>
    <w:rsid w:val="00FE4176"/>
    <w:rsid w:val="00FE4280"/>
    <w:rsid w:val="00FE443C"/>
    <w:rsid w:val="00FE4541"/>
    <w:rsid w:val="00FE457F"/>
    <w:rsid w:val="00FE45A7"/>
    <w:rsid w:val="00FE46B4"/>
    <w:rsid w:val="00FE48C1"/>
    <w:rsid w:val="00FE49D3"/>
    <w:rsid w:val="00FE49DB"/>
    <w:rsid w:val="00FE4AA7"/>
    <w:rsid w:val="00FE4AD6"/>
    <w:rsid w:val="00FE4B15"/>
    <w:rsid w:val="00FE4B72"/>
    <w:rsid w:val="00FE4D31"/>
    <w:rsid w:val="00FE4D65"/>
    <w:rsid w:val="00FE4D7D"/>
    <w:rsid w:val="00FE4E14"/>
    <w:rsid w:val="00FE4EA4"/>
    <w:rsid w:val="00FE4F80"/>
    <w:rsid w:val="00FE4F8B"/>
    <w:rsid w:val="00FE4FCB"/>
    <w:rsid w:val="00FE503C"/>
    <w:rsid w:val="00FE5093"/>
    <w:rsid w:val="00FE5226"/>
    <w:rsid w:val="00FE5408"/>
    <w:rsid w:val="00FE5452"/>
    <w:rsid w:val="00FE55FD"/>
    <w:rsid w:val="00FE5A28"/>
    <w:rsid w:val="00FE5A5A"/>
    <w:rsid w:val="00FE5C68"/>
    <w:rsid w:val="00FE5DD5"/>
    <w:rsid w:val="00FE5DD7"/>
    <w:rsid w:val="00FE5E4A"/>
    <w:rsid w:val="00FE5E58"/>
    <w:rsid w:val="00FE5EA8"/>
    <w:rsid w:val="00FE60AD"/>
    <w:rsid w:val="00FE60BC"/>
    <w:rsid w:val="00FE60D5"/>
    <w:rsid w:val="00FE62AE"/>
    <w:rsid w:val="00FE6335"/>
    <w:rsid w:val="00FE639D"/>
    <w:rsid w:val="00FE63B7"/>
    <w:rsid w:val="00FE6493"/>
    <w:rsid w:val="00FE64D1"/>
    <w:rsid w:val="00FE64D6"/>
    <w:rsid w:val="00FE6507"/>
    <w:rsid w:val="00FE6542"/>
    <w:rsid w:val="00FE6647"/>
    <w:rsid w:val="00FE6700"/>
    <w:rsid w:val="00FE681D"/>
    <w:rsid w:val="00FE68ED"/>
    <w:rsid w:val="00FE6990"/>
    <w:rsid w:val="00FE6A7B"/>
    <w:rsid w:val="00FE6AC9"/>
    <w:rsid w:val="00FE6C0A"/>
    <w:rsid w:val="00FE6C5B"/>
    <w:rsid w:val="00FE6DDF"/>
    <w:rsid w:val="00FE6FC8"/>
    <w:rsid w:val="00FE7073"/>
    <w:rsid w:val="00FE7086"/>
    <w:rsid w:val="00FE70A7"/>
    <w:rsid w:val="00FE7175"/>
    <w:rsid w:val="00FE71AD"/>
    <w:rsid w:val="00FE71B4"/>
    <w:rsid w:val="00FE7257"/>
    <w:rsid w:val="00FE72CD"/>
    <w:rsid w:val="00FE7338"/>
    <w:rsid w:val="00FE73EB"/>
    <w:rsid w:val="00FE74D2"/>
    <w:rsid w:val="00FE7615"/>
    <w:rsid w:val="00FE777F"/>
    <w:rsid w:val="00FE7795"/>
    <w:rsid w:val="00FE7985"/>
    <w:rsid w:val="00FE7A8B"/>
    <w:rsid w:val="00FE7A94"/>
    <w:rsid w:val="00FE7AD1"/>
    <w:rsid w:val="00FE7CD3"/>
    <w:rsid w:val="00FE7E01"/>
    <w:rsid w:val="00FE7E50"/>
    <w:rsid w:val="00FE7E5C"/>
    <w:rsid w:val="00FE7E83"/>
    <w:rsid w:val="00FE7F78"/>
    <w:rsid w:val="00FE7F7F"/>
    <w:rsid w:val="00FE7FCE"/>
    <w:rsid w:val="00FF0032"/>
    <w:rsid w:val="00FF0137"/>
    <w:rsid w:val="00FF01A1"/>
    <w:rsid w:val="00FF0204"/>
    <w:rsid w:val="00FF0239"/>
    <w:rsid w:val="00FF0260"/>
    <w:rsid w:val="00FF02F8"/>
    <w:rsid w:val="00FF0336"/>
    <w:rsid w:val="00FF034E"/>
    <w:rsid w:val="00FF0368"/>
    <w:rsid w:val="00FF0370"/>
    <w:rsid w:val="00FF0889"/>
    <w:rsid w:val="00FF08AF"/>
    <w:rsid w:val="00FF08C4"/>
    <w:rsid w:val="00FF09B7"/>
    <w:rsid w:val="00FF0A61"/>
    <w:rsid w:val="00FF0AB3"/>
    <w:rsid w:val="00FF0B3F"/>
    <w:rsid w:val="00FF0BFE"/>
    <w:rsid w:val="00FF0C15"/>
    <w:rsid w:val="00FF0C51"/>
    <w:rsid w:val="00FF0C76"/>
    <w:rsid w:val="00FF0CCC"/>
    <w:rsid w:val="00FF0D95"/>
    <w:rsid w:val="00FF0DFB"/>
    <w:rsid w:val="00FF0E00"/>
    <w:rsid w:val="00FF0E4E"/>
    <w:rsid w:val="00FF0E93"/>
    <w:rsid w:val="00FF0EDC"/>
    <w:rsid w:val="00FF110C"/>
    <w:rsid w:val="00FF116F"/>
    <w:rsid w:val="00FF1240"/>
    <w:rsid w:val="00FF1338"/>
    <w:rsid w:val="00FF1393"/>
    <w:rsid w:val="00FF160B"/>
    <w:rsid w:val="00FF1627"/>
    <w:rsid w:val="00FF1797"/>
    <w:rsid w:val="00FF1881"/>
    <w:rsid w:val="00FF188B"/>
    <w:rsid w:val="00FF190F"/>
    <w:rsid w:val="00FF19B0"/>
    <w:rsid w:val="00FF1A00"/>
    <w:rsid w:val="00FF1A15"/>
    <w:rsid w:val="00FF1A46"/>
    <w:rsid w:val="00FF1A80"/>
    <w:rsid w:val="00FF1AC1"/>
    <w:rsid w:val="00FF1B24"/>
    <w:rsid w:val="00FF1B45"/>
    <w:rsid w:val="00FF1C36"/>
    <w:rsid w:val="00FF1C55"/>
    <w:rsid w:val="00FF1C9D"/>
    <w:rsid w:val="00FF1CF5"/>
    <w:rsid w:val="00FF1DE9"/>
    <w:rsid w:val="00FF2069"/>
    <w:rsid w:val="00FF2070"/>
    <w:rsid w:val="00FF20B7"/>
    <w:rsid w:val="00FF20CF"/>
    <w:rsid w:val="00FF2152"/>
    <w:rsid w:val="00FF2280"/>
    <w:rsid w:val="00FF22EF"/>
    <w:rsid w:val="00FF234F"/>
    <w:rsid w:val="00FF23D7"/>
    <w:rsid w:val="00FF24D0"/>
    <w:rsid w:val="00FF264C"/>
    <w:rsid w:val="00FF26B3"/>
    <w:rsid w:val="00FF26B4"/>
    <w:rsid w:val="00FF272B"/>
    <w:rsid w:val="00FF285C"/>
    <w:rsid w:val="00FF2911"/>
    <w:rsid w:val="00FF2953"/>
    <w:rsid w:val="00FF2A64"/>
    <w:rsid w:val="00FF2BBF"/>
    <w:rsid w:val="00FF2BCE"/>
    <w:rsid w:val="00FF2C02"/>
    <w:rsid w:val="00FF2CE2"/>
    <w:rsid w:val="00FF2D8B"/>
    <w:rsid w:val="00FF2D97"/>
    <w:rsid w:val="00FF2F2F"/>
    <w:rsid w:val="00FF2F46"/>
    <w:rsid w:val="00FF31BD"/>
    <w:rsid w:val="00FF31C7"/>
    <w:rsid w:val="00FF321B"/>
    <w:rsid w:val="00FF32E2"/>
    <w:rsid w:val="00FF3476"/>
    <w:rsid w:val="00FF3599"/>
    <w:rsid w:val="00FF3695"/>
    <w:rsid w:val="00FF37A1"/>
    <w:rsid w:val="00FF3854"/>
    <w:rsid w:val="00FF3927"/>
    <w:rsid w:val="00FF3950"/>
    <w:rsid w:val="00FF396C"/>
    <w:rsid w:val="00FF39BA"/>
    <w:rsid w:val="00FF39BF"/>
    <w:rsid w:val="00FF3A1C"/>
    <w:rsid w:val="00FF3A3E"/>
    <w:rsid w:val="00FF3A7E"/>
    <w:rsid w:val="00FF3D6B"/>
    <w:rsid w:val="00FF3D75"/>
    <w:rsid w:val="00FF3D96"/>
    <w:rsid w:val="00FF3DA3"/>
    <w:rsid w:val="00FF3E23"/>
    <w:rsid w:val="00FF3F20"/>
    <w:rsid w:val="00FF40A1"/>
    <w:rsid w:val="00FF40A2"/>
    <w:rsid w:val="00FF4182"/>
    <w:rsid w:val="00FF4287"/>
    <w:rsid w:val="00FF45C4"/>
    <w:rsid w:val="00FF481E"/>
    <w:rsid w:val="00FF4859"/>
    <w:rsid w:val="00FF4906"/>
    <w:rsid w:val="00FF4AEC"/>
    <w:rsid w:val="00FF4AF2"/>
    <w:rsid w:val="00FF4B92"/>
    <w:rsid w:val="00FF4BA2"/>
    <w:rsid w:val="00FF4C2F"/>
    <w:rsid w:val="00FF4C3D"/>
    <w:rsid w:val="00FF4CF0"/>
    <w:rsid w:val="00FF4D15"/>
    <w:rsid w:val="00FF4EAE"/>
    <w:rsid w:val="00FF4ECB"/>
    <w:rsid w:val="00FF5087"/>
    <w:rsid w:val="00FF50C3"/>
    <w:rsid w:val="00FF5182"/>
    <w:rsid w:val="00FF5186"/>
    <w:rsid w:val="00FF51CA"/>
    <w:rsid w:val="00FF51E1"/>
    <w:rsid w:val="00FF529F"/>
    <w:rsid w:val="00FF5349"/>
    <w:rsid w:val="00FF535C"/>
    <w:rsid w:val="00FF53E7"/>
    <w:rsid w:val="00FF53F4"/>
    <w:rsid w:val="00FF5442"/>
    <w:rsid w:val="00FF549F"/>
    <w:rsid w:val="00FF54A1"/>
    <w:rsid w:val="00FF5541"/>
    <w:rsid w:val="00FF5573"/>
    <w:rsid w:val="00FF5617"/>
    <w:rsid w:val="00FF56AB"/>
    <w:rsid w:val="00FF57D8"/>
    <w:rsid w:val="00FF582B"/>
    <w:rsid w:val="00FF58EF"/>
    <w:rsid w:val="00FF5A3D"/>
    <w:rsid w:val="00FF5B16"/>
    <w:rsid w:val="00FF5BFA"/>
    <w:rsid w:val="00FF5C9F"/>
    <w:rsid w:val="00FF5CC9"/>
    <w:rsid w:val="00FF5D4B"/>
    <w:rsid w:val="00FF5DF2"/>
    <w:rsid w:val="00FF5DFF"/>
    <w:rsid w:val="00FF5E90"/>
    <w:rsid w:val="00FF5EB3"/>
    <w:rsid w:val="00FF5F23"/>
    <w:rsid w:val="00FF5F6B"/>
    <w:rsid w:val="00FF601E"/>
    <w:rsid w:val="00FF60DD"/>
    <w:rsid w:val="00FF612D"/>
    <w:rsid w:val="00FF614F"/>
    <w:rsid w:val="00FF61EA"/>
    <w:rsid w:val="00FF627E"/>
    <w:rsid w:val="00FF6362"/>
    <w:rsid w:val="00FF6378"/>
    <w:rsid w:val="00FF64F6"/>
    <w:rsid w:val="00FF65FA"/>
    <w:rsid w:val="00FF66AE"/>
    <w:rsid w:val="00FF67E0"/>
    <w:rsid w:val="00FF6818"/>
    <w:rsid w:val="00FF6840"/>
    <w:rsid w:val="00FF6860"/>
    <w:rsid w:val="00FF691A"/>
    <w:rsid w:val="00FF692D"/>
    <w:rsid w:val="00FF6A9F"/>
    <w:rsid w:val="00FF6ABF"/>
    <w:rsid w:val="00FF6B70"/>
    <w:rsid w:val="00FF6B9B"/>
    <w:rsid w:val="00FF6C23"/>
    <w:rsid w:val="00FF6C25"/>
    <w:rsid w:val="00FF6C49"/>
    <w:rsid w:val="00FF6E25"/>
    <w:rsid w:val="00FF6EBF"/>
    <w:rsid w:val="00FF704C"/>
    <w:rsid w:val="00FF70AD"/>
    <w:rsid w:val="00FF714C"/>
    <w:rsid w:val="00FF71C0"/>
    <w:rsid w:val="00FF7221"/>
    <w:rsid w:val="00FF7290"/>
    <w:rsid w:val="00FF72C0"/>
    <w:rsid w:val="00FF7578"/>
    <w:rsid w:val="00FF7592"/>
    <w:rsid w:val="00FF75C0"/>
    <w:rsid w:val="00FF75DD"/>
    <w:rsid w:val="00FF764A"/>
    <w:rsid w:val="00FF769B"/>
    <w:rsid w:val="00FF76FF"/>
    <w:rsid w:val="00FF7734"/>
    <w:rsid w:val="00FF777D"/>
    <w:rsid w:val="00FF7819"/>
    <w:rsid w:val="00FF7878"/>
    <w:rsid w:val="00FF7921"/>
    <w:rsid w:val="00FF7963"/>
    <w:rsid w:val="00FF7CF4"/>
    <w:rsid w:val="00FF7D8A"/>
    <w:rsid w:val="00FF7DA2"/>
    <w:rsid w:val="00FF7E0A"/>
    <w:rsid w:val="00FF7E41"/>
    <w:rsid w:val="00FF7E47"/>
    <w:rsid w:val="00FF7EE2"/>
    <w:rsid w:val="00FF7FD8"/>
    <w:rsid w:val="013992C5"/>
    <w:rsid w:val="0152ACCF"/>
    <w:rsid w:val="01561ED7"/>
    <w:rsid w:val="0157219B"/>
    <w:rsid w:val="015DCC3F"/>
    <w:rsid w:val="018290AF"/>
    <w:rsid w:val="018F61FB"/>
    <w:rsid w:val="01A65926"/>
    <w:rsid w:val="01CC2A35"/>
    <w:rsid w:val="01D5F78A"/>
    <w:rsid w:val="01ED9BE7"/>
    <w:rsid w:val="02195B88"/>
    <w:rsid w:val="021A9DF8"/>
    <w:rsid w:val="0240817B"/>
    <w:rsid w:val="0259E340"/>
    <w:rsid w:val="025BEB74"/>
    <w:rsid w:val="0264C17E"/>
    <w:rsid w:val="02949427"/>
    <w:rsid w:val="029A4DBE"/>
    <w:rsid w:val="02A2AEC0"/>
    <w:rsid w:val="02ACD5B8"/>
    <w:rsid w:val="02B48717"/>
    <w:rsid w:val="02B89F87"/>
    <w:rsid w:val="02BDA78A"/>
    <w:rsid w:val="02D60317"/>
    <w:rsid w:val="02E7F882"/>
    <w:rsid w:val="032ACC94"/>
    <w:rsid w:val="0360771E"/>
    <w:rsid w:val="036998FE"/>
    <w:rsid w:val="03857394"/>
    <w:rsid w:val="03AB01B4"/>
    <w:rsid w:val="03D059F2"/>
    <w:rsid w:val="03E50A0A"/>
    <w:rsid w:val="03EE737E"/>
    <w:rsid w:val="0408E26C"/>
    <w:rsid w:val="0417660E"/>
    <w:rsid w:val="043DC051"/>
    <w:rsid w:val="046D2259"/>
    <w:rsid w:val="047BD343"/>
    <w:rsid w:val="04953F94"/>
    <w:rsid w:val="04ADC603"/>
    <w:rsid w:val="04CD436F"/>
    <w:rsid w:val="04E15D5D"/>
    <w:rsid w:val="04EAF718"/>
    <w:rsid w:val="04FC432D"/>
    <w:rsid w:val="05052C78"/>
    <w:rsid w:val="050771CD"/>
    <w:rsid w:val="052D6B2C"/>
    <w:rsid w:val="0542F742"/>
    <w:rsid w:val="0561D1D4"/>
    <w:rsid w:val="05667E4F"/>
    <w:rsid w:val="056E1939"/>
    <w:rsid w:val="0573D060"/>
    <w:rsid w:val="05772EE1"/>
    <w:rsid w:val="059A421D"/>
    <w:rsid w:val="05AF8344"/>
    <w:rsid w:val="05C5F906"/>
    <w:rsid w:val="05CE00E9"/>
    <w:rsid w:val="05CFD010"/>
    <w:rsid w:val="05DD099D"/>
    <w:rsid w:val="05E35BCE"/>
    <w:rsid w:val="060614DB"/>
    <w:rsid w:val="06179B53"/>
    <w:rsid w:val="0622B77D"/>
    <w:rsid w:val="063F3E88"/>
    <w:rsid w:val="065BD9A8"/>
    <w:rsid w:val="065C634B"/>
    <w:rsid w:val="067C748D"/>
    <w:rsid w:val="0693F894"/>
    <w:rsid w:val="06BC9629"/>
    <w:rsid w:val="06BCD992"/>
    <w:rsid w:val="06DD7559"/>
    <w:rsid w:val="06E55C4D"/>
    <w:rsid w:val="06EF2DA6"/>
    <w:rsid w:val="07027B78"/>
    <w:rsid w:val="071A5327"/>
    <w:rsid w:val="0723CC02"/>
    <w:rsid w:val="075B3E8E"/>
    <w:rsid w:val="0771E992"/>
    <w:rsid w:val="077FC369"/>
    <w:rsid w:val="07835B9A"/>
    <w:rsid w:val="0786EF4A"/>
    <w:rsid w:val="079537B8"/>
    <w:rsid w:val="079E794E"/>
    <w:rsid w:val="07A151E7"/>
    <w:rsid w:val="07ABAC35"/>
    <w:rsid w:val="07D9645E"/>
    <w:rsid w:val="07E10C0F"/>
    <w:rsid w:val="07E71B46"/>
    <w:rsid w:val="07EE94C9"/>
    <w:rsid w:val="081ECC83"/>
    <w:rsid w:val="0847D6B0"/>
    <w:rsid w:val="0869C224"/>
    <w:rsid w:val="08730F72"/>
    <w:rsid w:val="087F31C3"/>
    <w:rsid w:val="08906379"/>
    <w:rsid w:val="0898A9E2"/>
    <w:rsid w:val="08EF9B7E"/>
    <w:rsid w:val="0911A499"/>
    <w:rsid w:val="093D07A7"/>
    <w:rsid w:val="0941D054"/>
    <w:rsid w:val="0960F9F8"/>
    <w:rsid w:val="0963C5F7"/>
    <w:rsid w:val="09656E2B"/>
    <w:rsid w:val="096AE085"/>
    <w:rsid w:val="099E59C5"/>
    <w:rsid w:val="09A8511D"/>
    <w:rsid w:val="09ACFDD0"/>
    <w:rsid w:val="09BE583E"/>
    <w:rsid w:val="09C55C44"/>
    <w:rsid w:val="09E04FB8"/>
    <w:rsid w:val="09FB61AE"/>
    <w:rsid w:val="0A1C3958"/>
    <w:rsid w:val="0A24A95B"/>
    <w:rsid w:val="0A3A6254"/>
    <w:rsid w:val="0A3AC726"/>
    <w:rsid w:val="0A608EA0"/>
    <w:rsid w:val="0ACD5B5A"/>
    <w:rsid w:val="0ADD320D"/>
    <w:rsid w:val="0AE0AC7F"/>
    <w:rsid w:val="0AF9E526"/>
    <w:rsid w:val="0B1DDF06"/>
    <w:rsid w:val="0B3176BA"/>
    <w:rsid w:val="0B3FA2FB"/>
    <w:rsid w:val="0B600586"/>
    <w:rsid w:val="0B6C4A97"/>
    <w:rsid w:val="0B87E797"/>
    <w:rsid w:val="0B923F93"/>
    <w:rsid w:val="0BA4A25A"/>
    <w:rsid w:val="0BA58C1C"/>
    <w:rsid w:val="0BF10600"/>
    <w:rsid w:val="0BF453FF"/>
    <w:rsid w:val="0C0FF431"/>
    <w:rsid w:val="0C1083BB"/>
    <w:rsid w:val="0C709C10"/>
    <w:rsid w:val="0C9C993C"/>
    <w:rsid w:val="0CB841E6"/>
    <w:rsid w:val="0CBC93B5"/>
    <w:rsid w:val="0CD3F5AA"/>
    <w:rsid w:val="0D1D1A7E"/>
    <w:rsid w:val="0D2CC05C"/>
    <w:rsid w:val="0D5AF8B7"/>
    <w:rsid w:val="0D656885"/>
    <w:rsid w:val="0D943444"/>
    <w:rsid w:val="0D953A6D"/>
    <w:rsid w:val="0DA41753"/>
    <w:rsid w:val="0DB5C8DF"/>
    <w:rsid w:val="0DD2AF1F"/>
    <w:rsid w:val="0DD60FE9"/>
    <w:rsid w:val="0E09E84B"/>
    <w:rsid w:val="0E0F8DF2"/>
    <w:rsid w:val="0E293B85"/>
    <w:rsid w:val="0E2D9EFF"/>
    <w:rsid w:val="0E2EB88B"/>
    <w:rsid w:val="0E53B2FA"/>
    <w:rsid w:val="0E7A2BD4"/>
    <w:rsid w:val="0E7BBD98"/>
    <w:rsid w:val="0ED4F1A0"/>
    <w:rsid w:val="0F05DD80"/>
    <w:rsid w:val="0F19037F"/>
    <w:rsid w:val="0F41EEAC"/>
    <w:rsid w:val="0F58DF9E"/>
    <w:rsid w:val="0F7183D8"/>
    <w:rsid w:val="0FAEBBC1"/>
    <w:rsid w:val="0FC29D8F"/>
    <w:rsid w:val="100A9EDC"/>
    <w:rsid w:val="100CBE82"/>
    <w:rsid w:val="1019AA15"/>
    <w:rsid w:val="101B4981"/>
    <w:rsid w:val="1024870D"/>
    <w:rsid w:val="1033AAA7"/>
    <w:rsid w:val="109F9109"/>
    <w:rsid w:val="10ADC5C0"/>
    <w:rsid w:val="10B223BB"/>
    <w:rsid w:val="10C6B0C9"/>
    <w:rsid w:val="10E19DBB"/>
    <w:rsid w:val="110E1BCB"/>
    <w:rsid w:val="11132BE0"/>
    <w:rsid w:val="1122BE8F"/>
    <w:rsid w:val="11242877"/>
    <w:rsid w:val="114DF080"/>
    <w:rsid w:val="1166B880"/>
    <w:rsid w:val="11C1551E"/>
    <w:rsid w:val="11CCEB92"/>
    <w:rsid w:val="11D450F1"/>
    <w:rsid w:val="11E42E6D"/>
    <w:rsid w:val="11ED30D4"/>
    <w:rsid w:val="1204171E"/>
    <w:rsid w:val="122ED9EB"/>
    <w:rsid w:val="123E730A"/>
    <w:rsid w:val="1264BA48"/>
    <w:rsid w:val="12686FB0"/>
    <w:rsid w:val="127C3FE7"/>
    <w:rsid w:val="1292E9BD"/>
    <w:rsid w:val="12A647F3"/>
    <w:rsid w:val="12AF874D"/>
    <w:rsid w:val="12B75DC5"/>
    <w:rsid w:val="12B887D1"/>
    <w:rsid w:val="12C938C3"/>
    <w:rsid w:val="12D7C0F6"/>
    <w:rsid w:val="133D673B"/>
    <w:rsid w:val="13478E8A"/>
    <w:rsid w:val="1355FB13"/>
    <w:rsid w:val="136EA119"/>
    <w:rsid w:val="13815800"/>
    <w:rsid w:val="13D26943"/>
    <w:rsid w:val="13ED2ABB"/>
    <w:rsid w:val="140A6BDE"/>
    <w:rsid w:val="14472CEF"/>
    <w:rsid w:val="1479B829"/>
    <w:rsid w:val="148B2E1E"/>
    <w:rsid w:val="149B69DF"/>
    <w:rsid w:val="14EA508E"/>
    <w:rsid w:val="1558F99E"/>
    <w:rsid w:val="15622ECA"/>
    <w:rsid w:val="156E5242"/>
    <w:rsid w:val="15A30593"/>
    <w:rsid w:val="15B39510"/>
    <w:rsid w:val="15E3C5EB"/>
    <w:rsid w:val="160074BD"/>
    <w:rsid w:val="160D3CAE"/>
    <w:rsid w:val="1617CE2E"/>
    <w:rsid w:val="162831FA"/>
    <w:rsid w:val="1634976B"/>
    <w:rsid w:val="163DE5D2"/>
    <w:rsid w:val="1640E2C4"/>
    <w:rsid w:val="1645F1A7"/>
    <w:rsid w:val="1646E328"/>
    <w:rsid w:val="165D4402"/>
    <w:rsid w:val="167980B6"/>
    <w:rsid w:val="16A9E36C"/>
    <w:rsid w:val="16AF0453"/>
    <w:rsid w:val="16FCFD17"/>
    <w:rsid w:val="17004CB8"/>
    <w:rsid w:val="17509D3B"/>
    <w:rsid w:val="177C118F"/>
    <w:rsid w:val="179BE281"/>
    <w:rsid w:val="17B558EA"/>
    <w:rsid w:val="17D4091E"/>
    <w:rsid w:val="17DBF5EE"/>
    <w:rsid w:val="17DE33D1"/>
    <w:rsid w:val="17FAA7FA"/>
    <w:rsid w:val="17FEE1B5"/>
    <w:rsid w:val="1808278F"/>
    <w:rsid w:val="1820ADF4"/>
    <w:rsid w:val="182E786E"/>
    <w:rsid w:val="183D6241"/>
    <w:rsid w:val="18572B70"/>
    <w:rsid w:val="186A7143"/>
    <w:rsid w:val="18846069"/>
    <w:rsid w:val="18889CCB"/>
    <w:rsid w:val="188D61C8"/>
    <w:rsid w:val="188ED14B"/>
    <w:rsid w:val="18982E79"/>
    <w:rsid w:val="189E836B"/>
    <w:rsid w:val="18A1CFB7"/>
    <w:rsid w:val="18AB7AC4"/>
    <w:rsid w:val="18BE368D"/>
    <w:rsid w:val="18E8EE02"/>
    <w:rsid w:val="18E970FD"/>
    <w:rsid w:val="18F8FD9C"/>
    <w:rsid w:val="191836A9"/>
    <w:rsid w:val="19222989"/>
    <w:rsid w:val="192B8ED0"/>
    <w:rsid w:val="192FB3C3"/>
    <w:rsid w:val="194C11C0"/>
    <w:rsid w:val="19A9A4B0"/>
    <w:rsid w:val="19C3AEFF"/>
    <w:rsid w:val="19E6CC42"/>
    <w:rsid w:val="1A2D8E50"/>
    <w:rsid w:val="1A4367A8"/>
    <w:rsid w:val="1A68D445"/>
    <w:rsid w:val="1A834211"/>
    <w:rsid w:val="1A8869C8"/>
    <w:rsid w:val="1A9E766B"/>
    <w:rsid w:val="1AA6D80B"/>
    <w:rsid w:val="1AB54538"/>
    <w:rsid w:val="1AB74AD0"/>
    <w:rsid w:val="1AB76051"/>
    <w:rsid w:val="1AC129FD"/>
    <w:rsid w:val="1ADAD373"/>
    <w:rsid w:val="1AF1F82A"/>
    <w:rsid w:val="1AF5FE4C"/>
    <w:rsid w:val="1AFE0182"/>
    <w:rsid w:val="1B07036B"/>
    <w:rsid w:val="1B3927E1"/>
    <w:rsid w:val="1B5A9250"/>
    <w:rsid w:val="1B5C3098"/>
    <w:rsid w:val="1B7465F6"/>
    <w:rsid w:val="1BB7D559"/>
    <w:rsid w:val="1BCBC1A5"/>
    <w:rsid w:val="1BDD7DBB"/>
    <w:rsid w:val="1BEE9CC7"/>
    <w:rsid w:val="1C021DE1"/>
    <w:rsid w:val="1C606D8E"/>
    <w:rsid w:val="1C633138"/>
    <w:rsid w:val="1C66A45A"/>
    <w:rsid w:val="1C6909B3"/>
    <w:rsid w:val="1C6E7DB4"/>
    <w:rsid w:val="1C7CF987"/>
    <w:rsid w:val="1C8A29AD"/>
    <w:rsid w:val="1CAF6711"/>
    <w:rsid w:val="1CE89181"/>
    <w:rsid w:val="1D27094D"/>
    <w:rsid w:val="1D5E934E"/>
    <w:rsid w:val="1D61ABD3"/>
    <w:rsid w:val="1DC716D8"/>
    <w:rsid w:val="1DEA0635"/>
    <w:rsid w:val="1E0FE5D4"/>
    <w:rsid w:val="1E1335A2"/>
    <w:rsid w:val="1E235043"/>
    <w:rsid w:val="1E2CA0EF"/>
    <w:rsid w:val="1E4EBBDE"/>
    <w:rsid w:val="1E66F7ED"/>
    <w:rsid w:val="1E814628"/>
    <w:rsid w:val="1EA3C823"/>
    <w:rsid w:val="1EC5D65F"/>
    <w:rsid w:val="1ED223B8"/>
    <w:rsid w:val="1ED5DE84"/>
    <w:rsid w:val="1EDAA04A"/>
    <w:rsid w:val="1EFAC084"/>
    <w:rsid w:val="1F142175"/>
    <w:rsid w:val="1F3CC328"/>
    <w:rsid w:val="1F3FD051"/>
    <w:rsid w:val="1F445A32"/>
    <w:rsid w:val="1F448414"/>
    <w:rsid w:val="1F863BCE"/>
    <w:rsid w:val="1F8AA752"/>
    <w:rsid w:val="1F972803"/>
    <w:rsid w:val="1F9B94B2"/>
    <w:rsid w:val="1FA98B2F"/>
    <w:rsid w:val="1FAF920E"/>
    <w:rsid w:val="1FCB8E22"/>
    <w:rsid w:val="1FE64BA3"/>
    <w:rsid w:val="20251D32"/>
    <w:rsid w:val="203659A4"/>
    <w:rsid w:val="209917C9"/>
    <w:rsid w:val="20A2D38E"/>
    <w:rsid w:val="20A31366"/>
    <w:rsid w:val="20C80237"/>
    <w:rsid w:val="20DC8FDA"/>
    <w:rsid w:val="20ECA318"/>
    <w:rsid w:val="20F8BE64"/>
    <w:rsid w:val="2117882B"/>
    <w:rsid w:val="212261E2"/>
    <w:rsid w:val="214A9EF5"/>
    <w:rsid w:val="2167C20C"/>
    <w:rsid w:val="217D7D76"/>
    <w:rsid w:val="21E61151"/>
    <w:rsid w:val="222F5A7A"/>
    <w:rsid w:val="2240BFC8"/>
    <w:rsid w:val="224EA0A0"/>
    <w:rsid w:val="226142E2"/>
    <w:rsid w:val="226F6CFA"/>
    <w:rsid w:val="22701920"/>
    <w:rsid w:val="228FDD8C"/>
    <w:rsid w:val="229E4481"/>
    <w:rsid w:val="22A6ACA4"/>
    <w:rsid w:val="2309359E"/>
    <w:rsid w:val="23135500"/>
    <w:rsid w:val="231F8CE1"/>
    <w:rsid w:val="2352029A"/>
    <w:rsid w:val="2352445A"/>
    <w:rsid w:val="23765AFE"/>
    <w:rsid w:val="2388E644"/>
    <w:rsid w:val="23983DDC"/>
    <w:rsid w:val="23B7697C"/>
    <w:rsid w:val="23F24935"/>
    <w:rsid w:val="2403650A"/>
    <w:rsid w:val="242205D0"/>
    <w:rsid w:val="242732DE"/>
    <w:rsid w:val="243A4F86"/>
    <w:rsid w:val="244FCD9B"/>
    <w:rsid w:val="246199AF"/>
    <w:rsid w:val="24632F64"/>
    <w:rsid w:val="246B8BE2"/>
    <w:rsid w:val="24900F69"/>
    <w:rsid w:val="24941754"/>
    <w:rsid w:val="24B480B6"/>
    <w:rsid w:val="24C5EA82"/>
    <w:rsid w:val="24EC1F05"/>
    <w:rsid w:val="24FB9C93"/>
    <w:rsid w:val="2501E166"/>
    <w:rsid w:val="25675EFD"/>
    <w:rsid w:val="2574F5E8"/>
    <w:rsid w:val="257A0C2C"/>
    <w:rsid w:val="25A2BB5D"/>
    <w:rsid w:val="25BB8509"/>
    <w:rsid w:val="25C99FCC"/>
    <w:rsid w:val="25CF8E78"/>
    <w:rsid w:val="25DDCC38"/>
    <w:rsid w:val="25F47EF2"/>
    <w:rsid w:val="26234DFA"/>
    <w:rsid w:val="263A25DF"/>
    <w:rsid w:val="2653C46E"/>
    <w:rsid w:val="26614AD8"/>
    <w:rsid w:val="2662A324"/>
    <w:rsid w:val="266DD857"/>
    <w:rsid w:val="2698298F"/>
    <w:rsid w:val="26A74705"/>
    <w:rsid w:val="26AC59BE"/>
    <w:rsid w:val="26ADCFE6"/>
    <w:rsid w:val="26C068B9"/>
    <w:rsid w:val="26C501EE"/>
    <w:rsid w:val="26C8CD87"/>
    <w:rsid w:val="26E6A19B"/>
    <w:rsid w:val="26FDDA4B"/>
    <w:rsid w:val="27163B86"/>
    <w:rsid w:val="272FA477"/>
    <w:rsid w:val="274E72DF"/>
    <w:rsid w:val="2751D8E3"/>
    <w:rsid w:val="278D3091"/>
    <w:rsid w:val="27A0EF8B"/>
    <w:rsid w:val="27FA65EE"/>
    <w:rsid w:val="27FF90ED"/>
    <w:rsid w:val="2849FB73"/>
    <w:rsid w:val="28CD6D82"/>
    <w:rsid w:val="28DC3A2F"/>
    <w:rsid w:val="28EF5AEA"/>
    <w:rsid w:val="28FEE2AE"/>
    <w:rsid w:val="29000EAD"/>
    <w:rsid w:val="29104F87"/>
    <w:rsid w:val="292F0477"/>
    <w:rsid w:val="2938C54A"/>
    <w:rsid w:val="29776781"/>
    <w:rsid w:val="29859F76"/>
    <w:rsid w:val="29E5F870"/>
    <w:rsid w:val="29F5296D"/>
    <w:rsid w:val="2A01CA88"/>
    <w:rsid w:val="2A2ADC15"/>
    <w:rsid w:val="2A30236C"/>
    <w:rsid w:val="2A3CAE80"/>
    <w:rsid w:val="2A485450"/>
    <w:rsid w:val="2A4C660A"/>
    <w:rsid w:val="2A5EED60"/>
    <w:rsid w:val="2A6B57AD"/>
    <w:rsid w:val="2A7FDA64"/>
    <w:rsid w:val="2A95D02B"/>
    <w:rsid w:val="2AAC20B7"/>
    <w:rsid w:val="2AD2DC90"/>
    <w:rsid w:val="2AE9B168"/>
    <w:rsid w:val="2B10BF8F"/>
    <w:rsid w:val="2B1DCBE3"/>
    <w:rsid w:val="2B2281D5"/>
    <w:rsid w:val="2B30E33A"/>
    <w:rsid w:val="2B358661"/>
    <w:rsid w:val="2B387163"/>
    <w:rsid w:val="2B7778B4"/>
    <w:rsid w:val="2B7BA217"/>
    <w:rsid w:val="2BB6B1EB"/>
    <w:rsid w:val="2BFA527C"/>
    <w:rsid w:val="2C322C70"/>
    <w:rsid w:val="2C4F1455"/>
    <w:rsid w:val="2C84D5B1"/>
    <w:rsid w:val="2C86A639"/>
    <w:rsid w:val="2CA53A45"/>
    <w:rsid w:val="2CAEC56C"/>
    <w:rsid w:val="2CBFEC16"/>
    <w:rsid w:val="2CC644D8"/>
    <w:rsid w:val="2CD30210"/>
    <w:rsid w:val="2CE119B8"/>
    <w:rsid w:val="2CED7A44"/>
    <w:rsid w:val="2D2FEFCB"/>
    <w:rsid w:val="2D3F6B14"/>
    <w:rsid w:val="2D462FF0"/>
    <w:rsid w:val="2D4E8B20"/>
    <w:rsid w:val="2D5A3C27"/>
    <w:rsid w:val="2D819981"/>
    <w:rsid w:val="2D8BD29C"/>
    <w:rsid w:val="2DA35092"/>
    <w:rsid w:val="2DB58FF9"/>
    <w:rsid w:val="2DDE804F"/>
    <w:rsid w:val="2DE59BFA"/>
    <w:rsid w:val="2DEAEE7E"/>
    <w:rsid w:val="2E019181"/>
    <w:rsid w:val="2E29B1A0"/>
    <w:rsid w:val="2E4C0D14"/>
    <w:rsid w:val="2EBE7D99"/>
    <w:rsid w:val="2EC4DD72"/>
    <w:rsid w:val="2ECA351D"/>
    <w:rsid w:val="2EF54E7C"/>
    <w:rsid w:val="2F43B37F"/>
    <w:rsid w:val="2F6905D2"/>
    <w:rsid w:val="2FEE9105"/>
    <w:rsid w:val="300164DA"/>
    <w:rsid w:val="3007EFE5"/>
    <w:rsid w:val="306A0681"/>
    <w:rsid w:val="30BA2DCF"/>
    <w:rsid w:val="30BE329F"/>
    <w:rsid w:val="30CBBF93"/>
    <w:rsid w:val="30D1190F"/>
    <w:rsid w:val="30DA5B73"/>
    <w:rsid w:val="30F26EF4"/>
    <w:rsid w:val="310F86D0"/>
    <w:rsid w:val="311A76A6"/>
    <w:rsid w:val="3133AA24"/>
    <w:rsid w:val="314551B2"/>
    <w:rsid w:val="314D090A"/>
    <w:rsid w:val="3193F9BC"/>
    <w:rsid w:val="31C20EE3"/>
    <w:rsid w:val="31C7E1A4"/>
    <w:rsid w:val="31CE26BD"/>
    <w:rsid w:val="31E6BA38"/>
    <w:rsid w:val="3249A493"/>
    <w:rsid w:val="3258A20C"/>
    <w:rsid w:val="3274914E"/>
    <w:rsid w:val="32861FF9"/>
    <w:rsid w:val="32AC566B"/>
    <w:rsid w:val="32BB7B22"/>
    <w:rsid w:val="32CC8CA3"/>
    <w:rsid w:val="32CE7D12"/>
    <w:rsid w:val="32ED8BC4"/>
    <w:rsid w:val="32EF607D"/>
    <w:rsid w:val="331B682C"/>
    <w:rsid w:val="332E5111"/>
    <w:rsid w:val="33351F9A"/>
    <w:rsid w:val="334FF564"/>
    <w:rsid w:val="337B8FFE"/>
    <w:rsid w:val="3393211B"/>
    <w:rsid w:val="33AB7AB4"/>
    <w:rsid w:val="33B6BFBB"/>
    <w:rsid w:val="33C41CF1"/>
    <w:rsid w:val="33D341D8"/>
    <w:rsid w:val="33FA8887"/>
    <w:rsid w:val="3433A6E5"/>
    <w:rsid w:val="34677EC1"/>
    <w:rsid w:val="3472A02B"/>
    <w:rsid w:val="3476AC65"/>
    <w:rsid w:val="349B8526"/>
    <w:rsid w:val="34A74173"/>
    <w:rsid w:val="34DDD57E"/>
    <w:rsid w:val="34E3C395"/>
    <w:rsid w:val="34F5D640"/>
    <w:rsid w:val="34FEE7CF"/>
    <w:rsid w:val="3556A0E8"/>
    <w:rsid w:val="35589A8D"/>
    <w:rsid w:val="356CC1BE"/>
    <w:rsid w:val="356F6BBE"/>
    <w:rsid w:val="3581DBAA"/>
    <w:rsid w:val="35905611"/>
    <w:rsid w:val="359207FB"/>
    <w:rsid w:val="359CC113"/>
    <w:rsid w:val="35A30603"/>
    <w:rsid w:val="35AE0A54"/>
    <w:rsid w:val="35B0038D"/>
    <w:rsid w:val="35E2B022"/>
    <w:rsid w:val="35F37268"/>
    <w:rsid w:val="35F81DD7"/>
    <w:rsid w:val="35FE6FC3"/>
    <w:rsid w:val="364CD41C"/>
    <w:rsid w:val="36518A24"/>
    <w:rsid w:val="366762BB"/>
    <w:rsid w:val="366DAC88"/>
    <w:rsid w:val="367EFFA5"/>
    <w:rsid w:val="3695F384"/>
    <w:rsid w:val="36A1437D"/>
    <w:rsid w:val="36ADAE5A"/>
    <w:rsid w:val="36BA39F0"/>
    <w:rsid w:val="36D51720"/>
    <w:rsid w:val="36DC7ABF"/>
    <w:rsid w:val="36ED00B6"/>
    <w:rsid w:val="370092EC"/>
    <w:rsid w:val="37251730"/>
    <w:rsid w:val="372C1E73"/>
    <w:rsid w:val="373A3375"/>
    <w:rsid w:val="37687C4A"/>
    <w:rsid w:val="377110DC"/>
    <w:rsid w:val="3777B7E2"/>
    <w:rsid w:val="377A7551"/>
    <w:rsid w:val="379CE7C0"/>
    <w:rsid w:val="37B6DA0B"/>
    <w:rsid w:val="37C6B6BB"/>
    <w:rsid w:val="37D69BA4"/>
    <w:rsid w:val="3837B4FF"/>
    <w:rsid w:val="386526D8"/>
    <w:rsid w:val="387F63FA"/>
    <w:rsid w:val="388EDBD3"/>
    <w:rsid w:val="38AF7FFA"/>
    <w:rsid w:val="38B730CE"/>
    <w:rsid w:val="390CE13D"/>
    <w:rsid w:val="392DA426"/>
    <w:rsid w:val="39561677"/>
    <w:rsid w:val="39674CD2"/>
    <w:rsid w:val="396CBE59"/>
    <w:rsid w:val="3978289C"/>
    <w:rsid w:val="397F4978"/>
    <w:rsid w:val="39980738"/>
    <w:rsid w:val="39D70955"/>
    <w:rsid w:val="39F0BB15"/>
    <w:rsid w:val="39FA29EE"/>
    <w:rsid w:val="3A00118B"/>
    <w:rsid w:val="3A019A41"/>
    <w:rsid w:val="3A394C8D"/>
    <w:rsid w:val="3A410742"/>
    <w:rsid w:val="3A481629"/>
    <w:rsid w:val="3A5C1387"/>
    <w:rsid w:val="3A5EB22F"/>
    <w:rsid w:val="3A6C9E5D"/>
    <w:rsid w:val="3AA42F79"/>
    <w:rsid w:val="3AAA50C6"/>
    <w:rsid w:val="3AAE13E3"/>
    <w:rsid w:val="3AAF8FCC"/>
    <w:rsid w:val="3AC21E63"/>
    <w:rsid w:val="3ACCEF1D"/>
    <w:rsid w:val="3AE0CE1E"/>
    <w:rsid w:val="3B02EEDE"/>
    <w:rsid w:val="3B0B04AE"/>
    <w:rsid w:val="3B1CEC1C"/>
    <w:rsid w:val="3B31176B"/>
    <w:rsid w:val="3B342D1C"/>
    <w:rsid w:val="3B71A516"/>
    <w:rsid w:val="3B84D6ED"/>
    <w:rsid w:val="3BB023B0"/>
    <w:rsid w:val="3BBEAF1E"/>
    <w:rsid w:val="3BE15DFF"/>
    <w:rsid w:val="3BE65BF5"/>
    <w:rsid w:val="3BF297FE"/>
    <w:rsid w:val="3C01B7C8"/>
    <w:rsid w:val="3C03425A"/>
    <w:rsid w:val="3C25226A"/>
    <w:rsid w:val="3C3200A8"/>
    <w:rsid w:val="3C495FF1"/>
    <w:rsid w:val="3C6380DE"/>
    <w:rsid w:val="3C683C6F"/>
    <w:rsid w:val="3C7DE4AF"/>
    <w:rsid w:val="3C8E55E5"/>
    <w:rsid w:val="3C991726"/>
    <w:rsid w:val="3C9EBF3F"/>
    <w:rsid w:val="3CB9CD7D"/>
    <w:rsid w:val="3CF98F67"/>
    <w:rsid w:val="3D060C25"/>
    <w:rsid w:val="3D08D3E9"/>
    <w:rsid w:val="3D32EB15"/>
    <w:rsid w:val="3D5AE2D7"/>
    <w:rsid w:val="3D79411C"/>
    <w:rsid w:val="3D7B7E51"/>
    <w:rsid w:val="3D84E0EF"/>
    <w:rsid w:val="3D8F1720"/>
    <w:rsid w:val="3DA2181C"/>
    <w:rsid w:val="3DB4015C"/>
    <w:rsid w:val="3DBB4CD2"/>
    <w:rsid w:val="3DCDD109"/>
    <w:rsid w:val="3E1520C0"/>
    <w:rsid w:val="3E15A7EE"/>
    <w:rsid w:val="3E308517"/>
    <w:rsid w:val="3E329D8B"/>
    <w:rsid w:val="3E666A8A"/>
    <w:rsid w:val="3E700799"/>
    <w:rsid w:val="3E798BA7"/>
    <w:rsid w:val="3E7AACED"/>
    <w:rsid w:val="3EB2FB68"/>
    <w:rsid w:val="3EE295C3"/>
    <w:rsid w:val="3EE3F543"/>
    <w:rsid w:val="3EE76E41"/>
    <w:rsid w:val="3EED0326"/>
    <w:rsid w:val="3EF93A55"/>
    <w:rsid w:val="3F05AC9C"/>
    <w:rsid w:val="3F0F171E"/>
    <w:rsid w:val="3F531A07"/>
    <w:rsid w:val="3F6A24A9"/>
    <w:rsid w:val="3F72CB46"/>
    <w:rsid w:val="3F74AFE3"/>
    <w:rsid w:val="3F78B92E"/>
    <w:rsid w:val="3FA17A94"/>
    <w:rsid w:val="3FC639A9"/>
    <w:rsid w:val="3FF75843"/>
    <w:rsid w:val="400E7C1E"/>
    <w:rsid w:val="40644F9F"/>
    <w:rsid w:val="408FCACC"/>
    <w:rsid w:val="40A31B27"/>
    <w:rsid w:val="40D05199"/>
    <w:rsid w:val="410AE5CB"/>
    <w:rsid w:val="412DBEF3"/>
    <w:rsid w:val="4141F0B4"/>
    <w:rsid w:val="415D30F1"/>
    <w:rsid w:val="4163580B"/>
    <w:rsid w:val="41819B45"/>
    <w:rsid w:val="41C67F53"/>
    <w:rsid w:val="41F508C2"/>
    <w:rsid w:val="42060F3B"/>
    <w:rsid w:val="428A0FB4"/>
    <w:rsid w:val="42AB128E"/>
    <w:rsid w:val="42B8F8C1"/>
    <w:rsid w:val="42DA10CD"/>
    <w:rsid w:val="42DBF0CE"/>
    <w:rsid w:val="42F9A9AF"/>
    <w:rsid w:val="43122AC7"/>
    <w:rsid w:val="431608BB"/>
    <w:rsid w:val="432792F0"/>
    <w:rsid w:val="4339E7DE"/>
    <w:rsid w:val="434E82D2"/>
    <w:rsid w:val="4361E0E9"/>
    <w:rsid w:val="43AC3982"/>
    <w:rsid w:val="43B85119"/>
    <w:rsid w:val="440A4AE9"/>
    <w:rsid w:val="441BB531"/>
    <w:rsid w:val="442C8516"/>
    <w:rsid w:val="44502F1A"/>
    <w:rsid w:val="4459DC21"/>
    <w:rsid w:val="445E34F1"/>
    <w:rsid w:val="446695A5"/>
    <w:rsid w:val="447B4643"/>
    <w:rsid w:val="447FDB19"/>
    <w:rsid w:val="4483A8A6"/>
    <w:rsid w:val="448456E8"/>
    <w:rsid w:val="44A234BD"/>
    <w:rsid w:val="44A8C36E"/>
    <w:rsid w:val="44A9BA52"/>
    <w:rsid w:val="44AB6A56"/>
    <w:rsid w:val="44B2AA0D"/>
    <w:rsid w:val="44BA151B"/>
    <w:rsid w:val="44D77AFE"/>
    <w:rsid w:val="44ED9923"/>
    <w:rsid w:val="44F33416"/>
    <w:rsid w:val="44FAC96D"/>
    <w:rsid w:val="45099937"/>
    <w:rsid w:val="452DEC74"/>
    <w:rsid w:val="4534E61F"/>
    <w:rsid w:val="45CA4360"/>
    <w:rsid w:val="45E6671B"/>
    <w:rsid w:val="4609DF63"/>
    <w:rsid w:val="4612FF73"/>
    <w:rsid w:val="4651C3AE"/>
    <w:rsid w:val="4678AA3B"/>
    <w:rsid w:val="46A3E6E1"/>
    <w:rsid w:val="46BEF69C"/>
    <w:rsid w:val="46C4122E"/>
    <w:rsid w:val="473C26B4"/>
    <w:rsid w:val="47427FFC"/>
    <w:rsid w:val="475FEFEF"/>
    <w:rsid w:val="4777BF47"/>
    <w:rsid w:val="477E9F8E"/>
    <w:rsid w:val="4795054B"/>
    <w:rsid w:val="47CBA923"/>
    <w:rsid w:val="47DBE34C"/>
    <w:rsid w:val="47E1F23A"/>
    <w:rsid w:val="482E3C3D"/>
    <w:rsid w:val="4836FFC1"/>
    <w:rsid w:val="48550C3F"/>
    <w:rsid w:val="485A0331"/>
    <w:rsid w:val="485A5F45"/>
    <w:rsid w:val="485E35B9"/>
    <w:rsid w:val="48687642"/>
    <w:rsid w:val="487D004E"/>
    <w:rsid w:val="48C2AB18"/>
    <w:rsid w:val="48C372A4"/>
    <w:rsid w:val="48C5D4D8"/>
    <w:rsid w:val="4913ADC2"/>
    <w:rsid w:val="491C761B"/>
    <w:rsid w:val="49685051"/>
    <w:rsid w:val="496E27E7"/>
    <w:rsid w:val="4974E68E"/>
    <w:rsid w:val="497E1728"/>
    <w:rsid w:val="49A26B23"/>
    <w:rsid w:val="49C2583C"/>
    <w:rsid w:val="49C38988"/>
    <w:rsid w:val="49DEA19E"/>
    <w:rsid w:val="49E039C7"/>
    <w:rsid w:val="4A0F8480"/>
    <w:rsid w:val="4A1C89B1"/>
    <w:rsid w:val="4A358808"/>
    <w:rsid w:val="4A560326"/>
    <w:rsid w:val="4A79C9CD"/>
    <w:rsid w:val="4A8F8CE7"/>
    <w:rsid w:val="4AB1DF9A"/>
    <w:rsid w:val="4AD8CA0B"/>
    <w:rsid w:val="4B253E49"/>
    <w:rsid w:val="4B316730"/>
    <w:rsid w:val="4B64B6E2"/>
    <w:rsid w:val="4B9482D8"/>
    <w:rsid w:val="4BACDC37"/>
    <w:rsid w:val="4BADF3E1"/>
    <w:rsid w:val="4BB3E14E"/>
    <w:rsid w:val="4BC8B968"/>
    <w:rsid w:val="4BE605F4"/>
    <w:rsid w:val="4C000769"/>
    <w:rsid w:val="4C136600"/>
    <w:rsid w:val="4C26599D"/>
    <w:rsid w:val="4C29F94F"/>
    <w:rsid w:val="4C479B5C"/>
    <w:rsid w:val="4C4F4A4C"/>
    <w:rsid w:val="4C643072"/>
    <w:rsid w:val="4C6BBA76"/>
    <w:rsid w:val="4CA0DC1F"/>
    <w:rsid w:val="4CBBCF9B"/>
    <w:rsid w:val="4CF594AF"/>
    <w:rsid w:val="4D49848F"/>
    <w:rsid w:val="4D66D747"/>
    <w:rsid w:val="4D776A2F"/>
    <w:rsid w:val="4D78664E"/>
    <w:rsid w:val="4D79B6DC"/>
    <w:rsid w:val="4D7A3181"/>
    <w:rsid w:val="4D9B07AB"/>
    <w:rsid w:val="4DA43658"/>
    <w:rsid w:val="4DAE253C"/>
    <w:rsid w:val="4DC3F1A4"/>
    <w:rsid w:val="4DD05468"/>
    <w:rsid w:val="4DFDCCD1"/>
    <w:rsid w:val="4E0B3DCF"/>
    <w:rsid w:val="4E0DF9DB"/>
    <w:rsid w:val="4E2ACF99"/>
    <w:rsid w:val="4E5E381D"/>
    <w:rsid w:val="4E626638"/>
    <w:rsid w:val="4E7401EC"/>
    <w:rsid w:val="4E7F0ED3"/>
    <w:rsid w:val="4EA2D851"/>
    <w:rsid w:val="4EC8752D"/>
    <w:rsid w:val="4ED110C0"/>
    <w:rsid w:val="4ED17533"/>
    <w:rsid w:val="4EDBE3BB"/>
    <w:rsid w:val="4F1057B6"/>
    <w:rsid w:val="4F16E821"/>
    <w:rsid w:val="4F2DF3E1"/>
    <w:rsid w:val="4F38CE53"/>
    <w:rsid w:val="4F4BC81C"/>
    <w:rsid w:val="4F4DC7D0"/>
    <w:rsid w:val="4F57FD49"/>
    <w:rsid w:val="4FCD3EDD"/>
    <w:rsid w:val="4FED01C4"/>
    <w:rsid w:val="504D440F"/>
    <w:rsid w:val="50541185"/>
    <w:rsid w:val="50655A3B"/>
    <w:rsid w:val="506D5ACE"/>
    <w:rsid w:val="50863007"/>
    <w:rsid w:val="508B921E"/>
    <w:rsid w:val="509A5E8B"/>
    <w:rsid w:val="50A0BFFA"/>
    <w:rsid w:val="50B20ADA"/>
    <w:rsid w:val="50B57D5B"/>
    <w:rsid w:val="50DAF88F"/>
    <w:rsid w:val="50FF05C3"/>
    <w:rsid w:val="5100F917"/>
    <w:rsid w:val="510D9F5B"/>
    <w:rsid w:val="51267A5C"/>
    <w:rsid w:val="51394C61"/>
    <w:rsid w:val="516691CB"/>
    <w:rsid w:val="517C795C"/>
    <w:rsid w:val="51B18E81"/>
    <w:rsid w:val="51B9C55E"/>
    <w:rsid w:val="51BFEC59"/>
    <w:rsid w:val="51CF7736"/>
    <w:rsid w:val="51DE6982"/>
    <w:rsid w:val="5242BBBB"/>
    <w:rsid w:val="52592366"/>
    <w:rsid w:val="52B2BE08"/>
    <w:rsid w:val="52D040D6"/>
    <w:rsid w:val="5313D3B8"/>
    <w:rsid w:val="5356B8D3"/>
    <w:rsid w:val="5386E23B"/>
    <w:rsid w:val="538B8C2D"/>
    <w:rsid w:val="53A24989"/>
    <w:rsid w:val="53AC3F8B"/>
    <w:rsid w:val="53DB9DD9"/>
    <w:rsid w:val="53E2B33E"/>
    <w:rsid w:val="53E84507"/>
    <w:rsid w:val="53FCD31B"/>
    <w:rsid w:val="54022879"/>
    <w:rsid w:val="540259B2"/>
    <w:rsid w:val="54082046"/>
    <w:rsid w:val="5435660C"/>
    <w:rsid w:val="54415A81"/>
    <w:rsid w:val="546A7761"/>
    <w:rsid w:val="54776CE8"/>
    <w:rsid w:val="54ADC648"/>
    <w:rsid w:val="54BB41B0"/>
    <w:rsid w:val="54C37B6F"/>
    <w:rsid w:val="54D843C9"/>
    <w:rsid w:val="54F920B2"/>
    <w:rsid w:val="551F5DDC"/>
    <w:rsid w:val="55377CC9"/>
    <w:rsid w:val="5551947E"/>
    <w:rsid w:val="555C9A32"/>
    <w:rsid w:val="555FE7F5"/>
    <w:rsid w:val="559D34F0"/>
    <w:rsid w:val="55A56CC9"/>
    <w:rsid w:val="55ACA870"/>
    <w:rsid w:val="55C73ECD"/>
    <w:rsid w:val="55E28F95"/>
    <w:rsid w:val="55ED2462"/>
    <w:rsid w:val="55ED303A"/>
    <w:rsid w:val="5616D9F3"/>
    <w:rsid w:val="561ECE70"/>
    <w:rsid w:val="56338292"/>
    <w:rsid w:val="5640E7BB"/>
    <w:rsid w:val="56492CD9"/>
    <w:rsid w:val="5656598E"/>
    <w:rsid w:val="5661571C"/>
    <w:rsid w:val="566AD125"/>
    <w:rsid w:val="56723BF7"/>
    <w:rsid w:val="56748437"/>
    <w:rsid w:val="5697FBDE"/>
    <w:rsid w:val="56A86D67"/>
    <w:rsid w:val="56B445B9"/>
    <w:rsid w:val="574A6F05"/>
    <w:rsid w:val="576E2937"/>
    <w:rsid w:val="57D27BB3"/>
    <w:rsid w:val="5819CD15"/>
    <w:rsid w:val="584AF935"/>
    <w:rsid w:val="585A8CAA"/>
    <w:rsid w:val="58A83879"/>
    <w:rsid w:val="58B2622B"/>
    <w:rsid w:val="58D74C0F"/>
    <w:rsid w:val="58D9C0AC"/>
    <w:rsid w:val="58FDE4D5"/>
    <w:rsid w:val="5909185E"/>
    <w:rsid w:val="59154440"/>
    <w:rsid w:val="591C96E1"/>
    <w:rsid w:val="591F5968"/>
    <w:rsid w:val="5924C524"/>
    <w:rsid w:val="5932EEDF"/>
    <w:rsid w:val="5946FA4F"/>
    <w:rsid w:val="595D1FDE"/>
    <w:rsid w:val="596B02F3"/>
    <w:rsid w:val="59740E05"/>
    <w:rsid w:val="5984B506"/>
    <w:rsid w:val="59989D63"/>
    <w:rsid w:val="59A19402"/>
    <w:rsid w:val="59E6EEE3"/>
    <w:rsid w:val="59E92A91"/>
    <w:rsid w:val="5A01476B"/>
    <w:rsid w:val="5A10A667"/>
    <w:rsid w:val="5A657456"/>
    <w:rsid w:val="5A72CC78"/>
    <w:rsid w:val="5AAB6553"/>
    <w:rsid w:val="5B062EAC"/>
    <w:rsid w:val="5B3F7636"/>
    <w:rsid w:val="5B4FCF8F"/>
    <w:rsid w:val="5B55B0F3"/>
    <w:rsid w:val="5B597E8F"/>
    <w:rsid w:val="5B5DC897"/>
    <w:rsid w:val="5B9C3973"/>
    <w:rsid w:val="5BA202EB"/>
    <w:rsid w:val="5C00DED2"/>
    <w:rsid w:val="5C209A94"/>
    <w:rsid w:val="5C23D8F7"/>
    <w:rsid w:val="5C2EDFF6"/>
    <w:rsid w:val="5C3CEBCF"/>
    <w:rsid w:val="5C4AF22F"/>
    <w:rsid w:val="5C8DE685"/>
    <w:rsid w:val="5CA29240"/>
    <w:rsid w:val="5CA5A386"/>
    <w:rsid w:val="5CAC19CF"/>
    <w:rsid w:val="5CBE11B4"/>
    <w:rsid w:val="5CCA74F6"/>
    <w:rsid w:val="5CCE442C"/>
    <w:rsid w:val="5CF16C1D"/>
    <w:rsid w:val="5D02829D"/>
    <w:rsid w:val="5D0EF817"/>
    <w:rsid w:val="5D1C3B98"/>
    <w:rsid w:val="5D22DF4A"/>
    <w:rsid w:val="5D2DC481"/>
    <w:rsid w:val="5D2ED239"/>
    <w:rsid w:val="5D392A84"/>
    <w:rsid w:val="5D619D0D"/>
    <w:rsid w:val="5D7F744E"/>
    <w:rsid w:val="5D80F11B"/>
    <w:rsid w:val="5D8A9F7B"/>
    <w:rsid w:val="5DA47E0C"/>
    <w:rsid w:val="5DAC3243"/>
    <w:rsid w:val="5DB82D9B"/>
    <w:rsid w:val="5DDDCF4C"/>
    <w:rsid w:val="5DF2CA8B"/>
    <w:rsid w:val="5E2145E5"/>
    <w:rsid w:val="5E224487"/>
    <w:rsid w:val="5E3E4D7E"/>
    <w:rsid w:val="5E43DA28"/>
    <w:rsid w:val="5E44F233"/>
    <w:rsid w:val="5E86DA9B"/>
    <w:rsid w:val="5E8AE174"/>
    <w:rsid w:val="5E94EA83"/>
    <w:rsid w:val="5E94F797"/>
    <w:rsid w:val="5EDEE520"/>
    <w:rsid w:val="5F0D919B"/>
    <w:rsid w:val="5F1426C6"/>
    <w:rsid w:val="5F1F9394"/>
    <w:rsid w:val="5F34BFE2"/>
    <w:rsid w:val="5F3EF544"/>
    <w:rsid w:val="5F6EA4FF"/>
    <w:rsid w:val="5FCB2DD2"/>
    <w:rsid w:val="5FCFB6D2"/>
    <w:rsid w:val="5FD2C5D0"/>
    <w:rsid w:val="60086D33"/>
    <w:rsid w:val="6026B1D5"/>
    <w:rsid w:val="60470CA7"/>
    <w:rsid w:val="6049FD70"/>
    <w:rsid w:val="606F15D4"/>
    <w:rsid w:val="60A19BA0"/>
    <w:rsid w:val="60A1D33C"/>
    <w:rsid w:val="60DE170C"/>
    <w:rsid w:val="60E2135E"/>
    <w:rsid w:val="61038212"/>
    <w:rsid w:val="6138D661"/>
    <w:rsid w:val="613C7E59"/>
    <w:rsid w:val="614039AB"/>
    <w:rsid w:val="615294FB"/>
    <w:rsid w:val="6154950A"/>
    <w:rsid w:val="61606006"/>
    <w:rsid w:val="61634BC0"/>
    <w:rsid w:val="617AB6B2"/>
    <w:rsid w:val="61A36044"/>
    <w:rsid w:val="61DAC926"/>
    <w:rsid w:val="61EEFEAE"/>
    <w:rsid w:val="61F35B15"/>
    <w:rsid w:val="6216337E"/>
    <w:rsid w:val="622CB51B"/>
    <w:rsid w:val="622D7EF4"/>
    <w:rsid w:val="624F34CD"/>
    <w:rsid w:val="625B4069"/>
    <w:rsid w:val="62874084"/>
    <w:rsid w:val="628D45E2"/>
    <w:rsid w:val="62A92D41"/>
    <w:rsid w:val="62E52F91"/>
    <w:rsid w:val="62FD11B8"/>
    <w:rsid w:val="630C00C7"/>
    <w:rsid w:val="6316796A"/>
    <w:rsid w:val="63174B4B"/>
    <w:rsid w:val="63360510"/>
    <w:rsid w:val="6342AD4D"/>
    <w:rsid w:val="63B11C39"/>
    <w:rsid w:val="63CBCE62"/>
    <w:rsid w:val="63CD681E"/>
    <w:rsid w:val="63ED682A"/>
    <w:rsid w:val="63F549EE"/>
    <w:rsid w:val="6403144D"/>
    <w:rsid w:val="641D5514"/>
    <w:rsid w:val="6436AF8A"/>
    <w:rsid w:val="6437D90B"/>
    <w:rsid w:val="6465DE3C"/>
    <w:rsid w:val="64683C03"/>
    <w:rsid w:val="647ADA85"/>
    <w:rsid w:val="6494D2F3"/>
    <w:rsid w:val="64B10A3A"/>
    <w:rsid w:val="64BFEA13"/>
    <w:rsid w:val="64C58403"/>
    <w:rsid w:val="64EFF35B"/>
    <w:rsid w:val="65025C5E"/>
    <w:rsid w:val="654156BE"/>
    <w:rsid w:val="654B0C9A"/>
    <w:rsid w:val="6555C801"/>
    <w:rsid w:val="6562BD60"/>
    <w:rsid w:val="6569387F"/>
    <w:rsid w:val="6579B8BE"/>
    <w:rsid w:val="657B513F"/>
    <w:rsid w:val="658A40BF"/>
    <w:rsid w:val="65904412"/>
    <w:rsid w:val="659C48B4"/>
    <w:rsid w:val="65B84D83"/>
    <w:rsid w:val="65CCD008"/>
    <w:rsid w:val="65DB6A16"/>
    <w:rsid w:val="661868E7"/>
    <w:rsid w:val="66340D1E"/>
    <w:rsid w:val="665372A1"/>
    <w:rsid w:val="668051A8"/>
    <w:rsid w:val="66A34FD3"/>
    <w:rsid w:val="66E5D225"/>
    <w:rsid w:val="66E71173"/>
    <w:rsid w:val="66F14AAD"/>
    <w:rsid w:val="6721B248"/>
    <w:rsid w:val="674AD874"/>
    <w:rsid w:val="674F9944"/>
    <w:rsid w:val="67560F64"/>
    <w:rsid w:val="6757F495"/>
    <w:rsid w:val="676122C4"/>
    <w:rsid w:val="6767FD60"/>
    <w:rsid w:val="679D1A3E"/>
    <w:rsid w:val="679ED7D0"/>
    <w:rsid w:val="67A2D122"/>
    <w:rsid w:val="67F6CAE6"/>
    <w:rsid w:val="680CCB86"/>
    <w:rsid w:val="6824F272"/>
    <w:rsid w:val="68350EC9"/>
    <w:rsid w:val="683F64F3"/>
    <w:rsid w:val="6855FDF5"/>
    <w:rsid w:val="68844136"/>
    <w:rsid w:val="688711B8"/>
    <w:rsid w:val="6895C9CC"/>
    <w:rsid w:val="68B4CB5D"/>
    <w:rsid w:val="68E165BE"/>
    <w:rsid w:val="68FE803D"/>
    <w:rsid w:val="68FFB610"/>
    <w:rsid w:val="690ADCD8"/>
    <w:rsid w:val="691CF0DF"/>
    <w:rsid w:val="6947BCFE"/>
    <w:rsid w:val="694D5A3C"/>
    <w:rsid w:val="6950275B"/>
    <w:rsid w:val="69580667"/>
    <w:rsid w:val="69904B59"/>
    <w:rsid w:val="69B95EA2"/>
    <w:rsid w:val="6A099B50"/>
    <w:rsid w:val="6A276CD4"/>
    <w:rsid w:val="6A50A1A8"/>
    <w:rsid w:val="6A52597E"/>
    <w:rsid w:val="6A5F5221"/>
    <w:rsid w:val="6AC07FF9"/>
    <w:rsid w:val="6AC8A563"/>
    <w:rsid w:val="6ACAE351"/>
    <w:rsid w:val="6AD67892"/>
    <w:rsid w:val="6AD7E30F"/>
    <w:rsid w:val="6ADB1BE2"/>
    <w:rsid w:val="6AE0D505"/>
    <w:rsid w:val="6AF14EE7"/>
    <w:rsid w:val="6AFBE634"/>
    <w:rsid w:val="6B013FB5"/>
    <w:rsid w:val="6B023774"/>
    <w:rsid w:val="6B281017"/>
    <w:rsid w:val="6B45C1F6"/>
    <w:rsid w:val="6B77586E"/>
    <w:rsid w:val="6B89E8AA"/>
    <w:rsid w:val="6B958593"/>
    <w:rsid w:val="6B977148"/>
    <w:rsid w:val="6BD634AC"/>
    <w:rsid w:val="6BE32DD1"/>
    <w:rsid w:val="6BEF064F"/>
    <w:rsid w:val="6BFD7598"/>
    <w:rsid w:val="6C51454B"/>
    <w:rsid w:val="6C578CFF"/>
    <w:rsid w:val="6C62C3D9"/>
    <w:rsid w:val="6C6ABBA4"/>
    <w:rsid w:val="6C73940D"/>
    <w:rsid w:val="6C7B1735"/>
    <w:rsid w:val="6CA7D30E"/>
    <w:rsid w:val="6CC11D67"/>
    <w:rsid w:val="6CE22786"/>
    <w:rsid w:val="6D00E6FA"/>
    <w:rsid w:val="6D1550F7"/>
    <w:rsid w:val="6D31A611"/>
    <w:rsid w:val="6D40DE52"/>
    <w:rsid w:val="6D57B5BC"/>
    <w:rsid w:val="6D61F374"/>
    <w:rsid w:val="6D68F307"/>
    <w:rsid w:val="6DA55C4D"/>
    <w:rsid w:val="6DD1CB02"/>
    <w:rsid w:val="6DE4850F"/>
    <w:rsid w:val="6E0B2744"/>
    <w:rsid w:val="6E20A771"/>
    <w:rsid w:val="6E34187E"/>
    <w:rsid w:val="6E47420A"/>
    <w:rsid w:val="6E4F3646"/>
    <w:rsid w:val="6E643E69"/>
    <w:rsid w:val="6E6C7761"/>
    <w:rsid w:val="6E785E10"/>
    <w:rsid w:val="6E7FD279"/>
    <w:rsid w:val="6E92BFD0"/>
    <w:rsid w:val="6EA80E01"/>
    <w:rsid w:val="6EBB0F40"/>
    <w:rsid w:val="6EDA3EEE"/>
    <w:rsid w:val="6EF0192F"/>
    <w:rsid w:val="6EFAAAD3"/>
    <w:rsid w:val="6F27B3DB"/>
    <w:rsid w:val="6F2B7FCA"/>
    <w:rsid w:val="6F402A13"/>
    <w:rsid w:val="6F5A8F4C"/>
    <w:rsid w:val="6F85B87A"/>
    <w:rsid w:val="6FD69DB5"/>
    <w:rsid w:val="6FE0AF9D"/>
    <w:rsid w:val="6FFE1B41"/>
    <w:rsid w:val="704A2FDC"/>
    <w:rsid w:val="704B4EFB"/>
    <w:rsid w:val="704C86CB"/>
    <w:rsid w:val="7050461D"/>
    <w:rsid w:val="706FB2FD"/>
    <w:rsid w:val="7084C508"/>
    <w:rsid w:val="70949FC6"/>
    <w:rsid w:val="70B2DB4F"/>
    <w:rsid w:val="70BCA411"/>
    <w:rsid w:val="70F65FAD"/>
    <w:rsid w:val="710C62B9"/>
    <w:rsid w:val="715F8F5E"/>
    <w:rsid w:val="71659AF6"/>
    <w:rsid w:val="71672669"/>
    <w:rsid w:val="716FB38B"/>
    <w:rsid w:val="7173E203"/>
    <w:rsid w:val="71818F29"/>
    <w:rsid w:val="7195AD49"/>
    <w:rsid w:val="71A4D069"/>
    <w:rsid w:val="71E173CF"/>
    <w:rsid w:val="7202C9D7"/>
    <w:rsid w:val="72133B99"/>
    <w:rsid w:val="7215C1BA"/>
    <w:rsid w:val="72513BA9"/>
    <w:rsid w:val="72566488"/>
    <w:rsid w:val="72802C29"/>
    <w:rsid w:val="7287B62B"/>
    <w:rsid w:val="72AF7445"/>
    <w:rsid w:val="72B17F66"/>
    <w:rsid w:val="72BB9A29"/>
    <w:rsid w:val="7330EBDC"/>
    <w:rsid w:val="73345759"/>
    <w:rsid w:val="7352D0BF"/>
    <w:rsid w:val="735E4480"/>
    <w:rsid w:val="7389E029"/>
    <w:rsid w:val="738CFB63"/>
    <w:rsid w:val="7392C9CE"/>
    <w:rsid w:val="73996246"/>
    <w:rsid w:val="73A5C80D"/>
    <w:rsid w:val="73AEE3A1"/>
    <w:rsid w:val="73CAF7AF"/>
    <w:rsid w:val="73E26237"/>
    <w:rsid w:val="73E5F0C9"/>
    <w:rsid w:val="7439A84C"/>
    <w:rsid w:val="7473FE2B"/>
    <w:rsid w:val="747C0557"/>
    <w:rsid w:val="7488CC4F"/>
    <w:rsid w:val="74A2607F"/>
    <w:rsid w:val="74C6AA81"/>
    <w:rsid w:val="74D74EDB"/>
    <w:rsid w:val="74FFB29B"/>
    <w:rsid w:val="753628A0"/>
    <w:rsid w:val="753BE38F"/>
    <w:rsid w:val="75433EA1"/>
    <w:rsid w:val="75506AE9"/>
    <w:rsid w:val="758AC155"/>
    <w:rsid w:val="760590C0"/>
    <w:rsid w:val="760AED7F"/>
    <w:rsid w:val="76561A6B"/>
    <w:rsid w:val="76B9FEBE"/>
    <w:rsid w:val="76C24C40"/>
    <w:rsid w:val="76DD1A5B"/>
    <w:rsid w:val="76E9A6DB"/>
    <w:rsid w:val="76EA6FFA"/>
    <w:rsid w:val="7734E767"/>
    <w:rsid w:val="77490755"/>
    <w:rsid w:val="778F532B"/>
    <w:rsid w:val="77A17A1D"/>
    <w:rsid w:val="77BCE3DB"/>
    <w:rsid w:val="77C15F49"/>
    <w:rsid w:val="77EFE696"/>
    <w:rsid w:val="7866D269"/>
    <w:rsid w:val="78691923"/>
    <w:rsid w:val="78807E6C"/>
    <w:rsid w:val="78853577"/>
    <w:rsid w:val="78B7E923"/>
    <w:rsid w:val="78D240C7"/>
    <w:rsid w:val="78D3AAC2"/>
    <w:rsid w:val="78F40D26"/>
    <w:rsid w:val="79348E3F"/>
    <w:rsid w:val="79610822"/>
    <w:rsid w:val="79638B38"/>
    <w:rsid w:val="797E5145"/>
    <w:rsid w:val="79A51AF6"/>
    <w:rsid w:val="79C1974E"/>
    <w:rsid w:val="79C44BF5"/>
    <w:rsid w:val="79DE0006"/>
    <w:rsid w:val="79E7EFDA"/>
    <w:rsid w:val="7A04F746"/>
    <w:rsid w:val="7A24DC3F"/>
    <w:rsid w:val="7A323B32"/>
    <w:rsid w:val="7A5F9DA2"/>
    <w:rsid w:val="7A83D8CB"/>
    <w:rsid w:val="7A868535"/>
    <w:rsid w:val="7A9049AA"/>
    <w:rsid w:val="7AA14464"/>
    <w:rsid w:val="7AE2139C"/>
    <w:rsid w:val="7AF0C7A0"/>
    <w:rsid w:val="7B55DD6E"/>
    <w:rsid w:val="7B67BA0D"/>
    <w:rsid w:val="7B6AF47C"/>
    <w:rsid w:val="7B9043FC"/>
    <w:rsid w:val="7B92FE30"/>
    <w:rsid w:val="7B9D443B"/>
    <w:rsid w:val="7BAB57E4"/>
    <w:rsid w:val="7BC83B4A"/>
    <w:rsid w:val="7BCB8A96"/>
    <w:rsid w:val="7BF0BF1E"/>
    <w:rsid w:val="7C01D2D8"/>
    <w:rsid w:val="7C0636D7"/>
    <w:rsid w:val="7C1FAEC4"/>
    <w:rsid w:val="7C2EC2D5"/>
    <w:rsid w:val="7C3A8F42"/>
    <w:rsid w:val="7C46536B"/>
    <w:rsid w:val="7C645A28"/>
    <w:rsid w:val="7C840B4F"/>
    <w:rsid w:val="7C89BB95"/>
    <w:rsid w:val="7C8D2AD6"/>
    <w:rsid w:val="7CA8D96E"/>
    <w:rsid w:val="7CD34148"/>
    <w:rsid w:val="7D32AF37"/>
    <w:rsid w:val="7D3A6B50"/>
    <w:rsid w:val="7D7DB6C8"/>
    <w:rsid w:val="7D7F31F9"/>
    <w:rsid w:val="7D944D09"/>
    <w:rsid w:val="7DC2824D"/>
    <w:rsid w:val="7DC680D3"/>
    <w:rsid w:val="7DD2E04F"/>
    <w:rsid w:val="7DFF3E84"/>
    <w:rsid w:val="7E07A9B7"/>
    <w:rsid w:val="7E343BC9"/>
    <w:rsid w:val="7E517F3C"/>
    <w:rsid w:val="7E56C476"/>
    <w:rsid w:val="7E885223"/>
    <w:rsid w:val="7E988F77"/>
    <w:rsid w:val="7EAD3CC9"/>
    <w:rsid w:val="7EBF0A5E"/>
    <w:rsid w:val="7EC09E57"/>
    <w:rsid w:val="7EE4FDD0"/>
    <w:rsid w:val="7EF8BE6E"/>
    <w:rsid w:val="7EFFA337"/>
    <w:rsid w:val="7F069253"/>
    <w:rsid w:val="7F0CC17B"/>
    <w:rsid w:val="7F0E4688"/>
    <w:rsid w:val="7F3FB741"/>
    <w:rsid w:val="7F42EC46"/>
    <w:rsid w:val="7F466F55"/>
    <w:rsid w:val="7F5C8F9C"/>
    <w:rsid w:val="7FAA69B3"/>
    <w:rsid w:val="7FAC0071"/>
    <w:rsid w:val="7FB01B98"/>
    <w:rsid w:val="7FB40A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A24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59"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uiPriority="94" w:semiHidden="1" w:unhideWhenUsed="1"/>
    <w:lsdException w:name="envelope return" w:uiPriority="94"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94"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94" w:semiHidden="1" w:unhideWhenUsed="1"/>
    <w:lsdException w:name="List Bullet 3" w:uiPriority="94" w:semiHidden="1" w:unhideWhenUsed="1" w:qFormat="1"/>
    <w:lsdException w:name="List Bullet 4" w:semiHidden="1" w:unhideWhenUsed="1"/>
    <w:lsdException w:name="List Bullet 5" w:semiHidden="1" w:unhideWhenUsed="1"/>
    <w:lsdException w:name="List Number 2" w:semiHidden="1" w:unhideWhenUsed="1"/>
    <w:lsdException w:name="List Number 3" w:uiPriority="94"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94"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4" w:qFormat="1"/>
    <w:lsdException w:name="Salutation" w:semiHidden="1" w:unhideWhenUsed="1"/>
    <w:lsdException w:name="Date" w:semiHidden="1" w:unhideWhenUsed="1"/>
    <w:lsdException w:name="Body Text First Indent" w:uiPriority="14" w:semiHidden="1" w:unhideWhenUsed="1" w:qFormat="1"/>
    <w:lsdException w:name="Body Text First Indent 2" w:uiPriority="14" w:semiHidden="1" w:unhideWhenUsed="1" w:qFormat="1"/>
    <w:lsdException w:name="Note Heading" w:semiHidden="1" w:unhideWhenUsed="1"/>
    <w:lsdException w:name="Body Text 2" w:uiPriority="0" w:semiHidden="1" w:unhideWhenUsed="1" w:qFormat="1"/>
    <w:lsdException w:name="Body Text 3" w:uiPriority="0" w:semiHidden="1" w:unhideWhenUsed="1" w:qFormat="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9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59"/>
    <w:qFormat/>
    <w:rsid w:val="00C2097B"/>
  </w:style>
  <w:style w:type="paragraph" w:styleId="Heading1">
    <w:name w:val="heading 1"/>
    <w:basedOn w:val="Normal"/>
    <w:next w:val="Normal"/>
    <w:link w:val="Heading1Char"/>
    <w:qFormat/>
    <w:rsid w:val="004F6903"/>
    <w:pPr>
      <w:keepNext/>
      <w:keepLines/>
      <w:spacing w:before="480" w:after="120" w:line="240" w:lineRule="auto"/>
      <w:jc w:val="both"/>
      <w:outlineLvl w:val="0"/>
    </w:pPr>
    <w:rPr>
      <w:rFonts w:ascii="Arial" w:hAnsi="Arial" w:eastAsiaTheme="majorEastAsia" w:cstheme="majorBidi"/>
      <w:b/>
      <w:bCs/>
      <w:sz w:val="28"/>
      <w:szCs w:val="28"/>
    </w:rPr>
  </w:style>
  <w:style w:type="paragraph" w:styleId="Heading2">
    <w:name w:val="heading 2"/>
    <w:basedOn w:val="Normal"/>
    <w:next w:val="Normal"/>
    <w:link w:val="Heading2Char"/>
    <w:qFormat/>
    <w:rsid w:val="004F6903"/>
    <w:pPr>
      <w:keepNext/>
      <w:keepLines/>
      <w:spacing w:before="200" w:after="120" w:line="240" w:lineRule="auto"/>
      <w:jc w:val="both"/>
      <w:outlineLvl w:val="1"/>
    </w:pPr>
    <w:rPr>
      <w:rFonts w:ascii="Arial" w:hAnsi="Arial" w:eastAsiaTheme="majorEastAsia" w:cstheme="majorBidi"/>
      <w:b/>
      <w:bCs/>
      <w:sz w:val="26"/>
      <w:szCs w:val="26"/>
    </w:rPr>
  </w:style>
  <w:style w:type="paragraph" w:styleId="Heading3">
    <w:name w:val="heading 3"/>
    <w:basedOn w:val="Normal"/>
    <w:next w:val="Normal"/>
    <w:link w:val="Heading3Char"/>
    <w:qFormat/>
    <w:rsid w:val="00A54280"/>
    <w:pPr>
      <w:spacing w:before="120" w:after="120" w:line="240" w:lineRule="auto"/>
      <w:jc w:val="both"/>
      <w:outlineLvl w:val="2"/>
    </w:pPr>
    <w:rPr>
      <w:rFonts w:ascii="Arial" w:hAnsi="Arial" w:eastAsia="Calibri" w:cstheme="majorBidi"/>
      <w:b/>
      <w:bCs/>
      <w:sz w:val="20"/>
      <w:szCs w:val="20"/>
      <w:u w:val="single"/>
    </w:rPr>
  </w:style>
  <w:style w:type="paragraph" w:styleId="Heading4">
    <w:name w:val="heading 4"/>
    <w:basedOn w:val="Normal"/>
    <w:next w:val="Normal"/>
    <w:link w:val="Heading4Char"/>
    <w:unhideWhenUsed/>
    <w:qFormat/>
    <w:rsid w:val="004F6903"/>
    <w:pPr>
      <w:keepNext/>
      <w:keepLines/>
      <w:spacing w:before="200" w:after="120" w:line="240" w:lineRule="auto"/>
      <w:jc w:val="both"/>
      <w:outlineLvl w:val="3"/>
    </w:pPr>
    <w:rPr>
      <w:rFonts w:ascii="Arial" w:hAnsi="Arial" w:eastAsiaTheme="majorEastAsia" w:cstheme="majorBidi"/>
      <w:b/>
      <w:bCs/>
      <w:i/>
      <w:iCs/>
      <w:sz w:val="20"/>
      <w:szCs w:val="20"/>
    </w:rPr>
  </w:style>
  <w:style w:type="paragraph" w:styleId="Heading5">
    <w:name w:val="heading 5"/>
    <w:basedOn w:val="Normal"/>
    <w:next w:val="Normal"/>
    <w:link w:val="Heading5Char"/>
    <w:unhideWhenUsed/>
    <w:qFormat/>
    <w:rsid w:val="004F6903"/>
    <w:pPr>
      <w:keepNext/>
      <w:keepLines/>
      <w:spacing w:before="200" w:after="120" w:line="240" w:lineRule="auto"/>
      <w:jc w:val="both"/>
      <w:outlineLvl w:val="4"/>
    </w:pPr>
    <w:rPr>
      <w:rFonts w:ascii="Arial" w:hAnsi="Arial" w:eastAsiaTheme="majorEastAsia" w:cstheme="majorBidi"/>
      <w:sz w:val="20"/>
      <w:szCs w:val="20"/>
    </w:rPr>
  </w:style>
  <w:style w:type="paragraph" w:styleId="Heading6">
    <w:name w:val="heading 6"/>
    <w:basedOn w:val="Normal"/>
    <w:next w:val="Normal"/>
    <w:link w:val="Heading6Char"/>
    <w:unhideWhenUsed/>
    <w:qFormat/>
    <w:rsid w:val="004F6903"/>
    <w:pPr>
      <w:keepNext/>
      <w:keepLines/>
      <w:spacing w:before="200" w:after="120" w:line="240" w:lineRule="auto"/>
      <w:jc w:val="both"/>
      <w:outlineLvl w:val="5"/>
    </w:pPr>
    <w:rPr>
      <w:rFonts w:ascii="Arial" w:hAnsi="Arial" w:eastAsiaTheme="majorEastAsia" w:cstheme="majorBidi"/>
      <w:i/>
      <w:iCs/>
      <w:sz w:val="20"/>
      <w:szCs w:val="20"/>
    </w:rPr>
  </w:style>
  <w:style w:type="paragraph" w:styleId="Heading7">
    <w:name w:val="heading 7"/>
    <w:basedOn w:val="Normal"/>
    <w:next w:val="Normal"/>
    <w:link w:val="Heading7Char"/>
    <w:unhideWhenUsed/>
    <w:qFormat/>
    <w:rsid w:val="004F6903"/>
    <w:pPr>
      <w:keepNext/>
      <w:keepLines/>
      <w:spacing w:before="200" w:after="120" w:line="240" w:lineRule="auto"/>
      <w:jc w:val="both"/>
      <w:outlineLvl w:val="6"/>
    </w:pPr>
    <w:rPr>
      <w:rFonts w:ascii="Arial" w:hAnsi="Arial" w:eastAsiaTheme="majorEastAsia" w:cstheme="majorBidi"/>
      <w:i/>
      <w:iCs/>
      <w:sz w:val="20"/>
      <w:szCs w:val="20"/>
    </w:rPr>
  </w:style>
  <w:style w:type="paragraph" w:styleId="Heading8">
    <w:name w:val="heading 8"/>
    <w:basedOn w:val="Normal"/>
    <w:next w:val="Normal"/>
    <w:link w:val="Heading8Char"/>
    <w:unhideWhenUsed/>
    <w:qFormat/>
    <w:rsid w:val="004F6903"/>
    <w:pPr>
      <w:keepNext/>
      <w:keepLines/>
      <w:spacing w:before="200" w:after="120" w:line="240" w:lineRule="auto"/>
      <w:jc w:val="both"/>
      <w:outlineLvl w:val="7"/>
    </w:pPr>
    <w:rPr>
      <w:rFonts w:ascii="Arial" w:hAnsi="Arial" w:eastAsiaTheme="majorEastAsia" w:cstheme="majorBidi"/>
      <w:sz w:val="20"/>
      <w:szCs w:val="20"/>
    </w:rPr>
  </w:style>
  <w:style w:type="paragraph" w:styleId="Heading9">
    <w:name w:val="heading 9"/>
    <w:basedOn w:val="Normal"/>
    <w:next w:val="Normal"/>
    <w:link w:val="Heading9Char"/>
    <w:unhideWhenUsed/>
    <w:qFormat/>
    <w:rsid w:val="004F6903"/>
    <w:pPr>
      <w:keepNext/>
      <w:keepLines/>
      <w:spacing w:before="200" w:after="120" w:line="240" w:lineRule="auto"/>
      <w:jc w:val="both"/>
      <w:outlineLvl w:val="8"/>
    </w:pPr>
    <w:rPr>
      <w:rFonts w:ascii="Arial" w:hAnsi="Arial" w:eastAsiaTheme="majorEastAsia" w:cstheme="majorBidi"/>
      <w:i/>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FirstIndent">
    <w:name w:val="Body Text First Indent"/>
    <w:basedOn w:val="Normal"/>
    <w:link w:val="BodyTextFirstIndentChar"/>
    <w:uiPriority w:val="14"/>
    <w:semiHidden/>
    <w:qFormat/>
    <w:rsid w:val="002D54C4"/>
    <w:pPr>
      <w:spacing w:after="240"/>
      <w:ind w:firstLine="1440"/>
    </w:pPr>
  </w:style>
  <w:style w:type="character" w:styleId="Heading3Char" w:customStyle="1">
    <w:name w:val="Heading 3 Char"/>
    <w:basedOn w:val="DefaultParagraphFont"/>
    <w:link w:val="Heading3"/>
    <w:rsid w:val="004F6903"/>
    <w:rPr>
      <w:rFonts w:ascii="Arial" w:hAnsi="Arial" w:eastAsia="Calibri" w:cstheme="majorBidi"/>
      <w:b/>
      <w:bCs/>
      <w:sz w:val="20"/>
      <w:szCs w:val="20"/>
      <w:u w:val="single"/>
    </w:rPr>
  </w:style>
  <w:style w:type="character" w:styleId="BodyTextFirstIndentChar" w:customStyle="1">
    <w:name w:val="Body Text First Indent Char"/>
    <w:basedOn w:val="BodyTextChar"/>
    <w:link w:val="BodyTextFirstIndent"/>
    <w:uiPriority w:val="14"/>
    <w:semiHidden/>
    <w:rsid w:val="002D54C4"/>
    <w:rPr>
      <w:rFonts w:ascii="Arial" w:hAnsi="Arial" w:cs="Times New Roman"/>
      <w:sz w:val="20"/>
      <w:szCs w:val="20"/>
    </w:rPr>
  </w:style>
  <w:style w:type="character" w:styleId="Heading9Char" w:customStyle="1">
    <w:name w:val="Heading 9 Char"/>
    <w:basedOn w:val="DefaultParagraphFont"/>
    <w:link w:val="Heading9"/>
    <w:rsid w:val="004F6903"/>
    <w:rPr>
      <w:rFonts w:ascii="Arial" w:hAnsi="Arial" w:eastAsiaTheme="majorEastAsia" w:cstheme="majorBidi"/>
      <w:i/>
      <w:iCs/>
      <w:sz w:val="20"/>
      <w:szCs w:val="20"/>
    </w:rPr>
  </w:style>
  <w:style w:type="character" w:styleId="DeltaViewMoveSource" w:customStyle="1">
    <w:name w:val="DeltaView Move Source"/>
    <w:rsid w:val="002D54C4"/>
    <w:rPr>
      <w:strike/>
      <w:color w:val="00C000"/>
      <w:spacing w:val="0"/>
    </w:rPr>
  </w:style>
  <w:style w:type="character" w:styleId="BodyTextIndentChar" w:customStyle="1">
    <w:name w:val="Body Text Indent Char"/>
    <w:basedOn w:val="DefaultParagraphFont"/>
    <w:link w:val="BodyTextIndent"/>
    <w:rsid w:val="002D54C4"/>
    <w:rPr>
      <w:rFonts w:ascii="Arial" w:hAnsi="Arial" w:cs="Times New Roman"/>
      <w:sz w:val="20"/>
      <w:szCs w:val="20"/>
    </w:rPr>
  </w:style>
  <w:style w:type="paragraph" w:styleId="BodyTextFirstIndent2">
    <w:name w:val="Body Text First Indent 2"/>
    <w:basedOn w:val="Normal"/>
    <w:link w:val="BodyTextFirstIndent2Char"/>
    <w:uiPriority w:val="14"/>
    <w:semiHidden/>
    <w:qFormat/>
    <w:rsid w:val="002D54C4"/>
    <w:pPr>
      <w:spacing w:line="480" w:lineRule="auto"/>
      <w:ind w:firstLine="1440"/>
    </w:pPr>
  </w:style>
  <w:style w:type="character" w:styleId="BodyTextChar" w:customStyle="1">
    <w:name w:val="Body Text Char"/>
    <w:basedOn w:val="DefaultParagraphFont"/>
    <w:link w:val="BodyText"/>
    <w:rsid w:val="002D54C4"/>
    <w:rPr>
      <w:rFonts w:ascii="Arial" w:hAnsi="Arial" w:cs="Times New Roman"/>
      <w:sz w:val="20"/>
      <w:szCs w:val="20"/>
    </w:rPr>
  </w:style>
  <w:style w:type="character" w:styleId="IntenseReference">
    <w:name w:val="Intense Reference"/>
    <w:basedOn w:val="DefaultParagraphFont"/>
    <w:uiPriority w:val="32"/>
    <w:qFormat/>
    <w:rsid w:val="004F6903"/>
    <w:rPr>
      <w:b/>
      <w:bCs/>
      <w:smallCaps/>
      <w:color w:val="auto"/>
      <w:spacing w:val="5"/>
      <w:u w:val="single"/>
    </w:rPr>
  </w:style>
  <w:style w:type="paragraph" w:styleId="BodyTextSingleSpaceNoIndent" w:customStyle="1">
    <w:name w:val="Body Text Single Space No Indent"/>
    <w:basedOn w:val="Normal"/>
    <w:rsid w:val="00960870"/>
    <w:pPr>
      <w:spacing w:after="240"/>
    </w:pPr>
    <w:rPr>
      <w:rFonts w:ascii="Times New Roman" w:hAnsi="Times New Roman" w:eastAsia="Times New Roman"/>
      <w:sz w:val="24"/>
      <w:szCs w:val="24"/>
    </w:rPr>
  </w:style>
  <w:style w:type="character" w:styleId="IntenseEmphasis">
    <w:name w:val="Intense Emphasis"/>
    <w:basedOn w:val="DefaultParagraphFont"/>
    <w:uiPriority w:val="21"/>
    <w:qFormat/>
    <w:rsid w:val="004F6903"/>
    <w:rPr>
      <w:b/>
      <w:bCs/>
      <w:i/>
      <w:iCs/>
      <w:color w:val="auto"/>
    </w:rPr>
  </w:style>
  <w:style w:type="paragraph" w:styleId="FootnoteText">
    <w:name w:val="footnote text"/>
    <w:basedOn w:val="Normal"/>
    <w:link w:val="FootnoteTextChar"/>
    <w:uiPriority w:val="99"/>
    <w:semiHidden/>
    <w:unhideWhenUsed/>
    <w:rsid w:val="002D54C4"/>
    <w:pPr>
      <w:spacing w:after="240"/>
    </w:pPr>
    <w:rPr>
      <w:sz w:val="18"/>
    </w:rPr>
  </w:style>
  <w:style w:type="paragraph" w:styleId="zGTC041" w:customStyle="1">
    <w:name w:val="zGTC04_1"/>
    <w:uiPriority w:val="1"/>
    <w:pPr>
      <w:tabs>
        <w:tab w:val="num" w:pos="1944"/>
      </w:tabs>
      <w:spacing w:before="120" w:after="0" w:line="240" w:lineRule="auto"/>
      <w:ind w:left="1440"/>
      <w:jc w:val="both"/>
    </w:pPr>
    <w:rPr>
      <w:rFonts w:ascii="Arial" w:hAnsi="Arial" w:eastAsia="Times New Roman" w:cs="Times New Roman"/>
      <w:kern w:val="14"/>
      <w:sz w:val="20"/>
      <w:szCs w:val="24"/>
    </w:rPr>
  </w:style>
  <w:style w:type="paragraph" w:styleId="BodyTextIndent">
    <w:name w:val="Body Text Indent"/>
    <w:basedOn w:val="Normal"/>
    <w:link w:val="BodyTextIndentChar"/>
    <w:rsid w:val="002D54C4"/>
    <w:pPr>
      <w:spacing w:after="240"/>
      <w:ind w:left="1440"/>
    </w:pPr>
  </w:style>
  <w:style w:type="paragraph" w:styleId="zGBody37" w:customStyle="1">
    <w:name w:val="zGBody3_7"/>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character" w:styleId="Heading6Char" w:customStyle="1">
    <w:name w:val="Heading 6 Char"/>
    <w:basedOn w:val="DefaultParagraphFont"/>
    <w:link w:val="Heading6"/>
    <w:rsid w:val="004F6903"/>
    <w:rPr>
      <w:rFonts w:ascii="Arial" w:hAnsi="Arial" w:eastAsiaTheme="majorEastAsia" w:cstheme="majorBidi"/>
      <w:i/>
      <w:iCs/>
      <w:sz w:val="20"/>
      <w:szCs w:val="20"/>
    </w:rPr>
  </w:style>
  <w:style w:type="paragraph" w:styleId="BodyTextHangingIndent" w:customStyle="1">
    <w:name w:val="Body Text Hanging Indent"/>
    <w:basedOn w:val="Normal"/>
    <w:uiPriority w:val="14"/>
    <w:semiHidden/>
    <w:qFormat/>
    <w:rsid w:val="002D54C4"/>
    <w:pPr>
      <w:spacing w:after="240"/>
      <w:ind w:left="720" w:hanging="720"/>
    </w:pPr>
  </w:style>
  <w:style w:type="character" w:styleId="BodyTextFirstIndent2Char" w:customStyle="1">
    <w:name w:val="Body Text First Indent 2 Char"/>
    <w:basedOn w:val="BodyTextIndentChar"/>
    <w:link w:val="BodyTextFirstIndent2"/>
    <w:uiPriority w:val="14"/>
    <w:semiHidden/>
    <w:rsid w:val="002D54C4"/>
    <w:rPr>
      <w:rFonts w:ascii="Arial" w:hAnsi="Arial" w:cs="Times New Roman"/>
      <w:sz w:val="20"/>
      <w:szCs w:val="20"/>
    </w:rPr>
  </w:style>
  <w:style w:type="paragraph" w:styleId="zGListNum" w:customStyle="1">
    <w:name w:val="zGListNum"/>
    <w:uiPriority w:val="6"/>
    <w:rsid w:val="00F837A1"/>
    <w:pPr>
      <w:widowControl w:val="0"/>
      <w:numPr>
        <w:numId w:val="35"/>
      </w:numPr>
      <w:tabs>
        <w:tab w:val="left" w:pos="360"/>
        <w:tab w:val="num" w:pos="1116"/>
      </w:tabs>
      <w:autoSpaceDE w:val="0"/>
      <w:autoSpaceDN w:val="0"/>
      <w:adjustRightInd w:val="0"/>
      <w:spacing w:before="120" w:after="0" w:line="240" w:lineRule="auto"/>
      <w:ind w:left="1440" w:hanging="936"/>
      <w:jc w:val="both"/>
    </w:pPr>
    <w:rPr>
      <w:rFonts w:ascii="Arial" w:hAnsi="Arial" w:cs="Arial" w:eastAsiaTheme="minorEastAsia"/>
      <w:spacing w:val="-6"/>
      <w:kern w:val="14"/>
      <w:sz w:val="20"/>
      <w:szCs w:val="20"/>
    </w:rPr>
  </w:style>
  <w:style w:type="character" w:styleId="Heading1Char" w:customStyle="1">
    <w:name w:val="Heading 1 Char"/>
    <w:basedOn w:val="DefaultParagraphFont"/>
    <w:link w:val="Heading1"/>
    <w:rsid w:val="004F6903"/>
    <w:rPr>
      <w:rFonts w:ascii="Arial" w:hAnsi="Arial" w:eastAsiaTheme="majorEastAsia" w:cstheme="majorBidi"/>
      <w:b/>
      <w:bCs/>
      <w:sz w:val="28"/>
      <w:szCs w:val="28"/>
    </w:rPr>
  </w:style>
  <w:style w:type="character" w:styleId="SubtleReference">
    <w:name w:val="Subtle Reference"/>
    <w:basedOn w:val="DefaultParagraphFont"/>
    <w:uiPriority w:val="31"/>
    <w:qFormat/>
    <w:rsid w:val="004F6903"/>
    <w:rPr>
      <w:smallCaps/>
      <w:color w:val="auto"/>
      <w:u w:val="single"/>
    </w:rPr>
  </w:style>
  <w:style w:type="character" w:styleId="Heading2Char" w:customStyle="1">
    <w:name w:val="Heading 2 Char"/>
    <w:basedOn w:val="DefaultParagraphFont"/>
    <w:link w:val="Heading2"/>
    <w:rsid w:val="004F6903"/>
    <w:rPr>
      <w:rFonts w:ascii="Arial" w:hAnsi="Arial" w:eastAsiaTheme="majorEastAsia" w:cstheme="majorBidi"/>
      <w:b/>
      <w:bCs/>
      <w:sz w:val="26"/>
      <w:szCs w:val="26"/>
    </w:rPr>
  </w:style>
  <w:style w:type="character" w:styleId="Heading4Char" w:customStyle="1">
    <w:name w:val="Heading 4 Char"/>
    <w:basedOn w:val="DefaultParagraphFont"/>
    <w:link w:val="Heading4"/>
    <w:rsid w:val="004F6903"/>
    <w:rPr>
      <w:rFonts w:ascii="Arial" w:hAnsi="Arial" w:eastAsiaTheme="majorEastAsia" w:cstheme="majorBidi"/>
      <w:b/>
      <w:bCs/>
      <w:i/>
      <w:iCs/>
      <w:sz w:val="20"/>
      <w:szCs w:val="20"/>
    </w:rPr>
  </w:style>
  <w:style w:type="character" w:styleId="Heading5Char" w:customStyle="1">
    <w:name w:val="Heading 5 Char"/>
    <w:basedOn w:val="DefaultParagraphFont"/>
    <w:link w:val="Heading5"/>
    <w:rsid w:val="004F6903"/>
    <w:rPr>
      <w:rFonts w:ascii="Arial" w:hAnsi="Arial" w:eastAsiaTheme="majorEastAsia" w:cstheme="majorBidi"/>
      <w:sz w:val="20"/>
      <w:szCs w:val="20"/>
    </w:rPr>
  </w:style>
  <w:style w:type="character" w:styleId="FootnoteTextChar" w:customStyle="1">
    <w:name w:val="Footnote Text Char"/>
    <w:basedOn w:val="DefaultParagraphFont"/>
    <w:link w:val="FootnoteText"/>
    <w:uiPriority w:val="99"/>
    <w:semiHidden/>
    <w:rsid w:val="002D54C4"/>
    <w:rPr>
      <w:rFonts w:ascii="Arial" w:hAnsi="Arial" w:cs="Times New Roman"/>
      <w:sz w:val="18"/>
      <w:szCs w:val="20"/>
    </w:rPr>
  </w:style>
  <w:style w:type="character" w:styleId="Heading7Char" w:customStyle="1">
    <w:name w:val="Heading 7 Char"/>
    <w:basedOn w:val="DefaultParagraphFont"/>
    <w:link w:val="Heading7"/>
    <w:rsid w:val="004F6903"/>
    <w:rPr>
      <w:rFonts w:ascii="Arial" w:hAnsi="Arial" w:eastAsiaTheme="majorEastAsia" w:cstheme="majorBidi"/>
      <w:i/>
      <w:iCs/>
      <w:sz w:val="20"/>
      <w:szCs w:val="20"/>
    </w:rPr>
  </w:style>
  <w:style w:type="paragraph" w:styleId="EnvelopeAddress">
    <w:name w:val="envelope address"/>
    <w:basedOn w:val="Normal"/>
    <w:uiPriority w:val="94"/>
    <w:semiHidden/>
    <w:rsid w:val="002D54C4"/>
    <w:pPr>
      <w:framePr w:w="7920" w:h="1980" w:hSpace="180" w:wrap="auto" w:hAnchor="page" w:xAlign="center" w:yAlign="bottom" w:hRule="exact"/>
      <w:spacing w:before="120" w:after="120" w:line="240" w:lineRule="auto"/>
      <w:ind w:left="2880"/>
      <w:jc w:val="both"/>
    </w:pPr>
    <w:rPr>
      <w:rFonts w:ascii="Arial" w:hAnsi="Arial" w:cs="Arial"/>
      <w:smallCaps/>
      <w:sz w:val="20"/>
      <w:szCs w:val="20"/>
    </w:rPr>
  </w:style>
  <w:style w:type="paragraph" w:styleId="FooterDocID" w:customStyle="1">
    <w:name w:val="Footer DocID"/>
    <w:basedOn w:val="Normal"/>
    <w:uiPriority w:val="74"/>
    <w:semiHidden/>
    <w:rsid w:val="002D54C4"/>
    <w:pPr>
      <w:tabs>
        <w:tab w:val="right" w:pos="9360"/>
      </w:tabs>
    </w:pPr>
    <w:rPr>
      <w:sz w:val="14"/>
    </w:rPr>
  </w:style>
  <w:style w:type="numbering" w:styleId="zGzListStyle2" w:customStyle="1">
    <w:name w:val="zGzListStyle2"/>
    <w:uiPriority w:val="99"/>
    <w:rsid w:val="00E32965"/>
    <w:pPr>
      <w:numPr>
        <w:numId w:val="31"/>
      </w:numPr>
    </w:pPr>
  </w:style>
  <w:style w:type="character" w:styleId="Heading8Char" w:customStyle="1">
    <w:name w:val="Heading 8 Char"/>
    <w:basedOn w:val="DefaultParagraphFont"/>
    <w:link w:val="Heading8"/>
    <w:rsid w:val="004F6903"/>
    <w:rPr>
      <w:rFonts w:ascii="Arial" w:hAnsi="Arial" w:eastAsiaTheme="majorEastAsia" w:cstheme="majorBidi"/>
      <w:sz w:val="20"/>
      <w:szCs w:val="20"/>
    </w:rPr>
  </w:style>
  <w:style w:type="paragraph" w:styleId="TOCHeading">
    <w:name w:val="TOC Heading"/>
    <w:basedOn w:val="Heading1"/>
    <w:next w:val="Normal"/>
    <w:uiPriority w:val="39"/>
    <w:unhideWhenUsed/>
    <w:qFormat/>
    <w:rsid w:val="00F837A1"/>
    <w:pPr>
      <w:outlineLvl w:val="9"/>
    </w:pPr>
  </w:style>
  <w:style w:type="character" w:styleId="BalloonTextChar" w:customStyle="1">
    <w:name w:val="Balloon Text Char"/>
    <w:basedOn w:val="DefaultParagraphFont"/>
    <w:link w:val="BalloonText"/>
    <w:semiHidden/>
    <w:rsid w:val="002D54C4"/>
    <w:rPr>
      <w:rFonts w:ascii="Tahoma" w:hAnsi="Tahoma" w:eastAsia="Times New Roman" w:cs="Tahoma"/>
      <w:sz w:val="16"/>
      <w:szCs w:val="16"/>
    </w:rPr>
  </w:style>
  <w:style w:type="paragraph" w:styleId="Title">
    <w:name w:val="Title"/>
    <w:basedOn w:val="Normal"/>
    <w:next w:val="Normal"/>
    <w:link w:val="TitleChar"/>
    <w:qFormat/>
    <w:rsid w:val="004F6903"/>
    <w:pPr>
      <w:pBdr>
        <w:bottom w:val="single" w:color="auto" w:sz="8" w:space="4"/>
      </w:pBdr>
      <w:spacing w:before="120" w:after="300" w:line="240" w:lineRule="auto"/>
      <w:contextualSpacing/>
      <w:jc w:val="both"/>
    </w:pPr>
    <w:rPr>
      <w:rFonts w:ascii="Arial" w:hAnsi="Arial" w:eastAsiaTheme="majorEastAsia" w:cstheme="majorBidi"/>
      <w:spacing w:val="5"/>
      <w:kern w:val="28"/>
      <w:sz w:val="52"/>
      <w:szCs w:val="52"/>
    </w:rPr>
  </w:style>
  <w:style w:type="character" w:styleId="TitleChar" w:customStyle="1">
    <w:name w:val="Title Char"/>
    <w:basedOn w:val="DefaultParagraphFont"/>
    <w:link w:val="Title"/>
    <w:rsid w:val="004F6903"/>
    <w:rPr>
      <w:rFonts w:ascii="Arial" w:hAnsi="Arial" w:eastAsiaTheme="majorEastAsia" w:cstheme="majorBidi"/>
      <w:spacing w:val="5"/>
      <w:kern w:val="28"/>
      <w:sz w:val="52"/>
      <w:szCs w:val="52"/>
    </w:rPr>
  </w:style>
  <w:style w:type="character" w:styleId="IntenseQuoteChar" w:customStyle="1">
    <w:name w:val="Intense Quote Char"/>
    <w:basedOn w:val="DefaultParagraphFont"/>
    <w:link w:val="IntenseQuote"/>
    <w:uiPriority w:val="30"/>
    <w:rsid w:val="004F6903"/>
    <w:rPr>
      <w:b/>
      <w:bCs/>
      <w:i/>
      <w:iCs/>
    </w:rPr>
  </w:style>
  <w:style w:type="paragraph" w:styleId="Subtitle">
    <w:name w:val="Subtitle"/>
    <w:basedOn w:val="Normal"/>
    <w:next w:val="Normal"/>
    <w:link w:val="SubtitleChar"/>
    <w:uiPriority w:val="94"/>
    <w:qFormat/>
    <w:rsid w:val="004F6903"/>
    <w:pPr>
      <w:numPr>
        <w:ilvl w:val="1"/>
      </w:numPr>
      <w:spacing w:before="120" w:after="120" w:line="240" w:lineRule="auto"/>
      <w:jc w:val="both"/>
    </w:pPr>
    <w:rPr>
      <w:rFonts w:ascii="Arial" w:hAnsi="Arial" w:eastAsiaTheme="majorEastAsia" w:cstheme="majorBidi"/>
      <w:i/>
      <w:iCs/>
      <w:spacing w:val="15"/>
      <w:sz w:val="20"/>
      <w:szCs w:val="20"/>
    </w:rPr>
  </w:style>
  <w:style w:type="paragraph" w:styleId="ArticleL4" w:customStyle="1">
    <w:name w:val="Article_L4"/>
    <w:basedOn w:val="ArticleL3"/>
    <w:next w:val="BodyText"/>
    <w:link w:val="ArticleL4Char"/>
    <w:rsid w:val="002D54C4"/>
    <w:pPr>
      <w:tabs>
        <w:tab w:val="clear" w:pos="990"/>
        <w:tab w:val="num" w:pos="2880"/>
      </w:tabs>
      <w:ind w:left="0" w:firstLine="2160"/>
      <w:outlineLvl w:val="3"/>
    </w:pPr>
  </w:style>
  <w:style w:type="character" w:styleId="SubtitleChar" w:customStyle="1">
    <w:name w:val="Subtitle Char"/>
    <w:basedOn w:val="DefaultParagraphFont"/>
    <w:link w:val="Subtitle"/>
    <w:uiPriority w:val="94"/>
    <w:rsid w:val="004F6903"/>
    <w:rPr>
      <w:rFonts w:ascii="Arial" w:hAnsi="Arial" w:eastAsiaTheme="majorEastAsia" w:cstheme="majorBidi"/>
      <w:i/>
      <w:iCs/>
      <w:spacing w:val="15"/>
      <w:sz w:val="20"/>
      <w:szCs w:val="20"/>
    </w:rPr>
  </w:style>
  <w:style w:type="paragraph" w:styleId="IntenseQuote">
    <w:name w:val="Intense Quote"/>
    <w:basedOn w:val="Normal"/>
    <w:next w:val="Normal"/>
    <w:link w:val="IntenseQuoteChar"/>
    <w:uiPriority w:val="30"/>
    <w:qFormat/>
    <w:rsid w:val="004F6903"/>
    <w:pPr>
      <w:pBdr>
        <w:bottom w:val="single" w:color="auto" w:sz="4" w:space="4"/>
      </w:pBdr>
      <w:spacing w:before="200" w:after="280"/>
      <w:ind w:left="936" w:right="936"/>
    </w:pPr>
    <w:rPr>
      <w:b/>
      <w:bCs/>
      <w:i/>
      <w:iCs/>
    </w:rPr>
  </w:style>
  <w:style w:type="paragraph" w:styleId="EnvelopeReturn">
    <w:name w:val="envelope return"/>
    <w:basedOn w:val="Normal"/>
    <w:uiPriority w:val="94"/>
    <w:unhideWhenUsed/>
    <w:rsid w:val="004F6903"/>
    <w:pPr>
      <w:spacing w:before="120" w:after="120" w:line="240" w:lineRule="auto"/>
      <w:jc w:val="both"/>
    </w:pPr>
    <w:rPr>
      <w:rFonts w:ascii="Arial" w:hAnsi="Arial" w:eastAsiaTheme="majorEastAsia" w:cstheme="majorBidi"/>
      <w:sz w:val="20"/>
      <w:szCs w:val="20"/>
    </w:rPr>
  </w:style>
  <w:style w:type="paragraph" w:styleId="zGTableTxt10" w:customStyle="1">
    <w:name w:val="zGTableTxt10"/>
    <w:uiPriority w:val="7"/>
    <w:qFormat/>
    <w:rsid w:val="00AA2E45"/>
    <w:pPr>
      <w:widowControl w:val="0"/>
      <w:autoSpaceDE w:val="0"/>
      <w:autoSpaceDN w:val="0"/>
      <w:adjustRightInd w:val="0"/>
      <w:spacing w:after="0" w:line="240" w:lineRule="auto"/>
    </w:pPr>
    <w:rPr>
      <w:rFonts w:ascii="Arial" w:hAnsi="Arial" w:cs="Arial" w:eastAsiaTheme="minorEastAsia"/>
      <w:spacing w:val="-6"/>
      <w:kern w:val="14"/>
      <w:sz w:val="20"/>
      <w:szCs w:val="20"/>
    </w:rPr>
  </w:style>
  <w:style w:type="paragraph" w:styleId="Quote">
    <w:name w:val="Quote"/>
    <w:basedOn w:val="Normal"/>
    <w:next w:val="Normal"/>
    <w:link w:val="QuoteChar"/>
    <w:uiPriority w:val="29"/>
    <w:qFormat/>
    <w:rsid w:val="004F6903"/>
    <w:rPr>
      <w:i/>
      <w:iCs/>
    </w:rPr>
  </w:style>
  <w:style w:type="character" w:styleId="QuoteChar" w:customStyle="1">
    <w:name w:val="Quote Char"/>
    <w:basedOn w:val="DefaultParagraphFont"/>
    <w:link w:val="Quote"/>
    <w:uiPriority w:val="29"/>
    <w:rsid w:val="004F6903"/>
    <w:rPr>
      <w:i/>
      <w:iCs/>
    </w:rPr>
  </w:style>
  <w:style w:type="character" w:styleId="Emphasis">
    <w:name w:val="Emphasis"/>
    <w:basedOn w:val="DefaultParagraphFont"/>
    <w:uiPriority w:val="20"/>
    <w:qFormat/>
    <w:rsid w:val="004F6903"/>
    <w:rPr>
      <w:i/>
      <w:iCs/>
    </w:rPr>
  </w:style>
  <w:style w:type="character" w:styleId="SubtleEmphasis">
    <w:name w:val="Subtle Emphasis"/>
    <w:basedOn w:val="DefaultParagraphFont"/>
    <w:uiPriority w:val="19"/>
    <w:qFormat/>
    <w:rsid w:val="004F6903"/>
    <w:rPr>
      <w:i/>
      <w:iCs/>
      <w:color w:val="auto"/>
    </w:rPr>
  </w:style>
  <w:style w:type="character" w:styleId="BodyText3Char" w:customStyle="1">
    <w:name w:val="Body Text 3 Char"/>
    <w:basedOn w:val="DefaultParagraphFont"/>
    <w:link w:val="BodyText3"/>
    <w:rsid w:val="002D54C4"/>
    <w:rPr>
      <w:rFonts w:ascii="Arial" w:hAnsi="Arial" w:cs="Times New Roman"/>
      <w:sz w:val="20"/>
      <w:szCs w:val="20"/>
    </w:rPr>
  </w:style>
  <w:style w:type="paragraph" w:styleId="Caption">
    <w:name w:val="caption"/>
    <w:basedOn w:val="Normal"/>
    <w:next w:val="Normal"/>
    <w:unhideWhenUsed/>
    <w:qFormat/>
    <w:rsid w:val="004F6903"/>
    <w:pPr>
      <w:spacing w:before="120" w:after="120" w:line="240" w:lineRule="auto"/>
      <w:jc w:val="both"/>
    </w:pPr>
    <w:rPr>
      <w:rFonts w:ascii="Arial" w:hAnsi="Arial" w:cs="Times New Roman"/>
      <w:b/>
      <w:bCs/>
      <w:sz w:val="18"/>
      <w:szCs w:val="18"/>
    </w:rPr>
  </w:style>
  <w:style w:type="paragraph" w:styleId="BlockText">
    <w:name w:val="Block Text"/>
    <w:basedOn w:val="Normal"/>
    <w:uiPriority w:val="99"/>
    <w:semiHidden/>
    <w:unhideWhenUsed/>
    <w:rsid w:val="004F6903"/>
    <w:pPr>
      <w:pBdr>
        <w:top w:val="single" w:color="auto" w:sz="2" w:space="10"/>
        <w:left w:val="single" w:color="auto" w:sz="2" w:space="10"/>
        <w:bottom w:val="single" w:color="auto" w:sz="2" w:space="10"/>
        <w:right w:val="single" w:color="auto" w:sz="2" w:space="10"/>
      </w:pBdr>
      <w:ind w:left="1152" w:right="1152"/>
    </w:pPr>
    <w:rPr>
      <w:rFonts w:eastAsiaTheme="minorEastAsia"/>
      <w:i/>
      <w:iCs/>
    </w:rPr>
  </w:style>
  <w:style w:type="character" w:styleId="zGTitle36CalibriChar" w:customStyle="1">
    <w:name w:val="zGTitle 36 (Calibri) Char"/>
    <w:basedOn w:val="DefaultParagraphFont"/>
    <w:link w:val="zGTitle36Calibri"/>
    <w:uiPriority w:val="4"/>
    <w:rsid w:val="00AA2E45"/>
    <w:rPr>
      <w:rFonts w:ascii="Calibri" w:hAnsi="Calibri" w:eastAsia="Times New Roman" w:cstheme="minorHAnsi"/>
      <w:b/>
      <w:kern w:val="14"/>
      <w:sz w:val="72"/>
      <w:szCs w:val="72"/>
    </w:rPr>
  </w:style>
  <w:style w:type="character" w:styleId="normaltextrun" w:customStyle="1">
    <w:name w:val="normaltextrun"/>
    <w:basedOn w:val="DefaultParagraphFont"/>
    <w:rsid w:val="002D54C4"/>
  </w:style>
  <w:style w:type="paragraph" w:styleId="BodyText2">
    <w:name w:val="Body Text 2"/>
    <w:basedOn w:val="Normal"/>
    <w:link w:val="BodyText2Char"/>
    <w:qFormat/>
    <w:rsid w:val="002D54C4"/>
    <w:pPr>
      <w:spacing w:line="480" w:lineRule="auto"/>
    </w:pPr>
  </w:style>
  <w:style w:type="paragraph" w:styleId="Header">
    <w:name w:val="header"/>
    <w:aliases w:val="zGDRAFTHeader"/>
    <w:basedOn w:val="Normal"/>
    <w:next w:val="zGNormal"/>
    <w:link w:val="HeaderChar"/>
    <w:uiPriority w:val="99"/>
    <w:rsid w:val="002D54C4"/>
    <w:pPr>
      <w:tabs>
        <w:tab w:val="center" w:pos="4320"/>
        <w:tab w:val="right" w:pos="8640"/>
      </w:tabs>
      <w:jc w:val="right"/>
    </w:pPr>
    <w:rPr>
      <w:b/>
      <w:i/>
      <w:color w:val="FF0000"/>
    </w:rPr>
  </w:style>
  <w:style w:type="character" w:styleId="DeltaViewEditorComment" w:customStyle="1">
    <w:name w:val="DeltaView Editor Comment"/>
    <w:basedOn w:val="DefaultParagraphFont"/>
    <w:rsid w:val="002D54C4"/>
    <w:rPr>
      <w:color w:val="0000FF"/>
      <w:spacing w:val="0"/>
      <w:u w:val="double"/>
    </w:rPr>
  </w:style>
  <w:style w:type="character" w:styleId="HeaderChar" w:customStyle="1">
    <w:name w:val="Header Char"/>
    <w:aliases w:val="zGDRAFTHeader Char"/>
    <w:basedOn w:val="DefaultParagraphFont"/>
    <w:link w:val="Header"/>
    <w:uiPriority w:val="99"/>
    <w:rsid w:val="002D54C4"/>
    <w:rPr>
      <w:rFonts w:ascii="Arial" w:hAnsi="Arial" w:cs="Times New Roman"/>
      <w:b/>
      <w:i/>
      <w:color w:val="FF0000"/>
      <w:sz w:val="20"/>
      <w:szCs w:val="20"/>
    </w:rPr>
  </w:style>
  <w:style w:type="character" w:styleId="BodyText2Char" w:customStyle="1">
    <w:name w:val="Body Text 2 Char"/>
    <w:basedOn w:val="DefaultParagraphFont"/>
    <w:link w:val="BodyText2"/>
    <w:rsid w:val="002D54C4"/>
    <w:rPr>
      <w:rFonts w:ascii="Arial" w:hAnsi="Arial" w:cs="Times New Roman"/>
      <w:sz w:val="20"/>
      <w:szCs w:val="20"/>
    </w:rPr>
  </w:style>
  <w:style w:type="paragraph" w:styleId="BodyText3">
    <w:name w:val="Body Text 3"/>
    <w:basedOn w:val="Normal"/>
    <w:link w:val="BodyText3Char"/>
    <w:qFormat/>
    <w:rsid w:val="002D54C4"/>
  </w:style>
  <w:style w:type="paragraph" w:styleId="BodyText">
    <w:name w:val="Body Text"/>
    <w:basedOn w:val="Normal"/>
    <w:link w:val="BodyTextChar"/>
    <w:unhideWhenUsed/>
    <w:rsid w:val="002D54C4"/>
    <w:pPr>
      <w:spacing w:before="120" w:after="120" w:line="240" w:lineRule="auto"/>
      <w:jc w:val="both"/>
    </w:pPr>
    <w:rPr>
      <w:rFonts w:ascii="Arial" w:hAnsi="Arial" w:cs="Times New Roman"/>
      <w:sz w:val="20"/>
      <w:szCs w:val="20"/>
    </w:rPr>
  </w:style>
  <w:style w:type="paragraph" w:styleId="zGTableBullet" w:customStyle="1">
    <w:name w:val="zGTableBullet"/>
    <w:uiPriority w:val="8"/>
    <w:qFormat/>
    <w:rsid w:val="00F837A1"/>
    <w:pPr>
      <w:widowControl w:val="0"/>
      <w:numPr>
        <w:numId w:val="36"/>
      </w:numPr>
      <w:autoSpaceDE w:val="0"/>
      <w:autoSpaceDN w:val="0"/>
      <w:adjustRightInd w:val="0"/>
      <w:spacing w:after="0" w:line="240" w:lineRule="auto"/>
      <w:ind w:left="1440"/>
    </w:pPr>
    <w:rPr>
      <w:rFonts w:ascii="Arial" w:hAnsi="Arial" w:cs="Arial" w:eastAsiaTheme="minorEastAsia"/>
      <w:spacing w:val="-6"/>
      <w:kern w:val="14"/>
      <w:sz w:val="18"/>
      <w:szCs w:val="20"/>
    </w:rPr>
  </w:style>
  <w:style w:type="paragraph" w:styleId="Footer">
    <w:name w:val="footer"/>
    <w:basedOn w:val="Normal"/>
    <w:link w:val="FooterChar"/>
    <w:uiPriority w:val="99"/>
    <w:rsid w:val="002D54C4"/>
    <w:pPr>
      <w:jc w:val="center"/>
    </w:pPr>
    <w:rPr>
      <w:sz w:val="18"/>
    </w:rPr>
  </w:style>
  <w:style w:type="character" w:styleId="FooterChar" w:customStyle="1">
    <w:name w:val="Footer Char"/>
    <w:basedOn w:val="DefaultParagraphFont"/>
    <w:link w:val="Footer"/>
    <w:uiPriority w:val="99"/>
    <w:rsid w:val="002D54C4"/>
    <w:rPr>
      <w:rFonts w:ascii="Arial" w:hAnsi="Arial" w:cs="Times New Roman"/>
      <w:sz w:val="18"/>
      <w:szCs w:val="20"/>
    </w:rPr>
  </w:style>
  <w:style w:type="paragraph" w:styleId="Footnote" w:customStyle="1">
    <w:name w:val="Footnote"/>
    <w:basedOn w:val="Normal"/>
    <w:uiPriority w:val="15"/>
    <w:semiHidden/>
    <w:rsid w:val="002D54C4"/>
  </w:style>
  <w:style w:type="character" w:styleId="ArticleL9Char" w:customStyle="1">
    <w:name w:val="Article_L9 Char"/>
    <w:basedOn w:val="BodyTextChar"/>
    <w:link w:val="ArticleL9"/>
    <w:rsid w:val="002D54C4"/>
    <w:rPr>
      <w:rFonts w:ascii="Times New Roman" w:hAnsi="Times New Roman" w:eastAsia="Times New Roman" w:cs="Times New Roman"/>
      <w:sz w:val="24"/>
      <w:szCs w:val="20"/>
    </w:rPr>
  </w:style>
  <w:style w:type="paragraph" w:styleId="zGBody4" w:customStyle="1">
    <w:name w:val="zGBody 4"/>
    <w:basedOn w:val="Normal"/>
    <w:link w:val="zGBody4Char"/>
    <w:uiPriority w:val="3"/>
    <w:rsid w:val="00204FD4"/>
    <w:pPr>
      <w:spacing w:before="120" w:after="120" w:line="240" w:lineRule="auto"/>
    </w:pPr>
    <w:rPr>
      <w:rFonts w:ascii="Arial" w:hAnsi="Arial" w:cs="Times New Roman"/>
      <w:sz w:val="20"/>
      <w:szCs w:val="20"/>
    </w:rPr>
  </w:style>
  <w:style w:type="character" w:styleId="FootnoteReference">
    <w:name w:val="footnote reference"/>
    <w:uiPriority w:val="99"/>
    <w:rsid w:val="002D54C4"/>
    <w:rPr>
      <w:vertAlign w:val="superscript"/>
    </w:rPr>
  </w:style>
  <w:style w:type="character" w:styleId="DeltaViewMovedDeletion" w:customStyle="1">
    <w:name w:val="DeltaView Moved Deletion"/>
    <w:rsid w:val="002D54C4"/>
    <w:rPr>
      <w:strike/>
      <w:color w:val="C08080"/>
      <w:spacing w:val="0"/>
    </w:rPr>
  </w:style>
  <w:style w:type="character" w:styleId="zGBody1Char" w:customStyle="1">
    <w:name w:val="zGBody 1 Char"/>
    <w:basedOn w:val="zGNormalChar"/>
    <w:link w:val="zGBody1"/>
    <w:uiPriority w:val="2"/>
    <w:rsid w:val="00AA2E45"/>
    <w:rPr>
      <w:rFonts w:ascii="Arial Bold" w:hAnsi="Arial Bold" w:cs="Arial" w:eastAsiaTheme="minorEastAsia"/>
      <w:b/>
      <w:caps/>
      <w:kern w:val="14"/>
      <w:sz w:val="20"/>
      <w:szCs w:val="20"/>
      <w:u w:val="single"/>
    </w:rPr>
  </w:style>
  <w:style w:type="paragraph" w:styleId="ListBullet">
    <w:name w:val="List Bullet"/>
    <w:basedOn w:val="Normal"/>
    <w:uiPriority w:val="94"/>
    <w:semiHidden/>
    <w:rsid w:val="0006058F"/>
    <w:pPr>
      <w:numPr>
        <w:numId w:val="1"/>
      </w:numPr>
      <w:spacing w:after="240"/>
    </w:pPr>
  </w:style>
  <w:style w:type="paragraph" w:styleId="ListBullet2">
    <w:name w:val="List Bullet 2"/>
    <w:basedOn w:val="Normal"/>
    <w:uiPriority w:val="94"/>
    <w:semiHidden/>
    <w:rsid w:val="00500387"/>
    <w:pPr>
      <w:numPr>
        <w:numId w:val="2"/>
      </w:numPr>
      <w:spacing w:after="240"/>
    </w:pPr>
  </w:style>
  <w:style w:type="paragraph" w:styleId="BBBodyText2" w:customStyle="1">
    <w:name w:val="BB Body Text 2"/>
    <w:basedOn w:val="Normal"/>
    <w:link w:val="BBBodyText2Char"/>
    <w:qFormat/>
    <w:rsid w:val="00F04C15"/>
    <w:pPr>
      <w:spacing w:after="0" w:line="480" w:lineRule="auto"/>
      <w:ind w:firstLine="720"/>
    </w:pPr>
    <w:rPr>
      <w:rFonts w:ascii="Times New Roman" w:hAnsi="Times New Roman" w:eastAsia="Times New Roman"/>
      <w:sz w:val="24"/>
      <w:szCs w:val="24"/>
    </w:rPr>
  </w:style>
  <w:style w:type="paragraph" w:styleId="ListBullet3">
    <w:name w:val="List Bullet 3"/>
    <w:basedOn w:val="Normal"/>
    <w:uiPriority w:val="94"/>
    <w:semiHidden/>
    <w:qFormat/>
    <w:rsid w:val="00500387"/>
    <w:pPr>
      <w:numPr>
        <w:numId w:val="3"/>
      </w:numPr>
      <w:spacing w:after="240"/>
      <w:contextualSpacing/>
    </w:pPr>
  </w:style>
  <w:style w:type="paragraph" w:styleId="ListNumber3">
    <w:name w:val="List Number 3"/>
    <w:basedOn w:val="Normal"/>
    <w:uiPriority w:val="94"/>
    <w:semiHidden/>
    <w:rsid w:val="00F837A1"/>
    <w:pPr>
      <w:numPr>
        <w:numId w:val="45"/>
      </w:numPr>
      <w:tabs>
        <w:tab w:val="num" w:pos="360"/>
        <w:tab w:val="num" w:pos="504"/>
        <w:tab w:val="num" w:pos="936"/>
        <w:tab w:val="num" w:pos="1152"/>
      </w:tabs>
      <w:spacing w:line="480" w:lineRule="auto"/>
      <w:ind w:left="0" w:firstLine="0"/>
    </w:pPr>
  </w:style>
  <w:style w:type="paragraph" w:styleId="PHPgNum" w:customStyle="1">
    <w:name w:val="PH PgNum"/>
    <w:basedOn w:val="Normal"/>
    <w:uiPriority w:val="99"/>
    <w:semiHidden/>
    <w:rsid w:val="002D54C4"/>
    <w:pPr>
      <w:jc w:val="center"/>
    </w:pPr>
  </w:style>
  <w:style w:type="paragraph" w:styleId="Signature">
    <w:name w:val="Signature"/>
    <w:basedOn w:val="Normal"/>
    <w:link w:val="SignatureChar"/>
    <w:uiPriority w:val="94"/>
    <w:semiHidden/>
    <w:rsid w:val="002D54C4"/>
    <w:pPr>
      <w:ind w:left="4320"/>
    </w:pPr>
  </w:style>
  <w:style w:type="character" w:styleId="SignatureChar" w:customStyle="1">
    <w:name w:val="Signature Char"/>
    <w:basedOn w:val="DefaultParagraphFont"/>
    <w:link w:val="Signature"/>
    <w:uiPriority w:val="94"/>
    <w:semiHidden/>
    <w:rsid w:val="002D54C4"/>
    <w:rPr>
      <w:rFonts w:ascii="Arial" w:hAnsi="Arial" w:cs="Times New Roman"/>
      <w:sz w:val="20"/>
      <w:szCs w:val="20"/>
    </w:rPr>
  </w:style>
  <w:style w:type="paragraph" w:styleId="Subtitle2" w:customStyle="1">
    <w:name w:val="Subtitle2"/>
    <w:basedOn w:val="Normal"/>
    <w:next w:val="BodyTextFirstIndent"/>
    <w:uiPriority w:val="94"/>
    <w:semiHidden/>
    <w:qFormat/>
    <w:rsid w:val="002D54C4"/>
    <w:pPr>
      <w:keepNext/>
      <w:spacing w:after="240"/>
    </w:pPr>
    <w:rPr>
      <w:u w:val="single"/>
    </w:rPr>
  </w:style>
  <w:style w:type="paragraph" w:styleId="Subtitle3" w:customStyle="1">
    <w:name w:val="Subtitle3"/>
    <w:basedOn w:val="Normal"/>
    <w:next w:val="BodyTextFirstIndent"/>
    <w:uiPriority w:val="94"/>
    <w:semiHidden/>
    <w:rsid w:val="002D54C4"/>
    <w:pPr>
      <w:keepNext/>
      <w:spacing w:after="240"/>
    </w:pPr>
    <w:rPr>
      <w:b/>
    </w:rPr>
  </w:style>
  <w:style w:type="paragraph" w:styleId="Title2" w:customStyle="1">
    <w:name w:val="Title2"/>
    <w:basedOn w:val="Normal"/>
    <w:next w:val="BodyTextFirstIndent"/>
    <w:uiPriority w:val="94"/>
    <w:semiHidden/>
    <w:qFormat/>
    <w:rsid w:val="002D54C4"/>
    <w:pPr>
      <w:keepNext/>
      <w:spacing w:after="240"/>
      <w:jc w:val="center"/>
    </w:pPr>
    <w:rPr>
      <w:b/>
      <w:caps/>
    </w:rPr>
  </w:style>
  <w:style w:type="paragraph" w:styleId="TOC1">
    <w:name w:val="toc 1"/>
    <w:aliases w:val="zGTOC 1"/>
    <w:basedOn w:val="zGNormal"/>
    <w:next w:val="zGNormal"/>
    <w:uiPriority w:val="39"/>
    <w:rsid w:val="002D54C4"/>
    <w:pPr>
      <w:tabs>
        <w:tab w:val="left" w:leader="dot" w:pos="576"/>
        <w:tab w:val="left" w:pos="936"/>
        <w:tab w:val="left" w:pos="1152"/>
        <w:tab w:val="right" w:leader="dot" w:pos="9360"/>
      </w:tabs>
      <w:spacing w:before="60" w:after="60"/>
      <w:ind w:left="720" w:right="720" w:hanging="720"/>
    </w:pPr>
    <w:rPr>
      <w:rFonts w:ascii="Arial Bold" w:hAnsi="Arial Bold" w:eastAsia="Times New Roman"/>
      <w:b/>
      <w:caps/>
    </w:rPr>
  </w:style>
  <w:style w:type="character" w:styleId="ArticleL2Char" w:customStyle="1">
    <w:name w:val="Article_L2 Char"/>
    <w:basedOn w:val="DefaultParagraphFont"/>
    <w:link w:val="ArticleL2"/>
    <w:locked/>
    <w:rsid w:val="002D54C4"/>
    <w:rPr>
      <w:rFonts w:ascii="Times New Roman" w:hAnsi="Times New Roman" w:eastAsia="Times New Roman"/>
    </w:rPr>
  </w:style>
  <w:style w:type="character" w:styleId="BodyTextIndent3Char" w:customStyle="1">
    <w:name w:val="Body Text Indent 3 Char"/>
    <w:basedOn w:val="DefaultParagraphFont"/>
    <w:link w:val="BodyTextIndent3"/>
    <w:rsid w:val="002D54C4"/>
    <w:rPr>
      <w:rFonts w:ascii="Times New Roman" w:hAnsi="Times New Roman" w:eastAsia="Times New Roman"/>
      <w:sz w:val="24"/>
    </w:rPr>
  </w:style>
  <w:style w:type="character" w:styleId="DeltaViewInsertion" w:customStyle="1">
    <w:name w:val="DeltaView Insertion"/>
    <w:uiPriority w:val="99"/>
    <w:rsid w:val="002D54C4"/>
    <w:rPr>
      <w:color w:val="0000FF"/>
      <w:u w:val="double"/>
    </w:rPr>
  </w:style>
  <w:style w:type="paragraph" w:styleId="TOC2">
    <w:name w:val="toc 2"/>
    <w:aliases w:val="zgTOC 2"/>
    <w:basedOn w:val="Normal"/>
    <w:next w:val="Normal"/>
    <w:link w:val="TOC2Char"/>
    <w:uiPriority w:val="39"/>
    <w:rsid w:val="00502AAB"/>
    <w:pPr>
      <w:tabs>
        <w:tab w:val="left" w:pos="1440"/>
        <w:tab w:val="right" w:leader="dot" w:pos="9360"/>
      </w:tabs>
      <w:spacing w:after="0" w:line="240" w:lineRule="auto"/>
      <w:ind w:left="1440" w:right="720" w:hanging="720"/>
    </w:pPr>
    <w:rPr>
      <w:rFonts w:ascii="Arial" w:hAnsi="Arial" w:eastAsia="Times New Roman"/>
      <w:sz w:val="20"/>
    </w:rPr>
  </w:style>
  <w:style w:type="paragraph" w:styleId="TOC3">
    <w:name w:val="toc 3"/>
    <w:aliases w:val="zGTOC 3"/>
    <w:basedOn w:val="Normal"/>
    <w:next w:val="Normal"/>
    <w:uiPriority w:val="39"/>
    <w:rsid w:val="002D54C4"/>
    <w:pPr>
      <w:tabs>
        <w:tab w:val="left" w:pos="2160"/>
        <w:tab w:val="right" w:leader="dot" w:pos="9346"/>
      </w:tabs>
      <w:spacing w:after="60"/>
      <w:ind w:left="2160" w:right="720" w:hanging="720"/>
    </w:pPr>
    <w:rPr>
      <w:rFonts w:eastAsia="Times New Roman"/>
    </w:rPr>
  </w:style>
  <w:style w:type="paragraph" w:styleId="secondsub" w:customStyle="1">
    <w:name w:val="secondsub"/>
    <w:basedOn w:val="Normal"/>
    <w:rsid w:val="00960870"/>
    <w:pPr>
      <w:tabs>
        <w:tab w:val="left" w:pos="-720"/>
      </w:tabs>
      <w:adjustRightInd w:val="0"/>
      <w:spacing w:after="0" w:line="360" w:lineRule="atLeast"/>
      <w:ind w:left="720" w:hanging="720"/>
      <w:textAlignment w:val="baseline"/>
    </w:pPr>
    <w:rPr>
      <w:rFonts w:ascii="Times New Roman" w:hAnsi="Times New Roman" w:eastAsia="Times New Roman"/>
      <w:sz w:val="24"/>
    </w:rPr>
  </w:style>
  <w:style w:type="paragraph" w:styleId="TOC4">
    <w:name w:val="toc 4"/>
    <w:basedOn w:val="Normal"/>
    <w:next w:val="Normal"/>
    <w:autoRedefine/>
    <w:uiPriority w:val="39"/>
    <w:rsid w:val="002D54C4"/>
    <w:pPr>
      <w:tabs>
        <w:tab w:val="left" w:pos="1440"/>
        <w:tab w:val="left" w:pos="2880"/>
        <w:tab w:val="right" w:leader="dot" w:pos="9350"/>
      </w:tabs>
      <w:ind w:left="2880" w:right="720" w:hanging="720"/>
    </w:pPr>
    <w:rPr>
      <w:rFonts w:eastAsia="Times New Roman"/>
    </w:rPr>
  </w:style>
  <w:style w:type="paragraph" w:styleId="TOC5">
    <w:name w:val="toc 5"/>
    <w:basedOn w:val="Normal"/>
    <w:next w:val="Normal"/>
    <w:autoRedefine/>
    <w:uiPriority w:val="39"/>
    <w:rsid w:val="002D54C4"/>
    <w:pPr>
      <w:tabs>
        <w:tab w:val="left" w:pos="3600"/>
        <w:tab w:val="right" w:leader="dot" w:pos="9350"/>
      </w:tabs>
      <w:ind w:left="3600" w:right="720" w:hanging="720"/>
    </w:pPr>
    <w:rPr>
      <w:rFonts w:eastAsia="Times New Roman"/>
    </w:rPr>
  </w:style>
  <w:style w:type="paragraph" w:styleId="TOC6">
    <w:name w:val="toc 6"/>
    <w:basedOn w:val="Normal"/>
    <w:next w:val="Normal"/>
    <w:autoRedefine/>
    <w:uiPriority w:val="39"/>
    <w:rsid w:val="002D54C4"/>
    <w:pPr>
      <w:ind w:left="1200"/>
    </w:pPr>
    <w:rPr>
      <w:rFonts w:eastAsia="Times New Roman"/>
    </w:rPr>
  </w:style>
  <w:style w:type="paragraph" w:styleId="TOC7">
    <w:name w:val="toc 7"/>
    <w:basedOn w:val="Normal"/>
    <w:next w:val="Normal"/>
    <w:autoRedefine/>
    <w:uiPriority w:val="39"/>
    <w:rsid w:val="002D54C4"/>
    <w:pPr>
      <w:ind w:left="1440"/>
    </w:pPr>
    <w:rPr>
      <w:rFonts w:eastAsia="Times New Roman"/>
    </w:rPr>
  </w:style>
  <w:style w:type="paragraph" w:styleId="zGNormal6" w:customStyle="1">
    <w:name w:val="zGNormal+6"/>
    <w:qFormat/>
    <w:rsid w:val="00AA2E45"/>
    <w:pPr>
      <w:autoSpaceDE w:val="0"/>
      <w:autoSpaceDN w:val="0"/>
      <w:adjustRightInd w:val="0"/>
      <w:spacing w:before="120" w:after="120" w:line="240" w:lineRule="auto"/>
      <w:jc w:val="both"/>
    </w:pPr>
    <w:rPr>
      <w:rFonts w:ascii="Arial" w:hAnsi="Arial" w:cs="Arial" w:eastAsiaTheme="minorEastAsia"/>
      <w:kern w:val="14"/>
      <w:sz w:val="20"/>
      <w:szCs w:val="20"/>
    </w:rPr>
  </w:style>
  <w:style w:type="paragraph" w:styleId="TOC8">
    <w:name w:val="toc 8"/>
    <w:basedOn w:val="Normal"/>
    <w:next w:val="Normal"/>
    <w:autoRedefine/>
    <w:uiPriority w:val="39"/>
    <w:rsid w:val="002D54C4"/>
    <w:pPr>
      <w:ind w:left="1680"/>
    </w:pPr>
    <w:rPr>
      <w:rFonts w:eastAsia="Times New Roman"/>
    </w:rPr>
  </w:style>
  <w:style w:type="paragraph" w:styleId="TOC9">
    <w:name w:val="toc 9"/>
    <w:basedOn w:val="Normal"/>
    <w:next w:val="Normal"/>
    <w:autoRedefine/>
    <w:uiPriority w:val="39"/>
    <w:rsid w:val="002D54C4"/>
    <w:pPr>
      <w:ind w:left="1920"/>
    </w:pPr>
    <w:rPr>
      <w:rFonts w:eastAsia="Times New Roman"/>
    </w:rPr>
  </w:style>
  <w:style w:type="paragraph" w:styleId="BodyTextFirstIndent25" w:customStyle="1">
    <w:name w:val="Body Text First Indent 2 .5"/>
    <w:basedOn w:val="Normal"/>
    <w:uiPriority w:val="14"/>
    <w:semiHidden/>
    <w:rsid w:val="002D54C4"/>
    <w:pPr>
      <w:spacing w:line="480" w:lineRule="auto"/>
      <w:ind w:firstLine="720"/>
    </w:pPr>
    <w:rPr>
      <w:color w:val="000000" w:themeColor="text1"/>
    </w:rPr>
  </w:style>
  <w:style w:type="character" w:styleId="zG01Char" w:customStyle="1">
    <w:name w:val="zG01 Char"/>
    <w:basedOn w:val="DefaultParagraphFont"/>
    <w:uiPriority w:val="49"/>
    <w:semiHidden/>
    <w:rsid w:val="00AA2E45"/>
    <w:rPr>
      <w:rFonts w:cs="Arial"/>
      <w:b/>
      <w:caps/>
    </w:rPr>
  </w:style>
  <w:style w:type="paragraph" w:styleId="Subtitle-Bold" w:customStyle="1">
    <w:name w:val="Subtitle - Bold"/>
    <w:basedOn w:val="Subtitle"/>
    <w:uiPriority w:val="94"/>
    <w:semiHidden/>
    <w:rsid w:val="002D54C4"/>
    <w:pPr>
      <w:keepNext/>
      <w:numPr>
        <w:ilvl w:val="0"/>
      </w:numPr>
      <w:spacing w:after="240"/>
      <w:jc w:val="center"/>
    </w:pPr>
    <w:rPr>
      <w:rFonts w:cs="Times New Roman" w:eastAsiaTheme="minorHAnsi"/>
      <w:b/>
      <w:bCs/>
      <w:i w:val="0"/>
      <w:iCs w:val="0"/>
      <w:spacing w:val="0"/>
    </w:rPr>
  </w:style>
  <w:style w:type="paragraph" w:styleId="Article5L3" w:customStyle="1">
    <w:name w:val="Article5_L3"/>
    <w:basedOn w:val="Article5L2"/>
    <w:next w:val="BodyText"/>
    <w:rsid w:val="002D54C4"/>
    <w:pPr>
      <w:tabs>
        <w:tab w:val="num" w:pos="1440"/>
        <w:tab w:val="num" w:pos="2160"/>
      </w:tabs>
      <w:ind w:left="2520"/>
      <w:outlineLvl w:val="2"/>
    </w:pPr>
  </w:style>
  <w:style w:type="paragraph" w:styleId="DeltaViewAnnounce" w:customStyle="1">
    <w:name w:val="DeltaView Announce"/>
    <w:rsid w:val="002D54C4"/>
    <w:pPr>
      <w:widowControl w:val="0"/>
      <w:autoSpaceDE w:val="0"/>
      <w:autoSpaceDN w:val="0"/>
      <w:adjustRightInd w:val="0"/>
      <w:spacing w:after="240" w:line="360" w:lineRule="atLeast"/>
      <w:jc w:val="both"/>
      <w:textAlignment w:val="baseline"/>
    </w:pPr>
    <w:rPr>
      <w:rFonts w:ascii="Arial" w:hAnsi="Arial" w:eastAsia="Times New Roman" w:cs="Arial"/>
      <w:sz w:val="24"/>
      <w:szCs w:val="24"/>
    </w:rPr>
  </w:style>
  <w:style w:type="table" w:styleId="TableGrid">
    <w:name w:val="Table Grid"/>
    <w:basedOn w:val="TableNormal"/>
    <w:rsid w:val="002D54C4"/>
    <w:pPr>
      <w:spacing w:before="120" w:after="0" w:line="240" w:lineRule="auto"/>
      <w:jc w:val="both"/>
    </w:pPr>
    <w:rPr>
      <w:rFonts w:ascii="Arial" w:hAnsi="Arial"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Bullet4" w:customStyle="1">
    <w:name w:val="List Bullet4"/>
    <w:basedOn w:val="ListBullet3"/>
    <w:uiPriority w:val="94"/>
    <w:semiHidden/>
    <w:rsid w:val="00500387"/>
    <w:pPr>
      <w:numPr>
        <w:numId w:val="4"/>
      </w:numPr>
    </w:pPr>
  </w:style>
  <w:style w:type="character" w:styleId="DeltaViewDeletion" w:customStyle="1">
    <w:name w:val="DeltaView Deletion"/>
    <w:rsid w:val="002D54C4"/>
    <w:rPr>
      <w:strike/>
      <w:color w:val="FF0000"/>
    </w:rPr>
  </w:style>
  <w:style w:type="paragraph" w:styleId="zGBorder" w:customStyle="1">
    <w:name w:val="zGBorder"/>
    <w:uiPriority w:val="4"/>
    <w:rsid w:val="00AA2E45"/>
    <w:pPr>
      <w:widowControl w:val="0"/>
      <w:pBdr>
        <w:top w:val="single" w:color="auto" w:sz="18" w:space="5"/>
        <w:bottom w:val="single" w:color="auto" w:sz="18" w:space="5"/>
      </w:pBdr>
      <w:tabs>
        <w:tab w:val="right" w:pos="9864"/>
      </w:tabs>
      <w:autoSpaceDE w:val="0"/>
      <w:autoSpaceDN w:val="0"/>
      <w:adjustRightInd w:val="0"/>
      <w:spacing w:before="120" w:after="120" w:line="240" w:lineRule="auto"/>
    </w:pPr>
    <w:rPr>
      <w:rFonts w:ascii="Arial" w:hAnsi="Arial" w:cs="Arial" w:eastAsiaTheme="minorEastAsia"/>
      <w:spacing w:val="-6"/>
      <w:kern w:val="14"/>
      <w:sz w:val="20"/>
      <w:szCs w:val="24"/>
    </w:rPr>
  </w:style>
  <w:style w:type="paragraph" w:styleId="ListBullet5" w:customStyle="1">
    <w:name w:val="List Bullet5"/>
    <w:basedOn w:val="ListBullet2"/>
    <w:uiPriority w:val="94"/>
    <w:semiHidden/>
    <w:rsid w:val="00772385"/>
    <w:pPr>
      <w:numPr>
        <w:numId w:val="5"/>
      </w:numPr>
    </w:pPr>
  </w:style>
  <w:style w:type="paragraph" w:styleId="BodyTextIndent15" w:customStyle="1">
    <w:name w:val="Body Text Indent 1.5"/>
    <w:basedOn w:val="BodyTextIndent"/>
    <w:uiPriority w:val="14"/>
    <w:semiHidden/>
    <w:rsid w:val="002D54C4"/>
    <w:pPr>
      <w:ind w:left="2160"/>
    </w:pPr>
  </w:style>
  <w:style w:type="character" w:styleId="Hyperlink">
    <w:name w:val="Hyperlink"/>
    <w:aliases w:val="zGHyperlink"/>
    <w:basedOn w:val="DefaultParagraphFont"/>
    <w:uiPriority w:val="99"/>
    <w:rsid w:val="002D54C4"/>
    <w:rPr>
      <w:rFonts w:ascii="Arial" w:hAnsi="Arial"/>
      <w:color w:val="0000FF" w:themeColor="hyperlink"/>
      <w:sz w:val="20"/>
      <w:u w:val="single"/>
    </w:rPr>
  </w:style>
  <w:style w:type="character" w:styleId="PageNumber">
    <w:name w:val="page number"/>
    <w:basedOn w:val="DefaultParagraphFont"/>
    <w:rsid w:val="002D54C4"/>
  </w:style>
  <w:style w:type="character" w:styleId="zzmpTrailerItem" w:customStyle="1">
    <w:name w:val="zzmpTrailerItem"/>
    <w:basedOn w:val="DefaultParagraphFont"/>
    <w:uiPriority w:val="94"/>
    <w:rsid w:val="00AA2E45"/>
    <w:rPr>
      <w:rFonts w:ascii="Arial" w:hAnsi="Arial" w:cs="Arial"/>
      <w:dstrike w:val="0"/>
      <w:noProof/>
      <w:color w:val="auto"/>
      <w:spacing w:val="0"/>
      <w:position w:val="0"/>
      <w:sz w:val="16"/>
      <w:szCs w:val="16"/>
      <w:u w:val="none"/>
      <w:effect w:val="none"/>
      <w:vertAlign w:val="baseline"/>
    </w:rPr>
  </w:style>
  <w:style w:type="character" w:styleId="zGBody5Char" w:customStyle="1">
    <w:name w:val="zGBody 5 Char"/>
    <w:basedOn w:val="DefaultParagraphFont"/>
    <w:link w:val="zGBody5"/>
    <w:uiPriority w:val="2"/>
    <w:rsid w:val="002D54C4"/>
    <w:rPr>
      <w:rFonts w:ascii="Arial" w:hAnsi="Arial" w:cs="Times New Roman"/>
      <w:sz w:val="20"/>
      <w:szCs w:val="20"/>
    </w:rPr>
  </w:style>
  <w:style w:type="character" w:styleId="CommentReference">
    <w:name w:val="annotation reference"/>
    <w:basedOn w:val="DefaultParagraphFont"/>
    <w:uiPriority w:val="99"/>
    <w:unhideWhenUsed/>
    <w:rsid w:val="002D54C4"/>
    <w:rPr>
      <w:sz w:val="16"/>
      <w:szCs w:val="16"/>
    </w:rPr>
  </w:style>
  <w:style w:type="paragraph" w:styleId="CommentText">
    <w:name w:val="annotation text"/>
    <w:basedOn w:val="Normal"/>
    <w:link w:val="CommentTextChar"/>
    <w:uiPriority w:val="99"/>
    <w:unhideWhenUsed/>
    <w:rsid w:val="002D54C4"/>
    <w:rPr>
      <w:sz w:val="18"/>
    </w:rPr>
  </w:style>
  <w:style w:type="character" w:styleId="CommentTextChar" w:customStyle="1">
    <w:name w:val="Comment Text Char"/>
    <w:basedOn w:val="DefaultParagraphFont"/>
    <w:link w:val="CommentText"/>
    <w:uiPriority w:val="99"/>
    <w:rsid w:val="002D54C4"/>
    <w:rPr>
      <w:rFonts w:ascii="Arial" w:hAnsi="Arial" w:cs="Times New Roman"/>
      <w:sz w:val="18"/>
      <w:szCs w:val="20"/>
    </w:rPr>
  </w:style>
  <w:style w:type="paragraph" w:styleId="CommentSubject">
    <w:name w:val="annotation subject"/>
    <w:basedOn w:val="CommentText"/>
    <w:next w:val="CommentText"/>
    <w:link w:val="CommentSubjectChar"/>
    <w:semiHidden/>
    <w:unhideWhenUsed/>
    <w:rsid w:val="002D54C4"/>
    <w:rPr>
      <w:b/>
      <w:bCs/>
    </w:rPr>
  </w:style>
  <w:style w:type="paragraph" w:styleId="TOC11" w:customStyle="1">
    <w:name w:val="TOC1_1"/>
    <w:link w:val="TOC1Char"/>
    <w:uiPriority w:val="39"/>
    <w:pPr>
      <w:tabs>
        <w:tab w:val="left" w:leader="dot" w:pos="576"/>
        <w:tab w:val="left" w:pos="936"/>
        <w:tab w:val="left" w:pos="1152"/>
        <w:tab w:val="right" w:leader="dot" w:pos="9360"/>
      </w:tabs>
      <w:autoSpaceDE w:val="0"/>
      <w:autoSpaceDN w:val="0"/>
      <w:adjustRightInd w:val="0"/>
      <w:spacing w:before="60" w:after="60" w:line="240" w:lineRule="auto"/>
      <w:ind w:left="720" w:right="720" w:hanging="720"/>
      <w:jc w:val="both"/>
    </w:pPr>
    <w:rPr>
      <w:rFonts w:ascii="Arial Bold" w:hAnsi="Arial Bold" w:eastAsia="Times New Roman" w:cs="Arial"/>
      <w:b/>
      <w:caps/>
      <w:kern w:val="14"/>
      <w:sz w:val="20"/>
      <w:szCs w:val="20"/>
    </w:rPr>
  </w:style>
  <w:style w:type="character" w:styleId="CommentSubjectChar" w:customStyle="1">
    <w:name w:val="Comment Subject Char"/>
    <w:basedOn w:val="CommentTextChar"/>
    <w:link w:val="CommentSubject"/>
    <w:semiHidden/>
    <w:rsid w:val="002D54C4"/>
    <w:rPr>
      <w:rFonts w:ascii="Arial" w:hAnsi="Arial" w:cs="Times New Roman"/>
      <w:b/>
      <w:bCs/>
      <w:sz w:val="18"/>
      <w:szCs w:val="20"/>
    </w:rPr>
  </w:style>
  <w:style w:type="paragraph" w:styleId="NoSpacing">
    <w:name w:val="No Spacing"/>
    <w:uiPriority w:val="94"/>
    <w:qFormat/>
    <w:rsid w:val="002D54C4"/>
    <w:pPr>
      <w:spacing w:before="120" w:after="0" w:line="240" w:lineRule="auto"/>
      <w:jc w:val="both"/>
    </w:pPr>
    <w:rPr>
      <w:rFonts w:ascii="Arial" w:hAnsi="Arial" w:eastAsia="Calibri" w:cs="Times New Roman"/>
      <w:sz w:val="20"/>
      <w:szCs w:val="20"/>
    </w:rPr>
  </w:style>
  <w:style w:type="character" w:styleId="UnresolvedMention1" w:customStyle="1">
    <w:name w:val="Unresolved Mention1"/>
    <w:basedOn w:val="DefaultParagraphFont"/>
    <w:uiPriority w:val="99"/>
    <w:semiHidden/>
    <w:rsid w:val="002D54C4"/>
    <w:rPr>
      <w:color w:val="605E5C"/>
      <w:shd w:val="clear" w:color="auto" w:fill="E1DFDD"/>
    </w:rPr>
  </w:style>
  <w:style w:type="paragraph" w:styleId="DeltaViewTableHeading" w:customStyle="1">
    <w:name w:val="DeltaView Table Heading"/>
    <w:basedOn w:val="Normal"/>
    <w:rsid w:val="00960870"/>
    <w:pPr>
      <w:autoSpaceDE w:val="0"/>
      <w:autoSpaceDN w:val="0"/>
      <w:adjustRightInd w:val="0"/>
      <w:spacing w:line="360" w:lineRule="atLeast"/>
      <w:textAlignment w:val="baseline"/>
    </w:pPr>
    <w:rPr>
      <w:rFonts w:eastAsia="Times New Roman" w:cs="Arial"/>
      <w:b/>
      <w:bCs/>
      <w:sz w:val="24"/>
      <w:szCs w:val="24"/>
    </w:rPr>
  </w:style>
  <w:style w:type="character" w:styleId="Mention1" w:customStyle="1">
    <w:name w:val="Mention1"/>
    <w:basedOn w:val="DefaultParagraphFont"/>
    <w:uiPriority w:val="99"/>
    <w:semiHidden/>
    <w:rsid w:val="002D54C4"/>
    <w:rPr>
      <w:color w:val="2B579A"/>
      <w:shd w:val="clear" w:color="auto" w:fill="E1DFDD"/>
    </w:rPr>
  </w:style>
  <w:style w:type="character" w:styleId="UnresolvedMention2" w:customStyle="1">
    <w:name w:val="Unresolved Mention2"/>
    <w:basedOn w:val="DefaultParagraphFont"/>
    <w:uiPriority w:val="99"/>
    <w:semiHidden/>
    <w:rsid w:val="002D54C4"/>
    <w:rPr>
      <w:color w:val="605E5C"/>
      <w:shd w:val="clear" w:color="auto" w:fill="E1DFDD"/>
    </w:rPr>
  </w:style>
  <w:style w:type="paragraph" w:styleId="TableofAuthorities">
    <w:name w:val="table of authorities"/>
    <w:basedOn w:val="Normal"/>
    <w:next w:val="Normal"/>
    <w:uiPriority w:val="99"/>
    <w:semiHidden/>
    <w:unhideWhenUsed/>
    <w:rsid w:val="00960870"/>
    <w:pPr>
      <w:widowControl w:val="0"/>
      <w:adjustRightInd w:val="0"/>
      <w:spacing w:after="0" w:line="360" w:lineRule="atLeast"/>
      <w:ind w:left="240" w:hanging="240"/>
      <w:textAlignment w:val="baseline"/>
    </w:pPr>
    <w:rPr>
      <w:rFonts w:ascii="Times New Roman" w:hAnsi="Times New Roman" w:eastAsia="Times New Roman"/>
      <w:sz w:val="24"/>
    </w:rPr>
  </w:style>
  <w:style w:type="paragraph" w:styleId="zGTitle14" w:customStyle="1">
    <w:name w:val="zGTitle14"/>
    <w:link w:val="zGTitle14Char"/>
    <w:uiPriority w:val="3"/>
    <w:qFormat/>
    <w:rsid w:val="00AA2E45"/>
    <w:pPr>
      <w:spacing w:after="120" w:line="240" w:lineRule="auto"/>
      <w:jc w:val="center"/>
    </w:pPr>
    <w:rPr>
      <w:rFonts w:ascii="Arial" w:hAnsi="Arial" w:eastAsia="Times New Roman" w:cs="Times New Roman"/>
      <w:b/>
      <w:spacing w:val="-6"/>
      <w:kern w:val="14"/>
      <w:sz w:val="28"/>
      <w:szCs w:val="24"/>
    </w:rPr>
  </w:style>
  <w:style w:type="character" w:styleId="SmartLink1" w:customStyle="1">
    <w:name w:val="SmartLink1"/>
    <w:basedOn w:val="DefaultParagraphFont"/>
    <w:uiPriority w:val="99"/>
    <w:rsid w:val="002D54C4"/>
    <w:rPr>
      <w:color w:val="0000FF"/>
      <w:u w:val="single"/>
      <w:shd w:val="clear" w:color="auto" w:fill="F3F2F1"/>
    </w:rPr>
  </w:style>
  <w:style w:type="character" w:styleId="RightPar" w:customStyle="1">
    <w:name w:val="Right Par"/>
    <w:basedOn w:val="DefaultParagraphFont"/>
    <w:rsid w:val="002D54C4"/>
  </w:style>
  <w:style w:type="paragraph" w:styleId="Revision">
    <w:name w:val="Revision"/>
    <w:hidden/>
    <w:uiPriority w:val="99"/>
    <w:semiHidden/>
    <w:rsid w:val="002D54C4"/>
    <w:pPr>
      <w:spacing w:before="120" w:after="0" w:line="240" w:lineRule="auto"/>
      <w:jc w:val="both"/>
    </w:pPr>
    <w:rPr>
      <w:rFonts w:ascii="Arial" w:hAnsi="Arial" w:eastAsia="Calibri" w:cs="Times New Roman"/>
      <w:sz w:val="20"/>
      <w:szCs w:val="20"/>
    </w:rPr>
  </w:style>
  <w:style w:type="character" w:styleId="eop" w:customStyle="1">
    <w:name w:val="eop"/>
    <w:basedOn w:val="DefaultParagraphFont"/>
    <w:rsid w:val="002D54C4"/>
  </w:style>
  <w:style w:type="paragraph" w:styleId="Para2" w:customStyle="1">
    <w:name w:val="Para2"/>
    <w:basedOn w:val="Normal"/>
    <w:link w:val="Para2Char"/>
    <w:rsid w:val="002F6F9C"/>
    <w:pPr>
      <w:overflowPunct w:val="0"/>
      <w:autoSpaceDE w:val="0"/>
      <w:autoSpaceDN w:val="0"/>
      <w:adjustRightInd w:val="0"/>
      <w:spacing w:after="0" w:line="480" w:lineRule="auto"/>
      <w:ind w:firstLine="1440"/>
      <w:textAlignment w:val="baseline"/>
    </w:pPr>
    <w:rPr>
      <w:rFonts w:ascii="Times New Roman" w:hAnsi="Times New Roman" w:eastAsia="Times New Roman"/>
      <w:sz w:val="24"/>
    </w:rPr>
  </w:style>
  <w:style w:type="character" w:styleId="Mention2" w:customStyle="1">
    <w:name w:val="Mention2"/>
    <w:basedOn w:val="DefaultParagraphFont"/>
    <w:uiPriority w:val="99"/>
    <w:semiHidden/>
    <w:rsid w:val="002D54C4"/>
    <w:rPr>
      <w:color w:val="2B579A"/>
      <w:shd w:val="clear" w:color="auto" w:fill="E6E6E6"/>
    </w:rPr>
  </w:style>
  <w:style w:type="paragraph" w:styleId="zGTableTxt09" w:customStyle="1">
    <w:name w:val="zGTableTxt09"/>
    <w:uiPriority w:val="7"/>
    <w:qFormat/>
    <w:rsid w:val="00AA2E45"/>
    <w:pPr>
      <w:widowControl w:val="0"/>
      <w:autoSpaceDE w:val="0"/>
      <w:autoSpaceDN w:val="0"/>
      <w:adjustRightInd w:val="0"/>
      <w:spacing w:after="0" w:line="240" w:lineRule="auto"/>
    </w:pPr>
    <w:rPr>
      <w:rFonts w:ascii="Arial" w:hAnsi="Arial" w:cs="Arial" w:eastAsiaTheme="minorEastAsia"/>
      <w:spacing w:val="-6"/>
      <w:kern w:val="14"/>
      <w:sz w:val="18"/>
      <w:szCs w:val="20"/>
    </w:rPr>
  </w:style>
  <w:style w:type="character" w:styleId="UnresolvedMention3" w:customStyle="1">
    <w:name w:val="Unresolved Mention3"/>
    <w:basedOn w:val="DefaultParagraphFont"/>
    <w:uiPriority w:val="99"/>
    <w:semiHidden/>
    <w:rsid w:val="002D54C4"/>
    <w:rPr>
      <w:color w:val="605E5C"/>
      <w:shd w:val="clear" w:color="auto" w:fill="E1DFDD"/>
    </w:rPr>
  </w:style>
  <w:style w:type="paragraph" w:styleId="zGTableHeading1" w:customStyle="1">
    <w:name w:val="zGTableHeading1"/>
    <w:uiPriority w:val="7"/>
    <w:rsid w:val="00AA2E45"/>
    <w:pPr>
      <w:keepNext/>
      <w:keepLines/>
      <w:widowControl w:val="0"/>
      <w:autoSpaceDE w:val="0"/>
      <w:autoSpaceDN w:val="0"/>
      <w:adjustRightInd w:val="0"/>
      <w:spacing w:after="0" w:line="240" w:lineRule="auto"/>
      <w:jc w:val="center"/>
      <w:outlineLvl w:val="0"/>
    </w:pPr>
    <w:rPr>
      <w:rFonts w:ascii="Arial" w:hAnsi="Arial" w:cs="Arial" w:eastAsiaTheme="minorEastAsia"/>
      <w:b/>
      <w:smallCaps/>
      <w:color w:val="000000"/>
      <w:spacing w:val="-6"/>
      <w:kern w:val="14"/>
      <w:sz w:val="20"/>
      <w:szCs w:val="24"/>
    </w:rPr>
  </w:style>
  <w:style w:type="paragraph" w:styleId="EndnoteText">
    <w:name w:val="endnote text"/>
    <w:basedOn w:val="Normal"/>
    <w:link w:val="EndnoteTextChar"/>
    <w:unhideWhenUsed/>
    <w:rsid w:val="002D54C4"/>
  </w:style>
  <w:style w:type="paragraph" w:styleId="TOAHeading">
    <w:name w:val="toa heading"/>
    <w:basedOn w:val="Normal"/>
    <w:next w:val="Normal"/>
    <w:semiHidden/>
    <w:rsid w:val="00960870"/>
    <w:pPr>
      <w:widowControl w:val="0"/>
      <w:tabs>
        <w:tab w:val="right" w:pos="9360"/>
      </w:tabs>
      <w:suppressAutoHyphens/>
      <w:adjustRightInd w:val="0"/>
      <w:spacing w:after="0" w:line="360" w:lineRule="atLeast"/>
      <w:textAlignment w:val="baseline"/>
    </w:pPr>
    <w:rPr>
      <w:rFonts w:ascii="Times New Roman" w:hAnsi="Times New Roman" w:eastAsia="Times New Roman"/>
      <w:sz w:val="24"/>
    </w:rPr>
  </w:style>
  <w:style w:type="character" w:styleId="EndnoteTextChar" w:customStyle="1">
    <w:name w:val="Endnote Text Char"/>
    <w:basedOn w:val="DefaultParagraphFont"/>
    <w:link w:val="EndnoteText"/>
    <w:rsid w:val="002D54C4"/>
    <w:rPr>
      <w:rFonts w:ascii="Arial" w:hAnsi="Arial" w:cs="Times New Roman"/>
      <w:sz w:val="20"/>
      <w:szCs w:val="20"/>
    </w:rPr>
  </w:style>
  <w:style w:type="paragraph" w:styleId="zG01" w:customStyle="1">
    <w:name w:val="zG01"/>
    <w:basedOn w:val="Normal"/>
    <w:next w:val="Normal"/>
    <w:uiPriority w:val="24"/>
    <w:qFormat/>
    <w:rsid w:val="00F837A1"/>
    <w:pPr>
      <w:keepNext/>
      <w:widowControl w:val="0"/>
      <w:numPr>
        <w:numId w:val="30"/>
      </w:numPr>
      <w:autoSpaceDE w:val="0"/>
      <w:autoSpaceDN w:val="0"/>
      <w:adjustRightInd w:val="0"/>
      <w:spacing w:before="240" w:after="60" w:line="240" w:lineRule="auto"/>
      <w:jc w:val="both"/>
      <w:outlineLvl w:val="0"/>
    </w:pPr>
    <w:rPr>
      <w:rFonts w:ascii="Arial" w:hAnsi="Arial" w:cs="Arial" w:eastAsiaTheme="minorEastAsia"/>
      <w:b/>
      <w:caps/>
      <w:spacing w:val="-6"/>
      <w:kern w:val="14"/>
      <w:sz w:val="20"/>
      <w:szCs w:val="20"/>
    </w:rPr>
  </w:style>
  <w:style w:type="paragraph" w:styleId="zG02" w:customStyle="1">
    <w:name w:val="zG02"/>
    <w:basedOn w:val="Normal"/>
    <w:uiPriority w:val="24"/>
    <w:rsid w:val="00F837A1"/>
    <w:pPr>
      <w:widowControl w:val="0"/>
      <w:numPr>
        <w:ilvl w:val="1"/>
        <w:numId w:val="30"/>
      </w:numPr>
      <w:tabs>
        <w:tab w:val="left" w:pos="576"/>
        <w:tab w:val="num" w:pos="648"/>
      </w:tabs>
      <w:autoSpaceDE w:val="0"/>
      <w:autoSpaceDN w:val="0"/>
      <w:adjustRightInd w:val="0"/>
      <w:spacing w:before="120" w:after="0" w:line="240" w:lineRule="auto"/>
      <w:ind w:left="1440" w:hanging="360"/>
      <w:jc w:val="both"/>
      <w:outlineLvl w:val="1"/>
    </w:pPr>
    <w:rPr>
      <w:rFonts w:ascii="Arial" w:hAnsi="Arial" w:cs="Arial" w:eastAsiaTheme="minorEastAsia"/>
      <w:spacing w:val="-6"/>
      <w:kern w:val="14"/>
      <w:sz w:val="20"/>
      <w:szCs w:val="20"/>
    </w:rPr>
  </w:style>
  <w:style w:type="character" w:styleId="zG02Char" w:customStyle="1">
    <w:name w:val="zG02 Char"/>
    <w:basedOn w:val="zG01Char"/>
    <w:uiPriority w:val="49"/>
    <w:semiHidden/>
    <w:rsid w:val="00AA2E45"/>
    <w:rPr>
      <w:rFonts w:cs="Arial"/>
      <w:b w:val="0"/>
      <w:caps w:val="0"/>
    </w:rPr>
  </w:style>
  <w:style w:type="paragraph" w:styleId="zG03" w:customStyle="1">
    <w:name w:val="zG03"/>
    <w:basedOn w:val="Normal"/>
    <w:uiPriority w:val="24"/>
    <w:rsid w:val="00AA2E45"/>
    <w:pPr>
      <w:widowControl w:val="0"/>
      <w:numPr>
        <w:ilvl w:val="2"/>
        <w:numId w:val="30"/>
      </w:numPr>
      <w:tabs>
        <w:tab w:val="left" w:pos="576"/>
      </w:tabs>
      <w:autoSpaceDE w:val="0"/>
      <w:autoSpaceDN w:val="0"/>
      <w:adjustRightInd w:val="0"/>
      <w:spacing w:before="120" w:after="0" w:line="240" w:lineRule="auto"/>
      <w:jc w:val="both"/>
      <w:outlineLvl w:val="2"/>
    </w:pPr>
    <w:rPr>
      <w:rFonts w:ascii="Arial" w:hAnsi="Arial" w:cs="Arial" w:eastAsiaTheme="minorEastAsia"/>
      <w:spacing w:val="-6"/>
      <w:kern w:val="14"/>
      <w:sz w:val="20"/>
      <w:szCs w:val="20"/>
    </w:rPr>
  </w:style>
  <w:style w:type="character" w:styleId="TOC1Char" w:customStyle="1">
    <w:name w:val="TOC 1 Char"/>
    <w:aliases w:val="zGTOC 1 Char"/>
    <w:basedOn w:val="zGNormalChar"/>
    <w:link w:val="TOC11"/>
    <w:uiPriority w:val="39"/>
    <w:rsid w:val="002D54C4"/>
    <w:rPr>
      <w:rFonts w:ascii="Arial Bold" w:hAnsi="Arial Bold" w:eastAsia="Times New Roman" w:cs="Arial"/>
      <w:b/>
      <w:caps/>
      <w:kern w:val="14"/>
      <w:sz w:val="20"/>
      <w:szCs w:val="20"/>
    </w:rPr>
  </w:style>
  <w:style w:type="paragraph" w:styleId="zG04" w:customStyle="1">
    <w:name w:val="zG04"/>
    <w:basedOn w:val="Normal"/>
    <w:uiPriority w:val="24"/>
    <w:rsid w:val="00F837A1"/>
    <w:pPr>
      <w:widowControl w:val="0"/>
      <w:numPr>
        <w:ilvl w:val="3"/>
        <w:numId w:val="30"/>
      </w:numPr>
      <w:tabs>
        <w:tab w:val="clear" w:pos="936"/>
        <w:tab w:val="left" w:pos="1008"/>
        <w:tab w:val="left" w:pos="1080"/>
        <w:tab w:val="num" w:pos="1944"/>
      </w:tabs>
      <w:autoSpaceDE w:val="0"/>
      <w:autoSpaceDN w:val="0"/>
      <w:adjustRightInd w:val="0"/>
      <w:spacing w:before="60" w:after="0" w:line="240" w:lineRule="auto"/>
      <w:ind w:left="1440" w:hanging="360"/>
      <w:jc w:val="both"/>
      <w:outlineLvl w:val="3"/>
    </w:pPr>
    <w:rPr>
      <w:rFonts w:ascii="Arial" w:hAnsi="Arial" w:cs="Arial" w:eastAsiaTheme="minorEastAsia"/>
      <w:spacing w:val="-6"/>
      <w:kern w:val="14"/>
      <w:sz w:val="20"/>
      <w:szCs w:val="20"/>
    </w:rPr>
  </w:style>
  <w:style w:type="paragraph" w:styleId="zGFooter" w:customStyle="1">
    <w:name w:val="zGFooter"/>
    <w:next w:val="Normal"/>
    <w:uiPriority w:val="5"/>
    <w:qFormat/>
    <w:rsid w:val="00AA2E45"/>
    <w:pPr>
      <w:widowControl w:val="0"/>
      <w:tabs>
        <w:tab w:val="center" w:pos="5040"/>
        <w:tab w:val="right" w:pos="8630"/>
      </w:tabs>
      <w:autoSpaceDE w:val="0"/>
      <w:autoSpaceDN w:val="0"/>
      <w:adjustRightInd w:val="0"/>
      <w:spacing w:after="0" w:line="240" w:lineRule="auto"/>
    </w:pPr>
    <w:rPr>
      <w:rFonts w:ascii="Arial" w:hAnsi="Arial" w:cs="Arial" w:eastAsiaTheme="minorEastAsia"/>
      <w:spacing w:val="-6"/>
      <w:kern w:val="14"/>
      <w:sz w:val="16"/>
      <w:szCs w:val="20"/>
    </w:rPr>
  </w:style>
  <w:style w:type="paragraph" w:styleId="zG05" w:customStyle="1">
    <w:name w:val="zG05"/>
    <w:basedOn w:val="Normal"/>
    <w:uiPriority w:val="24"/>
    <w:rsid w:val="00F837A1"/>
    <w:pPr>
      <w:widowControl w:val="0"/>
      <w:numPr>
        <w:ilvl w:val="4"/>
        <w:numId w:val="30"/>
      </w:numPr>
      <w:tabs>
        <w:tab w:val="left" w:pos="1368"/>
        <w:tab w:val="num" w:pos="2448"/>
      </w:tabs>
      <w:autoSpaceDE w:val="0"/>
      <w:autoSpaceDN w:val="0"/>
      <w:adjustRightInd w:val="0"/>
      <w:spacing w:before="60" w:after="0" w:line="240" w:lineRule="auto"/>
      <w:ind w:left="1944" w:hanging="360"/>
      <w:jc w:val="both"/>
      <w:outlineLvl w:val="4"/>
    </w:pPr>
    <w:rPr>
      <w:rFonts w:ascii="Arial" w:hAnsi="Arial" w:cs="Arial" w:eastAsiaTheme="minorEastAsia"/>
      <w:spacing w:val="-6"/>
      <w:kern w:val="14"/>
      <w:sz w:val="20"/>
      <w:szCs w:val="20"/>
    </w:rPr>
  </w:style>
  <w:style w:type="paragraph" w:styleId="zGFooterLine" w:customStyle="1">
    <w:name w:val="zGFooterLine"/>
    <w:basedOn w:val="Normal"/>
    <w:uiPriority w:val="5"/>
    <w:rsid w:val="00AA2E45"/>
    <w:pPr>
      <w:widowControl w:val="0"/>
      <w:pBdr>
        <w:bottom w:val="single" w:color="auto" w:sz="2" w:space="1"/>
      </w:pBdr>
      <w:tabs>
        <w:tab w:val="center" w:pos="5040"/>
        <w:tab w:val="right" w:pos="8630"/>
      </w:tabs>
      <w:autoSpaceDE w:val="0"/>
      <w:autoSpaceDN w:val="0"/>
      <w:adjustRightInd w:val="0"/>
      <w:spacing w:after="80" w:line="240" w:lineRule="auto"/>
      <w:jc w:val="both"/>
    </w:pPr>
    <w:rPr>
      <w:rFonts w:ascii="Arial" w:hAnsi="Arial" w:cs="Times New Roman" w:eastAsiaTheme="minorEastAsia"/>
      <w:spacing w:val="-6"/>
      <w:kern w:val="14"/>
      <w:sz w:val="8"/>
      <w:szCs w:val="24"/>
    </w:rPr>
  </w:style>
  <w:style w:type="paragraph" w:styleId="zGHeaderDraft" w:customStyle="1">
    <w:name w:val="zGHeaderDraft"/>
    <w:next w:val="Normal"/>
    <w:uiPriority w:val="99"/>
    <w:semiHidden/>
    <w:qFormat/>
    <w:rsid w:val="00AA2E45"/>
    <w:pPr>
      <w:widowControl w:val="0"/>
      <w:tabs>
        <w:tab w:val="right" w:pos="9936"/>
      </w:tabs>
      <w:autoSpaceDE w:val="0"/>
      <w:autoSpaceDN w:val="0"/>
      <w:adjustRightInd w:val="0"/>
      <w:spacing w:after="0" w:line="240" w:lineRule="auto"/>
      <w:jc w:val="right"/>
    </w:pPr>
    <w:rPr>
      <w:rFonts w:ascii="Arial Bold" w:hAnsi="Arial Bold" w:cs="Arial" w:eastAsiaTheme="minorEastAsia"/>
      <w:b/>
      <w:i/>
      <w:color w:val="FF0000"/>
      <w:spacing w:val="-6"/>
      <w:kern w:val="14"/>
      <w:sz w:val="18"/>
      <w:szCs w:val="20"/>
    </w:rPr>
  </w:style>
  <w:style w:type="paragraph" w:styleId="zGHiddenTitle" w:customStyle="1">
    <w:name w:val="zGHiddenTitle"/>
    <w:uiPriority w:val="9"/>
    <w:semiHidden/>
    <w:rsid w:val="00AA2E45"/>
    <w:pPr>
      <w:keepNext/>
      <w:widowControl w:val="0"/>
      <w:autoSpaceDE w:val="0"/>
      <w:autoSpaceDN w:val="0"/>
      <w:adjustRightInd w:val="0"/>
      <w:spacing w:after="0" w:line="240" w:lineRule="auto"/>
    </w:pPr>
    <w:rPr>
      <w:rFonts w:ascii="Arial" w:hAnsi="Arial" w:cs="Arial" w:eastAsiaTheme="minorEastAsia"/>
      <w:color w:val="FFFFFF"/>
      <w:spacing w:val="-6"/>
      <w:kern w:val="14"/>
      <w:sz w:val="2"/>
      <w:szCs w:val="20"/>
    </w:rPr>
  </w:style>
  <w:style w:type="paragraph" w:styleId="zGListi" w:customStyle="1">
    <w:name w:val="zGList(i)"/>
    <w:uiPriority w:val="6"/>
    <w:qFormat/>
    <w:rsid w:val="001B1506"/>
    <w:pPr>
      <w:widowControl w:val="0"/>
      <w:numPr>
        <w:numId w:val="32"/>
      </w:numPr>
      <w:autoSpaceDE w:val="0"/>
      <w:autoSpaceDN w:val="0"/>
      <w:adjustRightInd w:val="0"/>
      <w:spacing w:before="120" w:after="0" w:line="240" w:lineRule="auto"/>
      <w:jc w:val="both"/>
    </w:pPr>
    <w:rPr>
      <w:rFonts w:ascii="Arial" w:hAnsi="Arial" w:cs="Arial" w:eastAsiaTheme="minorEastAsia"/>
      <w:spacing w:val="-6"/>
      <w:kern w:val="14"/>
      <w:sz w:val="20"/>
      <w:szCs w:val="20"/>
    </w:rPr>
  </w:style>
  <w:style w:type="paragraph" w:styleId="zGListBullet" w:customStyle="1">
    <w:name w:val="zGListBullet"/>
    <w:uiPriority w:val="6"/>
    <w:qFormat/>
    <w:rsid w:val="00F837A1"/>
    <w:pPr>
      <w:widowControl w:val="0"/>
      <w:numPr>
        <w:numId w:val="33"/>
      </w:numPr>
      <w:tabs>
        <w:tab w:val="num" w:pos="936"/>
        <w:tab w:val="num" w:pos="1152"/>
      </w:tabs>
      <w:autoSpaceDE w:val="0"/>
      <w:autoSpaceDN w:val="0"/>
      <w:adjustRightInd w:val="0"/>
      <w:spacing w:before="60" w:after="0" w:line="240" w:lineRule="auto"/>
      <w:ind w:left="1152" w:hanging="1152"/>
      <w:jc w:val="both"/>
    </w:pPr>
    <w:rPr>
      <w:rFonts w:ascii="Arial" w:hAnsi="Arial" w:cs="Arial" w:eastAsiaTheme="minorEastAsia"/>
      <w:spacing w:val="-6"/>
      <w:kern w:val="14"/>
      <w:sz w:val="20"/>
      <w:szCs w:val="20"/>
    </w:rPr>
  </w:style>
  <w:style w:type="paragraph" w:styleId="zGBody6" w:customStyle="1">
    <w:name w:val="zGBody 6"/>
    <w:basedOn w:val="Normal"/>
    <w:link w:val="zGBody6Char"/>
    <w:uiPriority w:val="2"/>
    <w:rsid w:val="00204FD4"/>
    <w:pPr>
      <w:spacing w:after="0" w:line="240" w:lineRule="auto"/>
    </w:pPr>
    <w:rPr>
      <w:rFonts w:ascii="Arial" w:hAnsi="Arial" w:cs="Times New Roman"/>
      <w:sz w:val="20"/>
      <w:szCs w:val="20"/>
    </w:rPr>
  </w:style>
  <w:style w:type="paragraph" w:styleId="zGListBullet2" w:customStyle="1">
    <w:name w:val="zGListBullet2"/>
    <w:uiPriority w:val="6"/>
    <w:qFormat/>
    <w:rsid w:val="00F837A1"/>
    <w:pPr>
      <w:widowControl w:val="0"/>
      <w:numPr>
        <w:numId w:val="34"/>
      </w:numPr>
      <w:tabs>
        <w:tab w:val="num" w:pos="1152"/>
      </w:tabs>
      <w:autoSpaceDE w:val="0"/>
      <w:autoSpaceDN w:val="0"/>
      <w:adjustRightInd w:val="0"/>
      <w:spacing w:before="60" w:after="0" w:line="240" w:lineRule="auto"/>
      <w:ind w:left="720" w:hanging="1152"/>
    </w:pPr>
    <w:rPr>
      <w:rFonts w:ascii="Arial" w:hAnsi="Arial" w:cs="Arial" w:eastAsiaTheme="minorEastAsia"/>
      <w:spacing w:val="-6"/>
      <w:kern w:val="14"/>
      <w:sz w:val="20"/>
      <w:szCs w:val="20"/>
    </w:rPr>
  </w:style>
  <w:style w:type="paragraph" w:styleId="zGTableHeading2" w:customStyle="1">
    <w:name w:val="zGTableHeading2"/>
    <w:uiPriority w:val="7"/>
    <w:qFormat/>
    <w:rsid w:val="00AA2E45"/>
    <w:pPr>
      <w:keepNext/>
      <w:widowControl w:val="0"/>
      <w:autoSpaceDE w:val="0"/>
      <w:autoSpaceDN w:val="0"/>
      <w:adjustRightInd w:val="0"/>
      <w:spacing w:after="0" w:line="240" w:lineRule="auto"/>
      <w:jc w:val="center"/>
      <w:outlineLvl w:val="0"/>
    </w:pPr>
    <w:rPr>
      <w:rFonts w:ascii="Arial" w:hAnsi="Arial" w:cs="Arial" w:eastAsiaTheme="minorEastAsia"/>
      <w:b/>
      <w:spacing w:val="-6"/>
      <w:kern w:val="14"/>
      <w:sz w:val="18"/>
      <w:szCs w:val="20"/>
    </w:rPr>
  </w:style>
  <w:style w:type="paragraph" w:styleId="zGTableHeading3" w:customStyle="1">
    <w:name w:val="zGTableHeading3"/>
    <w:uiPriority w:val="7"/>
    <w:qFormat/>
    <w:rsid w:val="00AA2E45"/>
    <w:pPr>
      <w:widowControl w:val="0"/>
      <w:autoSpaceDE w:val="0"/>
      <w:autoSpaceDN w:val="0"/>
      <w:adjustRightInd w:val="0"/>
      <w:spacing w:after="0" w:line="240" w:lineRule="auto"/>
      <w:jc w:val="center"/>
      <w:outlineLvl w:val="0"/>
    </w:pPr>
    <w:rPr>
      <w:rFonts w:ascii="Arial" w:hAnsi="Arial" w:cs="Arial" w:eastAsiaTheme="minorEastAsia"/>
      <w:b/>
      <w:smallCaps/>
      <w:color w:val="000000"/>
      <w:spacing w:val="-6"/>
      <w:kern w:val="14"/>
      <w:sz w:val="18"/>
      <w:szCs w:val="20"/>
    </w:rPr>
  </w:style>
  <w:style w:type="paragraph" w:styleId="ArticleCont7" w:customStyle="1">
    <w:name w:val="Article Cont 7"/>
    <w:basedOn w:val="ArticleCont6"/>
    <w:link w:val="ArticleCont7Char"/>
    <w:rsid w:val="002D54C4"/>
    <w:pPr>
      <w:ind w:firstLine="5040"/>
    </w:pPr>
  </w:style>
  <w:style w:type="paragraph" w:styleId="zGTableSig12" w:customStyle="1">
    <w:name w:val="zGTableSig12"/>
    <w:uiPriority w:val="7"/>
    <w:rsid w:val="00AA2E45"/>
    <w:pPr>
      <w:keepNext/>
      <w:keepLines/>
      <w:widowControl w:val="0"/>
      <w:autoSpaceDE w:val="0"/>
      <w:autoSpaceDN w:val="0"/>
      <w:adjustRightInd w:val="0"/>
      <w:spacing w:after="0" w:line="240" w:lineRule="auto"/>
    </w:pPr>
    <w:rPr>
      <w:rFonts w:ascii="Arial" w:hAnsi="Arial" w:cs="Arial" w:eastAsiaTheme="minorEastAsia"/>
      <w:b/>
      <w:spacing w:val="-6"/>
      <w:kern w:val="14"/>
      <w:sz w:val="24"/>
      <w:szCs w:val="20"/>
    </w:rPr>
  </w:style>
  <w:style w:type="paragraph" w:styleId="zGTC01" w:customStyle="1">
    <w:name w:val="zGTC01"/>
    <w:basedOn w:val="zGNormal"/>
    <w:next w:val="Normal"/>
    <w:link w:val="zGTC01Char"/>
    <w:uiPriority w:val="1"/>
    <w:qFormat/>
    <w:rsid w:val="00F837A1"/>
    <w:pPr>
      <w:keepNext/>
      <w:numPr>
        <w:numId w:val="46"/>
      </w:numPr>
      <w:autoSpaceDE/>
      <w:autoSpaceDN/>
      <w:adjustRightInd/>
      <w:spacing w:before="240" w:after="120"/>
      <w:outlineLvl w:val="0"/>
    </w:pPr>
    <w:rPr>
      <w:rFonts w:ascii="Arial Bold" w:hAnsi="Arial Bold" w:eastAsia="Times New Roman"/>
      <w:b/>
      <w:caps/>
      <w:szCs w:val="24"/>
    </w:rPr>
  </w:style>
  <w:style w:type="character" w:styleId="zGTC01Char" w:customStyle="1">
    <w:name w:val="zGTC01 Char"/>
    <w:basedOn w:val="DefaultParagraphFont"/>
    <w:link w:val="zGTC01"/>
    <w:uiPriority w:val="1"/>
    <w:rsid w:val="00AA2E45"/>
    <w:rPr>
      <w:rFonts w:ascii="Arial Bold" w:hAnsi="Arial Bold" w:eastAsia="Times New Roman" w:cs="Arial"/>
      <w:b/>
      <w:caps/>
      <w:kern w:val="14"/>
      <w:sz w:val="20"/>
      <w:szCs w:val="24"/>
    </w:rPr>
  </w:style>
  <w:style w:type="paragraph" w:styleId="zGTC02" w:customStyle="1">
    <w:name w:val="zGTC02"/>
    <w:basedOn w:val="zGNormal"/>
    <w:link w:val="zGTC02Char"/>
    <w:uiPriority w:val="1"/>
    <w:qFormat/>
    <w:rsid w:val="00AA2E45"/>
    <w:pPr>
      <w:numPr>
        <w:ilvl w:val="1"/>
        <w:numId w:val="46"/>
      </w:numPr>
      <w:autoSpaceDE/>
      <w:autoSpaceDN/>
      <w:adjustRightInd/>
      <w:spacing w:before="120"/>
    </w:pPr>
    <w:rPr>
      <w:rFonts w:ascii="Arial Bold" w:hAnsi="Arial Bold" w:eastAsia="Times New Roman" w:cs="Times New Roman"/>
      <w:b/>
      <w:szCs w:val="24"/>
    </w:rPr>
  </w:style>
  <w:style w:type="paragraph" w:styleId="Article5L5" w:customStyle="1">
    <w:name w:val="Article5_L5"/>
    <w:basedOn w:val="Article5L4"/>
    <w:next w:val="BodyText"/>
    <w:rsid w:val="002D54C4"/>
    <w:pPr>
      <w:tabs>
        <w:tab w:val="num" w:pos="3168"/>
      </w:tabs>
      <w:ind w:left="3960"/>
      <w:jc w:val="left"/>
      <w:outlineLvl w:val="4"/>
    </w:pPr>
  </w:style>
  <w:style w:type="character" w:styleId="zGTC02Char" w:customStyle="1">
    <w:name w:val="zGTC02 Char"/>
    <w:basedOn w:val="DefaultParagraphFont"/>
    <w:link w:val="zGTC02"/>
    <w:uiPriority w:val="1"/>
    <w:rsid w:val="00AA2E45"/>
    <w:rPr>
      <w:rFonts w:ascii="Arial Bold" w:hAnsi="Arial Bold" w:eastAsia="Times New Roman" w:cs="Times New Roman"/>
      <w:b/>
      <w:kern w:val="14"/>
      <w:sz w:val="20"/>
      <w:szCs w:val="24"/>
    </w:rPr>
  </w:style>
  <w:style w:type="paragraph" w:styleId="zGBody310" w:customStyle="1">
    <w:name w:val="zGBody3_10"/>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zGTC03" w:customStyle="1">
    <w:name w:val="zGTC03"/>
    <w:basedOn w:val="zGNormal"/>
    <w:link w:val="zGTC03Char"/>
    <w:qFormat/>
    <w:rsid w:val="00F837A1"/>
    <w:pPr>
      <w:numPr>
        <w:ilvl w:val="2"/>
        <w:numId w:val="46"/>
      </w:numPr>
      <w:autoSpaceDE/>
      <w:autoSpaceDN/>
      <w:adjustRightInd/>
      <w:spacing w:before="120"/>
    </w:pPr>
    <w:rPr>
      <w:rFonts w:eastAsia="Times New Roman" w:cs="Times New Roman"/>
      <w:b/>
      <w:szCs w:val="24"/>
    </w:rPr>
  </w:style>
  <w:style w:type="paragraph" w:styleId="zGTC04" w:customStyle="1">
    <w:name w:val="zGTC04"/>
    <w:basedOn w:val="zGNormal"/>
    <w:link w:val="zGTC04Char"/>
    <w:qFormat/>
    <w:rsid w:val="00F837A1"/>
    <w:pPr>
      <w:numPr>
        <w:ilvl w:val="3"/>
        <w:numId w:val="46"/>
      </w:numPr>
      <w:autoSpaceDE/>
      <w:autoSpaceDN/>
      <w:adjustRightInd/>
      <w:spacing w:before="120"/>
    </w:pPr>
    <w:rPr>
      <w:rFonts w:eastAsia="Times New Roman" w:cs="Times New Roman"/>
      <w:szCs w:val="24"/>
    </w:rPr>
  </w:style>
  <w:style w:type="paragraph" w:styleId="zGTC05" w:customStyle="1">
    <w:name w:val="zGTC05"/>
    <w:basedOn w:val="zGNormal"/>
    <w:link w:val="zGTC05Char"/>
    <w:uiPriority w:val="1"/>
    <w:qFormat/>
    <w:rsid w:val="00F837A1"/>
    <w:pPr>
      <w:numPr>
        <w:ilvl w:val="4"/>
        <w:numId w:val="46"/>
      </w:numPr>
      <w:autoSpaceDE/>
      <w:autoSpaceDN/>
      <w:adjustRightInd/>
      <w:spacing w:before="60"/>
    </w:pPr>
    <w:rPr>
      <w:rFonts w:eastAsia="Times New Roman" w:cs="Times New Roman"/>
      <w:szCs w:val="24"/>
    </w:rPr>
  </w:style>
  <w:style w:type="paragraph" w:styleId="zGTitle11" w:customStyle="1">
    <w:name w:val="zGTitle11"/>
    <w:link w:val="zGTitle11Char"/>
    <w:uiPriority w:val="4"/>
    <w:qFormat/>
    <w:rsid w:val="00AA2E45"/>
    <w:pPr>
      <w:spacing w:before="240" w:after="240" w:line="240" w:lineRule="auto"/>
      <w:jc w:val="center"/>
    </w:pPr>
    <w:rPr>
      <w:rFonts w:ascii="Arial" w:hAnsi="Arial" w:eastAsia="Times New Roman" w:cs="Times New Roman"/>
      <w:b/>
      <w:spacing w:val="-6"/>
      <w:kern w:val="14"/>
      <w:szCs w:val="20"/>
    </w:rPr>
  </w:style>
  <w:style w:type="character" w:styleId="zGTitle11Char" w:customStyle="1">
    <w:name w:val="zGTitle11 Char"/>
    <w:basedOn w:val="DefaultParagraphFont"/>
    <w:link w:val="zGTitle11"/>
    <w:uiPriority w:val="4"/>
    <w:rsid w:val="00AA2E45"/>
    <w:rPr>
      <w:rFonts w:ascii="Arial" w:hAnsi="Arial" w:eastAsia="Times New Roman" w:cs="Times New Roman"/>
      <w:b/>
      <w:spacing w:val="-6"/>
      <w:kern w:val="14"/>
      <w:szCs w:val="20"/>
    </w:rPr>
  </w:style>
  <w:style w:type="paragraph" w:styleId="zGBody1" w:customStyle="1">
    <w:name w:val="zGBody 1"/>
    <w:basedOn w:val="zGNormal"/>
    <w:next w:val="zGBody2"/>
    <w:link w:val="zGBody1Char"/>
    <w:uiPriority w:val="2"/>
    <w:qFormat/>
    <w:rsid w:val="00204FD4"/>
    <w:pPr>
      <w:keepNext/>
      <w:spacing w:before="480" w:after="240"/>
    </w:pPr>
    <w:rPr>
      <w:rFonts w:ascii="Arial Bold" w:hAnsi="Arial Bold"/>
      <w:b/>
      <w:caps/>
      <w:u w:val="single"/>
    </w:rPr>
  </w:style>
  <w:style w:type="paragraph" w:styleId="zGBody2" w:customStyle="1">
    <w:name w:val="zGBody 2"/>
    <w:basedOn w:val="zGNormal"/>
    <w:link w:val="zGBody2Char"/>
    <w:uiPriority w:val="3"/>
    <w:qFormat/>
    <w:rsid w:val="00204FD4"/>
    <w:pPr>
      <w:keepNext/>
      <w:spacing w:before="360" w:after="120"/>
    </w:pPr>
    <w:rPr>
      <w:rFonts w:ascii="Arial Bold" w:hAnsi="Arial Bold"/>
      <w:b/>
    </w:rPr>
  </w:style>
  <w:style w:type="paragraph" w:styleId="zGBody3" w:customStyle="1">
    <w:name w:val="zGBody 3"/>
    <w:basedOn w:val="zGNormal"/>
    <w:link w:val="zGBody3Char"/>
    <w:uiPriority w:val="2"/>
    <w:qFormat/>
    <w:rsid w:val="00204FD4"/>
    <w:pPr>
      <w:spacing w:before="120" w:after="240"/>
    </w:pPr>
  </w:style>
  <w:style w:type="paragraph" w:styleId="zGNormal" w:customStyle="1">
    <w:name w:val="zGNormal"/>
    <w:link w:val="zGNormalChar"/>
    <w:qFormat/>
    <w:rsid w:val="00AA2E45"/>
    <w:pPr>
      <w:autoSpaceDE w:val="0"/>
      <w:autoSpaceDN w:val="0"/>
      <w:adjustRightInd w:val="0"/>
      <w:spacing w:after="0" w:line="240" w:lineRule="auto"/>
      <w:jc w:val="both"/>
    </w:pPr>
    <w:rPr>
      <w:rFonts w:ascii="Arial" w:hAnsi="Arial" w:cs="Arial" w:eastAsiaTheme="minorEastAsia"/>
      <w:kern w:val="14"/>
      <w:sz w:val="20"/>
      <w:szCs w:val="20"/>
    </w:rPr>
  </w:style>
  <w:style w:type="paragraph" w:styleId="zGZ1" w:customStyle="1">
    <w:name w:val="zGZ1"/>
    <w:uiPriority w:val="6"/>
    <w:rsid w:val="00F837A1"/>
    <w:pPr>
      <w:numPr>
        <w:numId w:val="37"/>
      </w:numPr>
      <w:tabs>
        <w:tab w:val="num" w:pos="360"/>
        <w:tab w:val="left" w:pos="576"/>
        <w:tab w:val="num" w:pos="1116"/>
      </w:tabs>
      <w:spacing w:before="120" w:after="120" w:line="240" w:lineRule="auto"/>
      <w:ind w:left="1440" w:hanging="936"/>
      <w:jc w:val="both"/>
    </w:pPr>
    <w:rPr>
      <w:rFonts w:ascii="Arial" w:hAnsi="Arial" w:eastAsia="Times New Roman" w:cs="Times New Roman"/>
      <w:sz w:val="20"/>
      <w:szCs w:val="24"/>
    </w:rPr>
  </w:style>
  <w:style w:type="paragraph" w:styleId="zGZ2" w:customStyle="1">
    <w:name w:val="zGZ2"/>
    <w:uiPriority w:val="6"/>
    <w:rsid w:val="00F837A1"/>
    <w:pPr>
      <w:numPr>
        <w:ilvl w:val="1"/>
        <w:numId w:val="37"/>
      </w:numPr>
      <w:tabs>
        <w:tab w:val="clear" w:pos="576"/>
        <w:tab w:val="num" w:pos="720"/>
        <w:tab w:val="num" w:pos="1440"/>
      </w:tabs>
      <w:spacing w:before="120" w:after="120" w:line="240" w:lineRule="auto"/>
      <w:ind w:left="1440" w:hanging="360"/>
      <w:jc w:val="both"/>
    </w:pPr>
    <w:rPr>
      <w:rFonts w:ascii="Arial" w:hAnsi="Arial" w:eastAsia="Times New Roman" w:cs="Times New Roman"/>
      <w:sz w:val="20"/>
      <w:szCs w:val="24"/>
    </w:rPr>
  </w:style>
  <w:style w:type="paragraph" w:styleId="zGZ3" w:customStyle="1">
    <w:name w:val="zGZ3"/>
    <w:basedOn w:val="Normal"/>
    <w:uiPriority w:val="6"/>
    <w:rsid w:val="00F837A1"/>
    <w:pPr>
      <w:numPr>
        <w:ilvl w:val="2"/>
        <w:numId w:val="37"/>
      </w:numPr>
      <w:tabs>
        <w:tab w:val="clear" w:pos="1080"/>
        <w:tab w:val="num" w:pos="1998"/>
        <w:tab w:val="num" w:pos="2160"/>
      </w:tabs>
      <w:spacing w:before="80" w:after="0" w:line="240" w:lineRule="auto"/>
      <w:ind w:left="2160" w:hanging="180"/>
      <w:jc w:val="both"/>
    </w:pPr>
    <w:rPr>
      <w:rFonts w:ascii="Arial" w:hAnsi="Arial" w:eastAsia="Times New Roman" w:cs="Times New Roman"/>
      <w:sz w:val="20"/>
      <w:szCs w:val="24"/>
    </w:rPr>
  </w:style>
  <w:style w:type="numbering" w:styleId="zGzListStyle1" w:customStyle="1">
    <w:name w:val="zGzListStyle1"/>
    <w:uiPriority w:val="99"/>
    <w:rsid w:val="001B1506"/>
    <w:pPr>
      <w:numPr>
        <w:numId w:val="57"/>
      </w:numPr>
    </w:pPr>
  </w:style>
  <w:style w:type="numbering" w:styleId="zGzListStyle3" w:customStyle="1">
    <w:name w:val="zGzListStyle3"/>
    <w:uiPriority w:val="99"/>
    <w:rsid w:val="00E32965"/>
    <w:pPr>
      <w:numPr>
        <w:numId w:val="39"/>
      </w:numPr>
    </w:pPr>
  </w:style>
  <w:style w:type="character" w:styleId="EndnoteReference">
    <w:name w:val="endnote reference"/>
    <w:basedOn w:val="DefaultParagraphFont"/>
    <w:semiHidden/>
    <w:unhideWhenUsed/>
    <w:rsid w:val="002D54C4"/>
    <w:rPr>
      <w:vertAlign w:val="superscript"/>
    </w:rPr>
  </w:style>
  <w:style w:type="paragraph" w:styleId="zGBody5" w:customStyle="1">
    <w:name w:val="zGBody 5"/>
    <w:basedOn w:val="Normal"/>
    <w:link w:val="zGBody5Char"/>
    <w:uiPriority w:val="2"/>
    <w:rsid w:val="00204FD4"/>
    <w:pPr>
      <w:spacing w:after="0" w:line="240" w:lineRule="auto"/>
    </w:pPr>
    <w:rPr>
      <w:rFonts w:ascii="Arial" w:hAnsi="Arial" w:cs="Times New Roman"/>
      <w:sz w:val="20"/>
      <w:szCs w:val="20"/>
    </w:rPr>
  </w:style>
  <w:style w:type="character" w:styleId="zGNormalChar" w:customStyle="1">
    <w:name w:val="zGNormal Char"/>
    <w:basedOn w:val="DefaultParagraphFont"/>
    <w:link w:val="zGNormal"/>
    <w:rsid w:val="00AA2E45"/>
    <w:rPr>
      <w:rFonts w:ascii="Arial" w:hAnsi="Arial" w:cs="Arial" w:eastAsiaTheme="minorEastAsia"/>
      <w:kern w:val="14"/>
      <w:sz w:val="20"/>
      <w:szCs w:val="20"/>
    </w:rPr>
  </w:style>
  <w:style w:type="character" w:styleId="zGBody2Char" w:customStyle="1">
    <w:name w:val="zGBody 2 Char"/>
    <w:basedOn w:val="zGNormalChar"/>
    <w:link w:val="zGBody2"/>
    <w:uiPriority w:val="3"/>
    <w:rsid w:val="00AA2E45"/>
    <w:rPr>
      <w:rFonts w:ascii="Arial Bold" w:hAnsi="Arial Bold" w:cs="Arial" w:eastAsiaTheme="minorEastAsia"/>
      <w:b/>
      <w:kern w:val="14"/>
      <w:sz w:val="20"/>
      <w:szCs w:val="20"/>
    </w:rPr>
  </w:style>
  <w:style w:type="paragraph" w:styleId="zGTitleExhibit" w:customStyle="1">
    <w:name w:val="zGTitleExhibit"/>
    <w:next w:val="zGTitle12"/>
    <w:uiPriority w:val="4"/>
    <w:qFormat/>
    <w:rsid w:val="00AA2E45"/>
    <w:pPr>
      <w:spacing w:after="120" w:line="240" w:lineRule="auto"/>
      <w:jc w:val="center"/>
      <w:outlineLvl w:val="0"/>
    </w:pPr>
    <w:rPr>
      <w:rFonts w:ascii="Arial" w:hAnsi="Arial" w:eastAsia="Times New Roman" w:cs="Times New Roman"/>
      <w:b/>
      <w:bCs/>
      <w:caps/>
      <w:kern w:val="32"/>
      <w:szCs w:val="32"/>
      <w:u w:val="single"/>
    </w:rPr>
  </w:style>
  <w:style w:type="character" w:styleId="zGBody3Char" w:customStyle="1">
    <w:name w:val="zGBody 3 Char"/>
    <w:basedOn w:val="zGNormalChar"/>
    <w:link w:val="zGBody3"/>
    <w:uiPriority w:val="2"/>
    <w:rsid w:val="00AA2E45"/>
    <w:rPr>
      <w:rFonts w:ascii="Arial" w:hAnsi="Arial" w:cs="Arial" w:eastAsiaTheme="minorEastAsia"/>
      <w:kern w:val="14"/>
      <w:sz w:val="20"/>
      <w:szCs w:val="20"/>
    </w:rPr>
  </w:style>
  <w:style w:type="paragraph" w:styleId="zGTitle36Calibri" w:customStyle="1">
    <w:name w:val="zGTitle 36 (Calibri)"/>
    <w:link w:val="zGTitle36CalibriChar"/>
    <w:uiPriority w:val="4"/>
    <w:rsid w:val="00AA2E45"/>
    <w:pPr>
      <w:widowControl w:val="0"/>
      <w:spacing w:after="360" w:line="259" w:lineRule="auto"/>
      <w:jc w:val="center"/>
    </w:pPr>
    <w:rPr>
      <w:rFonts w:ascii="Calibri" w:hAnsi="Calibri" w:eastAsia="Times New Roman" w:cstheme="minorHAnsi"/>
      <w:b/>
      <w:kern w:val="14"/>
      <w:sz w:val="72"/>
      <w:szCs w:val="72"/>
    </w:rPr>
  </w:style>
  <w:style w:type="character" w:styleId="zGTitle14Char" w:customStyle="1">
    <w:name w:val="zGTitle14 Char"/>
    <w:basedOn w:val="DefaultParagraphFont"/>
    <w:link w:val="zGTitle14"/>
    <w:uiPriority w:val="3"/>
    <w:rsid w:val="00AA2E45"/>
    <w:rPr>
      <w:rFonts w:ascii="Arial" w:hAnsi="Arial" w:eastAsia="Times New Roman" w:cs="Times New Roman"/>
      <w:b/>
      <w:spacing w:val="-6"/>
      <w:kern w:val="14"/>
      <w:sz w:val="28"/>
      <w:szCs w:val="24"/>
    </w:rPr>
  </w:style>
  <w:style w:type="character" w:styleId="zGEditorNote" w:customStyle="1">
    <w:name w:val="zGEditorNote"/>
    <w:uiPriority w:val="5"/>
    <w:rsid w:val="00AA2E45"/>
    <w:rPr>
      <w:rFonts w:ascii="Arial" w:hAnsi="Arial"/>
      <w:b/>
      <w:i/>
      <w:color w:val="FFFFFF"/>
      <w:spacing w:val="-4"/>
      <w:sz w:val="20"/>
      <w:shd w:val="clear" w:color="auto" w:fill="006600"/>
    </w:rPr>
  </w:style>
  <w:style w:type="paragraph" w:styleId="zGTitle12" w:customStyle="1">
    <w:name w:val="zGTitle12"/>
    <w:uiPriority w:val="4"/>
    <w:rsid w:val="00AA2E45"/>
    <w:pPr>
      <w:spacing w:after="120" w:line="240" w:lineRule="auto"/>
      <w:jc w:val="center"/>
    </w:pPr>
    <w:rPr>
      <w:rFonts w:ascii="Arial" w:hAnsi="Arial" w:eastAsia="Times New Roman" w:cs="Times New Roman"/>
      <w:b/>
      <w:spacing w:val="-6"/>
      <w:kern w:val="14"/>
      <w:sz w:val="24"/>
      <w:szCs w:val="24"/>
    </w:rPr>
  </w:style>
  <w:style w:type="character" w:styleId="zGTC03Char" w:customStyle="1">
    <w:name w:val="zGTC03 Char"/>
    <w:basedOn w:val="zGNormalChar"/>
    <w:link w:val="zGTC03"/>
    <w:uiPriority w:val="1"/>
    <w:rsid w:val="00C22140"/>
    <w:rPr>
      <w:rFonts w:ascii="Arial" w:hAnsi="Arial" w:eastAsia="Times New Roman" w:cs="Times New Roman"/>
      <w:b/>
      <w:kern w:val="14"/>
      <w:sz w:val="20"/>
      <w:szCs w:val="24"/>
    </w:rPr>
  </w:style>
  <w:style w:type="character" w:styleId="zGTC04Char" w:customStyle="1">
    <w:name w:val="zGTC04 Char"/>
    <w:basedOn w:val="zGNormalChar"/>
    <w:link w:val="zGTC04"/>
    <w:uiPriority w:val="1"/>
    <w:rsid w:val="0055230F"/>
    <w:rPr>
      <w:rFonts w:ascii="Arial" w:hAnsi="Arial" w:eastAsia="Times New Roman" w:cs="Times New Roman"/>
      <w:kern w:val="14"/>
      <w:sz w:val="20"/>
      <w:szCs w:val="24"/>
    </w:rPr>
  </w:style>
  <w:style w:type="character" w:styleId="zGTC05Char" w:customStyle="1">
    <w:name w:val="zGTC05 Char"/>
    <w:basedOn w:val="zGNormalChar"/>
    <w:link w:val="zGTC05"/>
    <w:uiPriority w:val="1"/>
    <w:rsid w:val="0055230F"/>
    <w:rPr>
      <w:rFonts w:ascii="Arial" w:hAnsi="Arial" w:eastAsia="Times New Roman" w:cs="Times New Roman"/>
      <w:kern w:val="14"/>
      <w:sz w:val="20"/>
      <w:szCs w:val="24"/>
    </w:rPr>
  </w:style>
  <w:style w:type="character" w:styleId="zGBody4Char" w:customStyle="1">
    <w:name w:val="zGBody 4 Char"/>
    <w:basedOn w:val="DefaultParagraphFont"/>
    <w:link w:val="zGBody4"/>
    <w:uiPriority w:val="3"/>
    <w:rsid w:val="002D54C4"/>
    <w:rPr>
      <w:rFonts w:ascii="Arial" w:hAnsi="Arial" w:cs="Times New Roman"/>
      <w:sz w:val="20"/>
      <w:szCs w:val="20"/>
    </w:rPr>
  </w:style>
  <w:style w:type="character" w:styleId="zGBody6Char" w:customStyle="1">
    <w:name w:val="zGBody 6 Char"/>
    <w:basedOn w:val="DefaultParagraphFont"/>
    <w:link w:val="zGBody6"/>
    <w:uiPriority w:val="2"/>
    <w:rsid w:val="002D54C4"/>
    <w:rPr>
      <w:rFonts w:ascii="Arial" w:hAnsi="Arial" w:cs="Times New Roman"/>
      <w:sz w:val="20"/>
      <w:szCs w:val="20"/>
    </w:rPr>
  </w:style>
  <w:style w:type="character" w:styleId="TOC2Char" w:customStyle="1">
    <w:name w:val="TOC 2 Char"/>
    <w:aliases w:val="zgTOC 2 Char"/>
    <w:basedOn w:val="DefaultParagraphFont"/>
    <w:link w:val="TOC2"/>
    <w:uiPriority w:val="39"/>
    <w:rsid w:val="002D54C4"/>
    <w:rPr>
      <w:rFonts w:ascii="Arial" w:hAnsi="Arial" w:eastAsia="Times New Roman"/>
      <w:sz w:val="20"/>
    </w:rPr>
  </w:style>
  <w:style w:type="paragraph" w:styleId="DocID" w:customStyle="1">
    <w:name w:val="DocID"/>
    <w:basedOn w:val="Normal"/>
    <w:rsid w:val="00C82038"/>
    <w:pPr>
      <w:spacing w:after="160" w:line="259" w:lineRule="auto"/>
      <w:jc w:val="right"/>
    </w:pPr>
    <w:rPr>
      <w:rFonts w:ascii="Times New Roman" w:hAnsi="Times New Roman" w:eastAsiaTheme="minorEastAsia"/>
      <w:sz w:val="16"/>
      <w:lang w:eastAsia="zh-CN"/>
    </w:rPr>
  </w:style>
  <w:style w:type="character" w:styleId="a1" w:customStyle="1">
    <w:name w:val="a1"/>
    <w:basedOn w:val="DefaultParagraphFont"/>
    <w:rsid w:val="002D54C4"/>
    <w:rPr>
      <w:rFonts w:ascii="Courier New" w:hAnsi="Courier New"/>
      <w:noProof w:val="0"/>
      <w:sz w:val="24"/>
      <w:lang w:val="en-US"/>
    </w:rPr>
  </w:style>
  <w:style w:type="character" w:styleId="Heading" w:customStyle="1">
    <w:name w:val="Heading"/>
    <w:basedOn w:val="DefaultParagraphFont"/>
    <w:rsid w:val="002D54C4"/>
  </w:style>
  <w:style w:type="character" w:styleId="Bibliogrphy" w:customStyle="1">
    <w:name w:val="Bibliogrphy"/>
    <w:basedOn w:val="DefaultParagraphFont"/>
    <w:rsid w:val="002D54C4"/>
  </w:style>
  <w:style w:type="character" w:styleId="Subheading" w:customStyle="1">
    <w:name w:val="Subheading"/>
    <w:basedOn w:val="DefaultParagraphFont"/>
    <w:rsid w:val="002D54C4"/>
  </w:style>
  <w:style w:type="character" w:styleId="DefaultParagraphFo" w:customStyle="1">
    <w:name w:val="Default Paragraph Fo"/>
    <w:basedOn w:val="DefaultParagraphFont"/>
    <w:rsid w:val="002D54C4"/>
  </w:style>
  <w:style w:type="character" w:styleId="DefaultPara" w:customStyle="1">
    <w:name w:val="Default Para"/>
    <w:basedOn w:val="DefaultParagraphFont"/>
    <w:rsid w:val="002D54C4"/>
    <w:rPr>
      <w:rFonts w:ascii="Times New Roman" w:hAnsi="Times New Roman"/>
      <w:noProof w:val="0"/>
      <w:sz w:val="20"/>
      <w:lang w:val="en-US"/>
    </w:rPr>
  </w:style>
  <w:style w:type="paragraph" w:styleId="Index1">
    <w:name w:val="index 1"/>
    <w:basedOn w:val="Normal"/>
    <w:next w:val="Normal"/>
    <w:semiHidden/>
    <w:rsid w:val="00960870"/>
    <w:pPr>
      <w:widowControl w:val="0"/>
      <w:tabs>
        <w:tab w:val="right" w:leader="dot" w:pos="9360"/>
      </w:tabs>
      <w:suppressAutoHyphens/>
      <w:adjustRightInd w:val="0"/>
      <w:spacing w:after="0" w:line="360" w:lineRule="atLeast"/>
      <w:ind w:left="1440" w:right="720" w:hanging="1440"/>
      <w:textAlignment w:val="baseline"/>
    </w:pPr>
    <w:rPr>
      <w:rFonts w:ascii="Times New Roman" w:hAnsi="Times New Roman" w:eastAsia="Times New Roman"/>
      <w:sz w:val="24"/>
    </w:rPr>
  </w:style>
  <w:style w:type="paragraph" w:styleId="Index2">
    <w:name w:val="index 2"/>
    <w:basedOn w:val="Normal"/>
    <w:next w:val="Normal"/>
    <w:semiHidden/>
    <w:rsid w:val="00960870"/>
    <w:pPr>
      <w:widowControl w:val="0"/>
      <w:tabs>
        <w:tab w:val="right" w:leader="dot" w:pos="9360"/>
      </w:tabs>
      <w:suppressAutoHyphens/>
      <w:adjustRightInd w:val="0"/>
      <w:spacing w:after="0" w:line="360" w:lineRule="atLeast"/>
      <w:ind w:left="1440" w:right="720" w:hanging="720"/>
      <w:textAlignment w:val="baseline"/>
    </w:pPr>
    <w:rPr>
      <w:rFonts w:ascii="Times New Roman" w:hAnsi="Times New Roman" w:eastAsia="Times New Roman"/>
      <w:sz w:val="24"/>
    </w:rPr>
  </w:style>
  <w:style w:type="character" w:styleId="EquationCaption" w:customStyle="1">
    <w:name w:val="_Equation Caption"/>
    <w:rsid w:val="002D54C4"/>
  </w:style>
  <w:style w:type="paragraph" w:styleId="ArticleL3" w:customStyle="1">
    <w:name w:val="Article_L3"/>
    <w:basedOn w:val="ArticleL2"/>
    <w:next w:val="BodyText"/>
    <w:rsid w:val="002D54C4"/>
    <w:pPr>
      <w:tabs>
        <w:tab w:val="num" w:pos="990"/>
      </w:tabs>
      <w:ind w:left="-1440" w:firstLine="1440"/>
      <w:outlineLvl w:val="2"/>
    </w:pPr>
    <w:rPr>
      <w:rFonts w:ascii="Arial" w:hAnsi="Arial"/>
    </w:rPr>
  </w:style>
  <w:style w:type="paragraph" w:styleId="BodyTextIndent2">
    <w:name w:val="Body Text Indent 2"/>
    <w:basedOn w:val="Normal"/>
    <w:link w:val="BodyTextIndent2Char"/>
    <w:rsid w:val="00960870"/>
    <w:pPr>
      <w:widowControl w:val="0"/>
      <w:adjustRightInd w:val="0"/>
      <w:spacing w:after="0" w:line="360" w:lineRule="atLeast"/>
      <w:ind w:left="2160"/>
      <w:textAlignment w:val="baseline"/>
    </w:pPr>
    <w:rPr>
      <w:rFonts w:ascii="Times New Roman" w:hAnsi="Times New Roman" w:eastAsia="Times New Roman"/>
    </w:rPr>
  </w:style>
  <w:style w:type="character" w:styleId="BodyTextIndent2Char" w:customStyle="1">
    <w:name w:val="Body Text Indent 2 Char"/>
    <w:basedOn w:val="DefaultParagraphFont"/>
    <w:link w:val="BodyTextIndent2"/>
    <w:rsid w:val="002D54C4"/>
    <w:rPr>
      <w:rFonts w:ascii="Times New Roman" w:hAnsi="Times New Roman" w:eastAsia="Times New Roman"/>
    </w:rPr>
  </w:style>
  <w:style w:type="paragraph" w:styleId="ArticleL2" w:customStyle="1">
    <w:name w:val="Article_L2"/>
    <w:basedOn w:val="Normal"/>
    <w:next w:val="BodyText"/>
    <w:link w:val="ArticleL2Char"/>
    <w:rsid w:val="002D54C4"/>
    <w:pPr>
      <w:spacing w:after="240" w:line="240" w:lineRule="auto"/>
      <w:jc w:val="both"/>
      <w:outlineLvl w:val="1"/>
    </w:pPr>
    <w:rPr>
      <w:rFonts w:ascii="Times New Roman" w:hAnsi="Times New Roman" w:eastAsia="Times New Roman"/>
    </w:rPr>
  </w:style>
  <w:style w:type="paragraph" w:styleId="BodyTextIndent3">
    <w:name w:val="Body Text Indent 3"/>
    <w:basedOn w:val="Normal"/>
    <w:link w:val="BodyTextIndent3Char"/>
    <w:rsid w:val="00960870"/>
    <w:pPr>
      <w:keepNext/>
      <w:keepLines/>
      <w:widowControl w:val="0"/>
      <w:tabs>
        <w:tab w:val="left" w:pos="-1440"/>
        <w:tab w:val="left" w:pos="-720"/>
        <w:tab w:val="left" w:pos="0"/>
        <w:tab w:val="left" w:pos="576"/>
        <w:tab w:val="left" w:pos="2160"/>
      </w:tabs>
      <w:suppressAutoHyphens/>
      <w:adjustRightInd w:val="0"/>
      <w:spacing w:after="0" w:line="360" w:lineRule="atLeast"/>
      <w:ind w:left="576" w:hanging="576"/>
      <w:textAlignment w:val="baseline"/>
    </w:pPr>
    <w:rPr>
      <w:rFonts w:ascii="Times New Roman" w:hAnsi="Times New Roman" w:eastAsia="Times New Roman"/>
      <w:sz w:val="24"/>
    </w:rPr>
  </w:style>
  <w:style w:type="paragraph" w:styleId="DocumentMap">
    <w:name w:val="Document Map"/>
    <w:basedOn w:val="Normal"/>
    <w:link w:val="DocumentMapChar"/>
    <w:semiHidden/>
    <w:rsid w:val="00960870"/>
    <w:pPr>
      <w:widowControl w:val="0"/>
      <w:shd w:val="clear" w:color="auto" w:fill="000080"/>
      <w:adjustRightInd w:val="0"/>
      <w:spacing w:after="0" w:line="360" w:lineRule="atLeast"/>
      <w:textAlignment w:val="baseline"/>
    </w:pPr>
    <w:rPr>
      <w:rFonts w:ascii="Tahoma" w:hAnsi="Tahoma" w:eastAsia="Times New Roman"/>
      <w:sz w:val="24"/>
    </w:rPr>
  </w:style>
  <w:style w:type="character" w:styleId="DocumentMapChar" w:customStyle="1">
    <w:name w:val="Document Map Char"/>
    <w:basedOn w:val="DefaultParagraphFont"/>
    <w:link w:val="DocumentMap"/>
    <w:semiHidden/>
    <w:rsid w:val="002D54C4"/>
    <w:rPr>
      <w:rFonts w:ascii="Tahoma" w:hAnsi="Tahoma" w:eastAsia="Times New Roman"/>
      <w:sz w:val="24"/>
      <w:shd w:val="clear" w:color="auto" w:fill="000080"/>
    </w:rPr>
  </w:style>
  <w:style w:type="character" w:styleId="FollowedHyperlink">
    <w:name w:val="FollowedHyperlink"/>
    <w:basedOn w:val="DefaultParagraphFont"/>
    <w:rsid w:val="002D54C4"/>
    <w:rPr>
      <w:color w:val="800080"/>
      <w:u w:val="single"/>
    </w:rPr>
  </w:style>
  <w:style w:type="paragraph" w:styleId="BalloonText">
    <w:name w:val="Balloon Text"/>
    <w:basedOn w:val="Normal"/>
    <w:link w:val="BalloonTextChar"/>
    <w:semiHidden/>
    <w:rsid w:val="00960870"/>
    <w:pPr>
      <w:widowControl w:val="0"/>
      <w:adjustRightInd w:val="0"/>
      <w:spacing w:after="0" w:line="360" w:lineRule="atLeast"/>
      <w:textAlignment w:val="baseline"/>
    </w:pPr>
    <w:rPr>
      <w:rFonts w:ascii="Tahoma" w:hAnsi="Tahoma" w:eastAsia="Times New Roman" w:cs="Tahoma"/>
      <w:sz w:val="16"/>
      <w:szCs w:val="16"/>
    </w:rPr>
  </w:style>
  <w:style w:type="paragraph" w:styleId="DeltaViewTableBody" w:customStyle="1">
    <w:name w:val="DeltaView Table Body"/>
    <w:basedOn w:val="Normal"/>
    <w:rsid w:val="00960870"/>
    <w:pPr>
      <w:autoSpaceDE w:val="0"/>
      <w:autoSpaceDN w:val="0"/>
      <w:adjustRightInd w:val="0"/>
      <w:spacing w:after="0" w:line="360" w:lineRule="atLeast"/>
      <w:textAlignment w:val="baseline"/>
    </w:pPr>
    <w:rPr>
      <w:rFonts w:eastAsia="Times New Roman" w:cs="Arial"/>
      <w:sz w:val="24"/>
      <w:szCs w:val="24"/>
    </w:rPr>
  </w:style>
  <w:style w:type="character" w:styleId="DeltaViewMoveDestination" w:customStyle="1">
    <w:name w:val="DeltaView Move Destination"/>
    <w:rsid w:val="002D54C4"/>
    <w:rPr>
      <w:color w:val="00C000"/>
      <w:spacing w:val="0"/>
      <w:u w:val="double"/>
    </w:rPr>
  </w:style>
  <w:style w:type="character" w:styleId="DeltaViewChangeNumber" w:customStyle="1">
    <w:name w:val="DeltaView Change Number"/>
    <w:rsid w:val="002D54C4"/>
    <w:rPr>
      <w:color w:val="000000"/>
      <w:spacing w:val="0"/>
      <w:vertAlign w:val="superscript"/>
    </w:rPr>
  </w:style>
  <w:style w:type="character" w:styleId="DeltaViewDelimiter" w:customStyle="1">
    <w:name w:val="DeltaView Delimiter"/>
    <w:rsid w:val="002D54C4"/>
    <w:rPr>
      <w:spacing w:val="0"/>
    </w:rPr>
  </w:style>
  <w:style w:type="character" w:styleId="DeltaViewFormatChange" w:customStyle="1">
    <w:name w:val="DeltaView Format Change"/>
    <w:rsid w:val="002D54C4"/>
    <w:rPr>
      <w:color w:val="000000"/>
      <w:spacing w:val="0"/>
    </w:rPr>
  </w:style>
  <w:style w:type="paragraph" w:styleId="5indent" w:customStyle="1">
    <w:name w:val=".5&quot; indent"/>
    <w:basedOn w:val="Normal"/>
    <w:rsid w:val="00960870"/>
    <w:pPr>
      <w:spacing w:after="240"/>
      <w:ind w:left="720"/>
    </w:pPr>
    <w:rPr>
      <w:rFonts w:ascii="Times New Roman" w:hAnsi="Times New Roman" w:eastAsia="Times New Roman"/>
      <w:sz w:val="24"/>
      <w:szCs w:val="24"/>
    </w:rPr>
  </w:style>
  <w:style w:type="character" w:styleId="Char" w:customStyle="1">
    <w:name w:val="Char"/>
    <w:basedOn w:val="DefaultParagraphFont"/>
    <w:rsid w:val="002D54C4"/>
    <w:rPr>
      <w:spacing w:val="0"/>
      <w:sz w:val="24"/>
      <w:szCs w:val="24"/>
      <w:lang w:val="en-US"/>
    </w:rPr>
  </w:style>
  <w:style w:type="character" w:styleId="CharChar" w:customStyle="1">
    <w:name w:val="Char Char"/>
    <w:basedOn w:val="DefaultParagraphFont"/>
    <w:rsid w:val="002D54C4"/>
    <w:rPr>
      <w:sz w:val="24"/>
      <w:lang w:val="en-US" w:eastAsia="en-US" w:bidi="ar-SA"/>
    </w:rPr>
  </w:style>
  <w:style w:type="character" w:styleId="Char1" w:customStyle="1">
    <w:name w:val="Char1"/>
    <w:basedOn w:val="DefaultParagraphFont"/>
    <w:rsid w:val="002D54C4"/>
    <w:rPr>
      <w:lang w:val="en-US" w:eastAsia="en-US" w:bidi="ar-SA"/>
    </w:rPr>
  </w:style>
  <w:style w:type="character" w:styleId="Char2" w:customStyle="1">
    <w:name w:val="Char2"/>
    <w:basedOn w:val="DefaultParagraphFont"/>
    <w:rsid w:val="002D54C4"/>
    <w:rPr>
      <w:sz w:val="24"/>
      <w:lang w:val="en-US" w:eastAsia="en-US" w:bidi="ar-SA"/>
    </w:rPr>
  </w:style>
  <w:style w:type="paragraph" w:styleId="HeadingPara2" w:customStyle="1">
    <w:name w:val="Heading Para 2"/>
    <w:basedOn w:val="Heading2"/>
    <w:next w:val="Normal"/>
    <w:rsid w:val="002D54C4"/>
    <w:pPr>
      <w:keepNext w:val="0"/>
      <w:keepLines w:val="0"/>
      <w:widowControl w:val="0"/>
      <w:adjustRightInd w:val="0"/>
      <w:spacing w:before="0" w:line="480" w:lineRule="auto"/>
      <w:ind w:left="-720"/>
      <w:textAlignment w:val="baseline"/>
      <w:outlineLvl w:val="9"/>
    </w:pPr>
    <w:rPr>
      <w:rFonts w:eastAsia="Times New Roman" w:cs="Times New Roman"/>
      <w:b w:val="0"/>
      <w:bCs w:val="0"/>
      <w:snapToGrid w:val="0"/>
      <w:sz w:val="24"/>
      <w:szCs w:val="20"/>
    </w:rPr>
  </w:style>
  <w:style w:type="paragraph" w:styleId="Article5L1" w:customStyle="1">
    <w:name w:val="Article5_L1"/>
    <w:basedOn w:val="Normal"/>
    <w:next w:val="BodyText"/>
    <w:rsid w:val="002D54C4"/>
    <w:pPr>
      <w:keepNext/>
      <w:tabs>
        <w:tab w:val="num" w:pos="720"/>
      </w:tabs>
      <w:spacing w:after="240"/>
      <w:ind w:left="1080" w:hanging="360"/>
      <w:jc w:val="center"/>
      <w:outlineLvl w:val="0"/>
    </w:pPr>
    <w:rPr>
      <w:rFonts w:ascii="Times New Roman" w:hAnsi="Times New Roman" w:eastAsia="Times New Roman"/>
      <w:caps/>
      <w:sz w:val="24"/>
    </w:rPr>
  </w:style>
  <w:style w:type="paragraph" w:styleId="Article5L2" w:customStyle="1">
    <w:name w:val="Article5_L2"/>
    <w:basedOn w:val="Article5L1"/>
    <w:next w:val="BodyText"/>
    <w:rsid w:val="00960870"/>
    <w:pPr>
      <w:keepNext w:val="0"/>
      <w:tabs>
        <w:tab w:val="clear" w:pos="720"/>
      </w:tabs>
      <w:ind w:left="1800"/>
      <w:jc w:val="both"/>
      <w:outlineLvl w:val="1"/>
    </w:pPr>
    <w:rPr>
      <w:caps w:val="0"/>
    </w:rPr>
  </w:style>
  <w:style w:type="paragraph" w:styleId="Article5L4" w:customStyle="1">
    <w:name w:val="Article5_L4"/>
    <w:basedOn w:val="Article5L3"/>
    <w:next w:val="BodyText"/>
    <w:rsid w:val="002D54C4"/>
    <w:pPr>
      <w:tabs>
        <w:tab w:val="clear" w:pos="1440"/>
        <w:tab w:val="clear" w:pos="2160"/>
      </w:tabs>
      <w:ind w:left="3240"/>
      <w:outlineLvl w:val="3"/>
    </w:pPr>
  </w:style>
  <w:style w:type="paragraph" w:styleId="zGBody311" w:customStyle="1">
    <w:name w:val="zGBody3_11"/>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Article5L6" w:customStyle="1">
    <w:name w:val="Article5_L6"/>
    <w:basedOn w:val="Article5L5"/>
    <w:next w:val="BodyText"/>
    <w:rsid w:val="00960870"/>
    <w:pPr>
      <w:tabs>
        <w:tab w:val="clear" w:pos="3168"/>
      </w:tabs>
      <w:ind w:left="4680"/>
      <w:jc w:val="both"/>
      <w:outlineLvl w:val="5"/>
    </w:pPr>
  </w:style>
  <w:style w:type="character" w:styleId="Mention3" w:customStyle="1">
    <w:name w:val="Mention3"/>
    <w:basedOn w:val="DefaultParagraphFont"/>
    <w:uiPriority w:val="99"/>
    <w:unhideWhenUsed/>
    <w:rsid w:val="002D54C4"/>
    <w:rPr>
      <w:color w:val="2B579A"/>
      <w:shd w:val="clear" w:color="auto" w:fill="E1DFDD"/>
    </w:rPr>
  </w:style>
  <w:style w:type="paragraph" w:styleId="Article5L7" w:customStyle="1">
    <w:name w:val="Article5_L7"/>
    <w:basedOn w:val="Article5L6"/>
    <w:next w:val="BodyText"/>
    <w:rsid w:val="00960870"/>
    <w:pPr>
      <w:ind w:left="5400"/>
      <w:outlineLvl w:val="6"/>
    </w:pPr>
  </w:style>
  <w:style w:type="paragraph" w:styleId="zGBody312" w:customStyle="1">
    <w:name w:val="zGBody3_12"/>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Article5L8" w:customStyle="1">
    <w:name w:val="Article5_L8"/>
    <w:basedOn w:val="Article5L7"/>
    <w:next w:val="BodyText"/>
    <w:rsid w:val="002D54C4"/>
    <w:pPr>
      <w:tabs>
        <w:tab w:val="num" w:pos="4320"/>
      </w:tabs>
      <w:ind w:left="6120"/>
      <w:jc w:val="left"/>
      <w:outlineLvl w:val="7"/>
    </w:pPr>
  </w:style>
  <w:style w:type="table" w:styleId="TableGrid1" w:customStyle="1">
    <w:name w:val="Table Grid1"/>
    <w:basedOn w:val="TableNormal"/>
    <w:next w:val="TableGrid"/>
    <w:rsid w:val="002D54C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GBody36" w:customStyle="1">
    <w:name w:val="zGBody3_6"/>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paragraph" w:customStyle="1">
    <w:name w:val="paragraph"/>
    <w:basedOn w:val="Normal"/>
    <w:rsid w:val="000F2B61"/>
    <w:pPr>
      <w:spacing w:before="100" w:beforeAutospacing="1" w:after="100" w:afterAutospacing="1"/>
    </w:pPr>
    <w:rPr>
      <w:rFonts w:ascii="Times New Roman" w:hAnsi="Times New Roman" w:eastAsia="Times New Roman"/>
      <w:sz w:val="24"/>
      <w:szCs w:val="24"/>
    </w:rPr>
  </w:style>
  <w:style w:type="character" w:styleId="Mention30" w:customStyle="1">
    <w:name w:val="Mention30"/>
    <w:basedOn w:val="DefaultParagraphFont"/>
    <w:uiPriority w:val="99"/>
    <w:unhideWhenUsed/>
    <w:rsid w:val="002D54C4"/>
    <w:rPr>
      <w:color w:val="2B579A"/>
      <w:shd w:val="clear" w:color="auto" w:fill="E1DFDD"/>
    </w:rPr>
  </w:style>
  <w:style w:type="character" w:styleId="UnresolvedMention4" w:customStyle="1">
    <w:name w:val="Unresolved Mention4"/>
    <w:basedOn w:val="DefaultParagraphFont"/>
    <w:uiPriority w:val="99"/>
    <w:semiHidden/>
    <w:unhideWhenUsed/>
    <w:rsid w:val="002D54C4"/>
    <w:rPr>
      <w:color w:val="605E5C"/>
      <w:shd w:val="clear" w:color="auto" w:fill="E1DFDD"/>
    </w:rPr>
  </w:style>
  <w:style w:type="character" w:styleId="PlaceholderText">
    <w:name w:val="Placeholder Text"/>
    <w:basedOn w:val="DefaultParagraphFont"/>
    <w:uiPriority w:val="99"/>
    <w:semiHidden/>
    <w:rsid w:val="002D54C4"/>
    <w:rPr>
      <w:color w:val="808080"/>
    </w:rPr>
  </w:style>
  <w:style w:type="numbering" w:styleId="Style2" w:customStyle="1">
    <w:name w:val="Style2"/>
    <w:uiPriority w:val="99"/>
    <w:rsid w:val="002D54C4"/>
  </w:style>
  <w:style w:type="paragraph" w:styleId="ListParagraph">
    <w:name w:val="List Paragraph"/>
    <w:basedOn w:val="Normal"/>
    <w:uiPriority w:val="34"/>
    <w:qFormat/>
    <w:rsid w:val="00684E85"/>
    <w:pPr>
      <w:spacing w:after="0"/>
      <w:ind w:left="720"/>
      <w:jc w:val="center"/>
    </w:pPr>
    <w:rPr>
      <w:rFonts w:ascii="Times New Roman" w:hAnsi="Times New Roman" w:eastAsia="Calibri"/>
      <w:sz w:val="24"/>
      <w:szCs w:val="24"/>
    </w:rPr>
  </w:style>
  <w:style w:type="character" w:styleId="cf01" w:customStyle="1">
    <w:name w:val="cf01"/>
    <w:basedOn w:val="DefaultParagraphFont"/>
    <w:rsid w:val="002D54C4"/>
    <w:rPr>
      <w:rFonts w:hint="default" w:ascii="Segoe UI" w:hAnsi="Segoe UI" w:cs="Segoe UI"/>
      <w:sz w:val="18"/>
      <w:szCs w:val="18"/>
    </w:rPr>
  </w:style>
  <w:style w:type="character" w:styleId="ui-provider" w:customStyle="1">
    <w:name w:val="ui-provider"/>
    <w:basedOn w:val="DefaultParagraphFont"/>
    <w:rsid w:val="002D54C4"/>
  </w:style>
  <w:style w:type="character" w:styleId="Strong">
    <w:name w:val="Strong"/>
    <w:basedOn w:val="DefaultParagraphFont"/>
    <w:uiPriority w:val="22"/>
    <w:qFormat/>
    <w:rsid w:val="002D54C4"/>
    <w:rPr>
      <w:b/>
      <w:bCs/>
    </w:rPr>
  </w:style>
  <w:style w:type="paragraph" w:styleId="pf0" w:customStyle="1">
    <w:name w:val="pf0"/>
    <w:basedOn w:val="Normal"/>
    <w:rsid w:val="007841D6"/>
    <w:pPr>
      <w:spacing w:before="100" w:beforeAutospacing="1" w:after="100" w:afterAutospacing="1"/>
    </w:pPr>
    <w:rPr>
      <w:rFonts w:ascii="Times New Roman" w:hAnsi="Times New Roman" w:eastAsia="Times New Roman"/>
      <w:sz w:val="24"/>
      <w:szCs w:val="24"/>
    </w:rPr>
  </w:style>
  <w:style w:type="character" w:styleId="cf11" w:customStyle="1">
    <w:name w:val="cf11"/>
    <w:basedOn w:val="DefaultParagraphFont"/>
    <w:rsid w:val="002D54C4"/>
    <w:rPr>
      <w:rFonts w:hint="default" w:ascii="Segoe UI" w:hAnsi="Segoe UI" w:cs="Segoe UI"/>
      <w:b/>
      <w:bCs/>
      <w:sz w:val="18"/>
      <w:szCs w:val="18"/>
    </w:rPr>
  </w:style>
  <w:style w:type="character" w:styleId="cf21" w:customStyle="1">
    <w:name w:val="cf21"/>
    <w:basedOn w:val="DefaultParagraphFont"/>
    <w:rsid w:val="002D54C4"/>
    <w:rPr>
      <w:rFonts w:hint="default" w:ascii="Segoe UI" w:hAnsi="Segoe UI" w:cs="Segoe UI"/>
      <w:sz w:val="18"/>
      <w:szCs w:val="18"/>
    </w:rPr>
  </w:style>
  <w:style w:type="character" w:styleId="BBBodyText2Char" w:customStyle="1">
    <w:name w:val="BB Body Text 2 Char"/>
    <w:link w:val="BBBodyText2"/>
    <w:rsid w:val="002D54C4"/>
    <w:rPr>
      <w:rFonts w:ascii="Times New Roman" w:hAnsi="Times New Roman" w:eastAsia="Times New Roman"/>
      <w:sz w:val="24"/>
      <w:szCs w:val="24"/>
    </w:rPr>
  </w:style>
  <w:style w:type="paragraph" w:styleId="ArticleL5" w:customStyle="1">
    <w:name w:val="Article_L5"/>
    <w:basedOn w:val="ArticleL4"/>
    <w:next w:val="BodyText"/>
    <w:rsid w:val="002D54C4"/>
    <w:pPr>
      <w:tabs>
        <w:tab w:val="clear" w:pos="2880"/>
        <w:tab w:val="num" w:pos="3600"/>
      </w:tabs>
      <w:ind w:firstLine="2880"/>
      <w:outlineLvl w:val="4"/>
    </w:pPr>
  </w:style>
  <w:style w:type="paragraph" w:styleId="ArticleL6" w:customStyle="1">
    <w:name w:val="Article_L6"/>
    <w:basedOn w:val="ArticleL5"/>
    <w:next w:val="BodyText"/>
    <w:rsid w:val="002D54C4"/>
    <w:pPr>
      <w:tabs>
        <w:tab w:val="clear" w:pos="3600"/>
        <w:tab w:val="num" w:pos="4320"/>
      </w:tabs>
      <w:ind w:firstLine="3600"/>
      <w:jc w:val="left"/>
      <w:outlineLvl w:val="5"/>
    </w:pPr>
  </w:style>
  <w:style w:type="paragraph" w:styleId="ArticleL7" w:customStyle="1">
    <w:name w:val="Article_L7"/>
    <w:basedOn w:val="ArticleL6"/>
    <w:next w:val="BodyText"/>
    <w:rsid w:val="002D54C4"/>
    <w:pPr>
      <w:tabs>
        <w:tab w:val="clear" w:pos="4320"/>
        <w:tab w:val="num" w:pos="5040"/>
      </w:tabs>
      <w:ind w:firstLine="4320"/>
      <w:outlineLvl w:val="6"/>
    </w:pPr>
  </w:style>
  <w:style w:type="paragraph" w:styleId="ArticleL8" w:customStyle="1">
    <w:name w:val="Article_L8"/>
    <w:basedOn w:val="ArticleL7"/>
    <w:next w:val="BodyText"/>
    <w:rsid w:val="002D54C4"/>
    <w:pPr>
      <w:tabs>
        <w:tab w:val="clear" w:pos="5040"/>
        <w:tab w:val="num" w:pos="5760"/>
      </w:tabs>
      <w:ind w:firstLine="5040"/>
      <w:outlineLvl w:val="7"/>
    </w:pPr>
  </w:style>
  <w:style w:type="paragraph" w:styleId="ArticleL9" w:customStyle="1">
    <w:name w:val="Article_L9"/>
    <w:basedOn w:val="ArticleL8"/>
    <w:next w:val="BodyText"/>
    <w:link w:val="ArticleL9Char"/>
    <w:rsid w:val="002D54C4"/>
    <w:pPr>
      <w:tabs>
        <w:tab w:val="clear" w:pos="5760"/>
        <w:tab w:val="num" w:pos="6480"/>
      </w:tabs>
      <w:ind w:firstLine="5760"/>
      <w:outlineLvl w:val="8"/>
    </w:pPr>
    <w:rPr>
      <w:rFonts w:ascii="Times New Roman" w:hAnsi="Times New Roman" w:cs="Times New Roman"/>
      <w:sz w:val="24"/>
      <w:szCs w:val="20"/>
    </w:rPr>
  </w:style>
  <w:style w:type="paragraph" w:styleId="ArticleCont6" w:customStyle="1">
    <w:name w:val="Article Cont 6"/>
    <w:basedOn w:val="Normal"/>
    <w:link w:val="ArticleCont6Char"/>
    <w:rsid w:val="00A703B8"/>
    <w:pPr>
      <w:spacing w:after="240"/>
      <w:ind w:firstLine="4320"/>
      <w:jc w:val="center"/>
    </w:pPr>
    <w:rPr>
      <w:rFonts w:ascii="Times New Roman" w:hAnsi="Times New Roman" w:eastAsia="Times New Roman"/>
      <w:sz w:val="24"/>
    </w:rPr>
  </w:style>
  <w:style w:type="character" w:styleId="ArticleCont6Char" w:customStyle="1">
    <w:name w:val="Article Cont 6 Char"/>
    <w:basedOn w:val="BodyTextChar"/>
    <w:link w:val="ArticleCont6"/>
    <w:rsid w:val="002D54C4"/>
    <w:rPr>
      <w:rFonts w:ascii="Times New Roman" w:hAnsi="Times New Roman" w:eastAsia="Times New Roman" w:cs="Times New Roman"/>
      <w:sz w:val="24"/>
      <w:szCs w:val="20"/>
    </w:rPr>
  </w:style>
  <w:style w:type="paragraph" w:styleId="zGBody35" w:customStyle="1">
    <w:name w:val="zGBody3_5"/>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numbering" w:styleId="zGList" w:customStyle="1">
    <w:name w:val="zGList"/>
    <w:rsid w:val="002D54C4"/>
    <w:pPr>
      <w:numPr>
        <w:numId w:val="12"/>
      </w:numPr>
    </w:pPr>
  </w:style>
  <w:style w:type="character" w:styleId="ArticleCont7Char" w:customStyle="1">
    <w:name w:val="Article Cont 7 Char"/>
    <w:basedOn w:val="BodyTextChar"/>
    <w:link w:val="ArticleCont7"/>
    <w:rsid w:val="002D54C4"/>
    <w:rPr>
      <w:rFonts w:ascii="Times New Roman" w:hAnsi="Times New Roman" w:eastAsia="Times New Roman" w:cs="Times New Roman"/>
      <w:sz w:val="24"/>
      <w:szCs w:val="20"/>
    </w:rPr>
  </w:style>
  <w:style w:type="paragraph" w:styleId="zGBody34" w:customStyle="1">
    <w:name w:val="zGBody3_4"/>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NormalWeb">
    <w:name w:val="Normal (Web)"/>
    <w:basedOn w:val="Normal"/>
    <w:uiPriority w:val="99"/>
    <w:unhideWhenUsed/>
    <w:rsid w:val="00E86EC7"/>
    <w:pPr>
      <w:spacing w:before="100" w:beforeAutospacing="1" w:after="100" w:afterAutospacing="1"/>
    </w:pPr>
    <w:rPr>
      <w:rFonts w:ascii="Times New Roman" w:hAnsi="Times New Roman" w:eastAsia="Times New Roman"/>
      <w:sz w:val="24"/>
      <w:szCs w:val="24"/>
    </w:rPr>
  </w:style>
  <w:style w:type="paragraph" w:styleId="ArticleL1" w:customStyle="1">
    <w:name w:val="Article_L1"/>
    <w:basedOn w:val="Normal"/>
    <w:next w:val="BodyText"/>
    <w:link w:val="ArticleL1Char"/>
    <w:rsid w:val="00AA7F3C"/>
    <w:pPr>
      <w:spacing w:after="240"/>
      <w:jc w:val="center"/>
      <w:outlineLvl w:val="0"/>
    </w:pPr>
    <w:rPr>
      <w:rFonts w:ascii="Times New Roman" w:hAnsi="Times New Roman" w:eastAsia="Times New Roman"/>
      <w:b/>
      <w:caps/>
      <w:sz w:val="24"/>
    </w:rPr>
  </w:style>
  <w:style w:type="character" w:styleId="ArticleL1Char" w:customStyle="1">
    <w:name w:val="Article_L1 Char"/>
    <w:basedOn w:val="BodyTextChar"/>
    <w:link w:val="ArticleL1"/>
    <w:rsid w:val="002D54C4"/>
    <w:rPr>
      <w:rFonts w:ascii="Times New Roman" w:hAnsi="Times New Roman" w:eastAsia="Times New Roman" w:cs="Times New Roman"/>
      <w:b/>
      <w:caps/>
      <w:sz w:val="24"/>
      <w:szCs w:val="20"/>
    </w:rPr>
  </w:style>
  <w:style w:type="character" w:styleId="Para2Char" w:customStyle="1">
    <w:name w:val="Para2 Char"/>
    <w:basedOn w:val="DefaultParagraphFont"/>
    <w:link w:val="Para2"/>
    <w:rsid w:val="002D54C4"/>
    <w:rPr>
      <w:rFonts w:ascii="Times New Roman" w:hAnsi="Times New Roman" w:eastAsia="Times New Roman"/>
      <w:sz w:val="24"/>
    </w:rPr>
  </w:style>
  <w:style w:type="table" w:styleId="GridTable3">
    <w:name w:val="Grid Table 3"/>
    <w:basedOn w:val="TableNormal"/>
    <w:uiPriority w:val="48"/>
    <w:rsid w:val="00A05DFF"/>
    <w:pPr>
      <w:spacing w:after="0"/>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paragraph" w:styleId="StandardCont5" w:customStyle="1">
    <w:name w:val="Standard Cont 5"/>
    <w:basedOn w:val="Normal"/>
    <w:rsid w:val="00A05DFF"/>
    <w:pPr>
      <w:widowControl w:val="0"/>
      <w:autoSpaceDE w:val="0"/>
      <w:autoSpaceDN w:val="0"/>
      <w:adjustRightInd w:val="0"/>
      <w:spacing w:after="240"/>
      <w:ind w:firstLine="3600"/>
    </w:pPr>
    <w:rPr>
      <w:rFonts w:cs="Arial" w:eastAsiaTheme="minorEastAsia"/>
    </w:rPr>
  </w:style>
  <w:style w:type="numbering" w:styleId="CurrentList1" w:customStyle="1">
    <w:name w:val="Current List1"/>
    <w:uiPriority w:val="99"/>
    <w:rsid w:val="00A05DFF"/>
    <w:pPr>
      <w:numPr>
        <w:numId w:val="3"/>
      </w:numPr>
    </w:pPr>
  </w:style>
  <w:style w:type="paragraph" w:styleId="zGTextHangingIndent10" w:customStyle="1">
    <w:name w:val="zGText Hanging Indent 1.0"/>
    <w:basedOn w:val="Normal"/>
    <w:uiPriority w:val="5"/>
    <w:unhideWhenUsed/>
    <w:rsid w:val="00AA2E45"/>
    <w:pPr>
      <w:spacing w:after="240" w:line="240" w:lineRule="auto"/>
      <w:ind w:left="2160" w:hanging="720"/>
      <w:jc w:val="both"/>
    </w:pPr>
    <w:rPr>
      <w:rFonts w:ascii="Arial" w:hAnsi="Arial" w:cs="Times New Roman"/>
      <w:sz w:val="20"/>
      <w:szCs w:val="20"/>
    </w:rPr>
  </w:style>
  <w:style w:type="paragraph" w:styleId="zGTextHangingIndent15" w:customStyle="1">
    <w:name w:val="zGText Hanging Indent 1.5"/>
    <w:basedOn w:val="zGTextHangingIndent10"/>
    <w:uiPriority w:val="5"/>
    <w:unhideWhenUsed/>
    <w:rsid w:val="00AA2E45"/>
    <w:pPr>
      <w:ind w:left="2880"/>
    </w:pPr>
  </w:style>
  <w:style w:type="character" w:styleId="ArticleL4Char" w:customStyle="1">
    <w:name w:val="Article_L4 Char"/>
    <w:basedOn w:val="BodyTextChar"/>
    <w:link w:val="ArticleL4"/>
    <w:rsid w:val="00CC714B"/>
    <w:rPr>
      <w:rFonts w:ascii="Arial" w:hAnsi="Arial" w:eastAsia="Times New Roman" w:cs="Times New Roman"/>
      <w:sz w:val="20"/>
      <w:szCs w:val="20"/>
    </w:rPr>
  </w:style>
  <w:style w:type="paragraph" w:styleId="zGNormalDefinition" w:customStyle="1">
    <w:name w:val="zGNormalDefinition"/>
    <w:uiPriority w:val="3"/>
    <w:qFormat/>
    <w:rsid w:val="00CC714B"/>
    <w:pPr>
      <w:spacing w:before="60" w:after="0" w:line="240" w:lineRule="auto"/>
      <w:jc w:val="both"/>
    </w:pPr>
    <w:rPr>
      <w:rFonts w:ascii="Arial" w:hAnsi="Arial" w:eastAsia="Times New Roman" w:cs="Times New Roman"/>
      <w:spacing w:val="-2"/>
      <w:sz w:val="18"/>
      <w:szCs w:val="20"/>
    </w:rPr>
  </w:style>
  <w:style w:type="paragraph" w:styleId="zGTC031" w:customStyle="1">
    <w:name w:val="zGTC03_1"/>
    <w:uiPriority w:val="1"/>
    <w:qFormat/>
    <w:pPr>
      <w:tabs>
        <w:tab w:val="num" w:pos="1368"/>
      </w:tabs>
      <w:spacing w:before="120" w:after="0" w:line="240" w:lineRule="auto"/>
      <w:ind w:left="648"/>
      <w:jc w:val="both"/>
    </w:pPr>
    <w:rPr>
      <w:rFonts w:ascii="Arial" w:hAnsi="Arial" w:eastAsia="Times New Roman" w:cs="Times New Roman"/>
      <w:b/>
      <w:kern w:val="14"/>
      <w:sz w:val="20"/>
      <w:szCs w:val="24"/>
    </w:rPr>
  </w:style>
  <w:style w:type="paragraph" w:styleId="zGTC042" w:customStyle="1">
    <w:name w:val="zGTC04_2"/>
    <w:uiPriority w:val="1"/>
    <w:pPr>
      <w:tabs>
        <w:tab w:val="num" w:pos="1944"/>
      </w:tabs>
      <w:spacing w:before="120" w:after="0" w:line="240" w:lineRule="auto"/>
      <w:ind w:left="1440"/>
      <w:jc w:val="both"/>
    </w:pPr>
    <w:rPr>
      <w:rFonts w:ascii="Arial" w:hAnsi="Arial" w:eastAsia="Times New Roman" w:cs="Times New Roman"/>
      <w:kern w:val="14"/>
      <w:sz w:val="20"/>
      <w:szCs w:val="24"/>
    </w:rPr>
  </w:style>
  <w:style w:type="paragraph" w:styleId="zGTC032" w:customStyle="1">
    <w:name w:val="zGTC03_2"/>
    <w:uiPriority w:val="1"/>
    <w:qFormat/>
    <w:pPr>
      <w:tabs>
        <w:tab w:val="num" w:pos="1368"/>
      </w:tabs>
      <w:spacing w:before="120" w:after="0" w:line="240" w:lineRule="auto"/>
      <w:ind w:left="648"/>
      <w:jc w:val="both"/>
    </w:pPr>
    <w:rPr>
      <w:rFonts w:ascii="Arial" w:hAnsi="Arial" w:eastAsia="Times New Roman" w:cs="Times New Roman"/>
      <w:b/>
      <w:kern w:val="14"/>
      <w:sz w:val="20"/>
      <w:szCs w:val="24"/>
    </w:rPr>
  </w:style>
  <w:style w:type="paragraph" w:styleId="Subtitle-Bold1" w:customStyle="1">
    <w:name w:val="Subtitle-Bold_1"/>
    <w:uiPriority w:val="94"/>
    <w:semiHidden/>
    <w:pPr>
      <w:keepNext/>
      <w:spacing w:before="120" w:after="240" w:line="240" w:lineRule="auto"/>
      <w:jc w:val="center"/>
    </w:pPr>
    <w:rPr>
      <w:rFonts w:ascii="Arial" w:hAnsi="Arial" w:cs="Times New Roman"/>
      <w:b/>
      <w:bCs/>
      <w:sz w:val="20"/>
      <w:szCs w:val="20"/>
    </w:rPr>
  </w:style>
  <w:style w:type="paragraph" w:styleId="zGBody31" w:customStyle="1">
    <w:name w:val="zGBody3_1"/>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zGBody32" w:customStyle="1">
    <w:name w:val="zGBody3_2"/>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zGBody33" w:customStyle="1">
    <w:name w:val="zGBody3_3"/>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character" w:styleId="zGBody3Char1" w:customStyle="1">
    <w:name w:val="zGBody3Char_1"/>
    <w:uiPriority w:val="2"/>
    <w:rPr>
      <w:rFonts w:ascii="Arial" w:hAnsi="Arial" w:cs="Arial" w:eastAsiaTheme="minorEastAsia"/>
      <w:kern w:val="14"/>
      <w:sz w:val="20"/>
      <w:szCs w:val="20"/>
    </w:rPr>
  </w:style>
  <w:style w:type="paragraph" w:styleId="zGBody38" w:customStyle="1">
    <w:name w:val="zGBody3_8"/>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zGBody21" w:customStyle="1">
    <w:name w:val="zGBody2_1"/>
    <w:uiPriority w:val="2"/>
    <w:qFormat/>
    <w:pPr>
      <w:keepNext/>
      <w:tabs>
        <w:tab w:val="num" w:pos="1152"/>
      </w:tabs>
      <w:autoSpaceDE w:val="0"/>
      <w:autoSpaceDN w:val="0"/>
      <w:adjustRightInd w:val="0"/>
      <w:spacing w:before="360" w:after="120" w:line="240" w:lineRule="auto"/>
      <w:ind w:left="1152" w:hanging="576"/>
      <w:jc w:val="both"/>
    </w:pPr>
    <w:rPr>
      <w:rFonts w:ascii="Arial Bold" w:hAnsi="Arial Bold" w:cs="Arial" w:eastAsiaTheme="minorEastAsia"/>
      <w:b/>
      <w:kern w:val="14"/>
      <w:sz w:val="20"/>
      <w:szCs w:val="20"/>
    </w:rPr>
  </w:style>
  <w:style w:type="paragraph" w:styleId="zGBody39" w:customStyle="1">
    <w:name w:val="zGBody3_9"/>
    <w:uiPriority w:val="2"/>
    <w:qFormat/>
    <w:pPr>
      <w:tabs>
        <w:tab w:val="num" w:pos="1872"/>
      </w:tabs>
      <w:autoSpaceDE w:val="0"/>
      <w:autoSpaceDN w:val="0"/>
      <w:adjustRightInd w:val="0"/>
      <w:spacing w:before="120" w:after="240" w:line="240" w:lineRule="auto"/>
      <w:ind w:left="1152"/>
      <w:jc w:val="both"/>
    </w:pPr>
    <w:rPr>
      <w:rFonts w:ascii="Arial" w:hAnsi="Arial" w:cs="Arial" w:eastAsiaTheme="minorEastAsia"/>
      <w:kern w:val="14"/>
      <w:sz w:val="20"/>
      <w:szCs w:val="20"/>
    </w:rPr>
  </w:style>
  <w:style w:type="paragraph" w:styleId="zGTC043" w:customStyle="1">
    <w:name w:val="zGTC04_3"/>
    <w:uiPriority w:val="1"/>
    <w:pPr>
      <w:tabs>
        <w:tab w:val="num" w:pos="1944"/>
      </w:tabs>
      <w:spacing w:before="120" w:after="0" w:line="240" w:lineRule="auto"/>
      <w:ind w:left="1440"/>
      <w:jc w:val="both"/>
    </w:pPr>
    <w:rPr>
      <w:rFonts w:ascii="Arial" w:hAnsi="Arial" w:eastAsia="Times New Roman" w:cs="Times New Roman"/>
      <w:kern w:val="14"/>
      <w:sz w:val="20"/>
      <w:szCs w:val="24"/>
    </w:rPr>
  </w:style>
  <w:style w:type="character" w:styleId="Mention300" w:customStyle="1">
    <w:name w:val="Mention300"/>
    <w:basedOn w:val="DefaultParagraphFont"/>
    <w:uiPriority w:val="99"/>
    <w:unhideWhenUsed/>
    <w:rsid w:val="002429FF"/>
    <w:rPr>
      <w:color w:val="2B579A"/>
      <w:shd w:val="clear" w:color="auto" w:fill="E1DFDD"/>
    </w:rPr>
  </w:style>
  <w:style w:type="character" w:styleId="Mention">
    <w:name w:val="Mention"/>
    <w:basedOn w:val="DefaultParagraphFont"/>
    <w:uiPriority w:val="99"/>
    <w:rsid w:val="00F837A1"/>
    <w:rPr>
      <w:color w:val="2B579A"/>
      <w:shd w:val="clear" w:color="auto" w:fill="E1DFDD"/>
    </w:rPr>
  </w:style>
  <w:style w:type="character" w:styleId="Mention3000" w:customStyle="1">
    <w:name w:val="Mention3000"/>
    <w:basedOn w:val="DefaultParagraphFont"/>
    <w:uiPriority w:val="99"/>
    <w:unhideWhenUsed/>
    <w:rsid w:val="003247A5"/>
    <w:rPr>
      <w:color w:val="2B579A"/>
      <w:shd w:val="clear" w:color="auto" w:fill="E1DFDD"/>
    </w:rPr>
  </w:style>
  <w:style w:type="character" w:styleId="UnresolvedMention">
    <w:name w:val="Unresolved Mention"/>
    <w:basedOn w:val="DefaultParagraphFont"/>
    <w:uiPriority w:val="99"/>
    <w:rsid w:val="00F837A1"/>
    <w:rPr>
      <w:color w:val="605E5C"/>
      <w:shd w:val="clear" w:color="auto" w:fill="E1DFDD"/>
    </w:rPr>
  </w:style>
  <w:style w:type="character" w:styleId="Mention30000" w:customStyle="1">
    <w:name w:val="Mention30000"/>
    <w:basedOn w:val="DefaultParagraphFont"/>
    <w:uiPriority w:val="99"/>
    <w:unhideWhenUsed/>
    <w:rsid w:val="006F5A37"/>
    <w:rPr>
      <w:color w:val="2B579A"/>
      <w:shd w:val="clear" w:color="auto" w:fill="E1DFDD"/>
    </w:rPr>
  </w:style>
  <w:style w:type="character" w:styleId="Mention300000" w:customStyle="1">
    <w:name w:val="Mention300000"/>
    <w:basedOn w:val="DefaultParagraphFont"/>
    <w:uiPriority w:val="99"/>
    <w:unhideWhenUsed/>
    <w:rsid w:val="00B9665A"/>
    <w:rPr>
      <w:color w:val="2B579A"/>
      <w:shd w:val="clear" w:color="auto" w:fill="E1DFDD"/>
    </w:rPr>
  </w:style>
  <w:style w:type="character" w:styleId="Mention3000000" w:customStyle="1">
    <w:name w:val="Mention3000000"/>
    <w:basedOn w:val="DefaultParagraphFont"/>
    <w:uiPriority w:val="99"/>
    <w:unhideWhenUsed/>
    <w:rsid w:val="004547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8284">
      <w:bodyDiv w:val="1"/>
      <w:marLeft w:val="0"/>
      <w:marRight w:val="0"/>
      <w:marTop w:val="0"/>
      <w:marBottom w:val="0"/>
      <w:divBdr>
        <w:top w:val="none" w:sz="0" w:space="0" w:color="auto"/>
        <w:left w:val="none" w:sz="0" w:space="0" w:color="auto"/>
        <w:bottom w:val="none" w:sz="0" w:space="0" w:color="auto"/>
        <w:right w:val="none" w:sz="0" w:space="0" w:color="auto"/>
      </w:divBdr>
    </w:div>
    <w:div w:id="52849497">
      <w:bodyDiv w:val="1"/>
      <w:marLeft w:val="0"/>
      <w:marRight w:val="0"/>
      <w:marTop w:val="0"/>
      <w:marBottom w:val="0"/>
      <w:divBdr>
        <w:top w:val="none" w:sz="0" w:space="0" w:color="auto"/>
        <w:left w:val="none" w:sz="0" w:space="0" w:color="auto"/>
        <w:bottom w:val="none" w:sz="0" w:space="0" w:color="auto"/>
        <w:right w:val="none" w:sz="0" w:space="0" w:color="auto"/>
      </w:divBdr>
    </w:div>
    <w:div w:id="95712320">
      <w:bodyDiv w:val="1"/>
      <w:marLeft w:val="0"/>
      <w:marRight w:val="0"/>
      <w:marTop w:val="0"/>
      <w:marBottom w:val="0"/>
      <w:divBdr>
        <w:top w:val="none" w:sz="0" w:space="0" w:color="auto"/>
        <w:left w:val="none" w:sz="0" w:space="0" w:color="auto"/>
        <w:bottom w:val="none" w:sz="0" w:space="0" w:color="auto"/>
        <w:right w:val="none" w:sz="0" w:space="0" w:color="auto"/>
      </w:divBdr>
    </w:div>
    <w:div w:id="138616554">
      <w:bodyDiv w:val="1"/>
      <w:marLeft w:val="0"/>
      <w:marRight w:val="0"/>
      <w:marTop w:val="0"/>
      <w:marBottom w:val="0"/>
      <w:divBdr>
        <w:top w:val="none" w:sz="0" w:space="0" w:color="auto"/>
        <w:left w:val="none" w:sz="0" w:space="0" w:color="auto"/>
        <w:bottom w:val="none" w:sz="0" w:space="0" w:color="auto"/>
        <w:right w:val="none" w:sz="0" w:space="0" w:color="auto"/>
      </w:divBdr>
    </w:div>
    <w:div w:id="458500619">
      <w:bodyDiv w:val="1"/>
      <w:marLeft w:val="0"/>
      <w:marRight w:val="0"/>
      <w:marTop w:val="0"/>
      <w:marBottom w:val="0"/>
      <w:divBdr>
        <w:top w:val="none" w:sz="0" w:space="0" w:color="auto"/>
        <w:left w:val="none" w:sz="0" w:space="0" w:color="auto"/>
        <w:bottom w:val="none" w:sz="0" w:space="0" w:color="auto"/>
        <w:right w:val="none" w:sz="0" w:space="0" w:color="auto"/>
      </w:divBdr>
    </w:div>
    <w:div w:id="496918980">
      <w:bodyDiv w:val="1"/>
      <w:marLeft w:val="0"/>
      <w:marRight w:val="0"/>
      <w:marTop w:val="0"/>
      <w:marBottom w:val="0"/>
      <w:divBdr>
        <w:top w:val="none" w:sz="0" w:space="0" w:color="auto"/>
        <w:left w:val="none" w:sz="0" w:space="0" w:color="auto"/>
        <w:bottom w:val="none" w:sz="0" w:space="0" w:color="auto"/>
        <w:right w:val="none" w:sz="0" w:space="0" w:color="auto"/>
      </w:divBdr>
    </w:div>
    <w:div w:id="557208458">
      <w:bodyDiv w:val="1"/>
      <w:marLeft w:val="0"/>
      <w:marRight w:val="0"/>
      <w:marTop w:val="0"/>
      <w:marBottom w:val="0"/>
      <w:divBdr>
        <w:top w:val="none" w:sz="0" w:space="0" w:color="auto"/>
        <w:left w:val="none" w:sz="0" w:space="0" w:color="auto"/>
        <w:bottom w:val="none" w:sz="0" w:space="0" w:color="auto"/>
        <w:right w:val="none" w:sz="0" w:space="0" w:color="auto"/>
      </w:divBdr>
    </w:div>
    <w:div w:id="615068568">
      <w:bodyDiv w:val="1"/>
      <w:marLeft w:val="0"/>
      <w:marRight w:val="0"/>
      <w:marTop w:val="0"/>
      <w:marBottom w:val="0"/>
      <w:divBdr>
        <w:top w:val="none" w:sz="0" w:space="0" w:color="auto"/>
        <w:left w:val="none" w:sz="0" w:space="0" w:color="auto"/>
        <w:bottom w:val="none" w:sz="0" w:space="0" w:color="auto"/>
        <w:right w:val="none" w:sz="0" w:space="0" w:color="auto"/>
      </w:divBdr>
    </w:div>
    <w:div w:id="633679065">
      <w:bodyDiv w:val="1"/>
      <w:marLeft w:val="0"/>
      <w:marRight w:val="0"/>
      <w:marTop w:val="0"/>
      <w:marBottom w:val="0"/>
      <w:divBdr>
        <w:top w:val="none" w:sz="0" w:space="0" w:color="auto"/>
        <w:left w:val="none" w:sz="0" w:space="0" w:color="auto"/>
        <w:bottom w:val="none" w:sz="0" w:space="0" w:color="auto"/>
        <w:right w:val="none" w:sz="0" w:space="0" w:color="auto"/>
      </w:divBdr>
      <w:divsChild>
        <w:div w:id="208689854">
          <w:marLeft w:val="0"/>
          <w:marRight w:val="0"/>
          <w:marTop w:val="0"/>
          <w:marBottom w:val="0"/>
          <w:divBdr>
            <w:top w:val="none" w:sz="0" w:space="0" w:color="auto"/>
            <w:left w:val="none" w:sz="0" w:space="0" w:color="auto"/>
            <w:bottom w:val="none" w:sz="0" w:space="0" w:color="auto"/>
            <w:right w:val="none" w:sz="0" w:space="0" w:color="auto"/>
          </w:divBdr>
          <w:divsChild>
            <w:div w:id="63990895">
              <w:marLeft w:val="0"/>
              <w:marRight w:val="0"/>
              <w:marTop w:val="0"/>
              <w:marBottom w:val="0"/>
              <w:divBdr>
                <w:top w:val="none" w:sz="0" w:space="0" w:color="auto"/>
                <w:left w:val="none" w:sz="0" w:space="0" w:color="auto"/>
                <w:bottom w:val="none" w:sz="0" w:space="0" w:color="auto"/>
                <w:right w:val="none" w:sz="0" w:space="0" w:color="auto"/>
              </w:divBdr>
            </w:div>
          </w:divsChild>
        </w:div>
        <w:div w:id="870805945">
          <w:marLeft w:val="0"/>
          <w:marRight w:val="0"/>
          <w:marTop w:val="0"/>
          <w:marBottom w:val="0"/>
          <w:divBdr>
            <w:top w:val="none" w:sz="0" w:space="0" w:color="auto"/>
            <w:left w:val="none" w:sz="0" w:space="0" w:color="auto"/>
            <w:bottom w:val="none" w:sz="0" w:space="0" w:color="auto"/>
            <w:right w:val="none" w:sz="0" w:space="0" w:color="auto"/>
          </w:divBdr>
          <w:divsChild>
            <w:div w:id="176235934">
              <w:marLeft w:val="0"/>
              <w:marRight w:val="0"/>
              <w:marTop w:val="0"/>
              <w:marBottom w:val="0"/>
              <w:divBdr>
                <w:top w:val="none" w:sz="0" w:space="0" w:color="auto"/>
                <w:left w:val="none" w:sz="0" w:space="0" w:color="auto"/>
                <w:bottom w:val="none" w:sz="0" w:space="0" w:color="auto"/>
                <w:right w:val="none" w:sz="0" w:space="0" w:color="auto"/>
              </w:divBdr>
            </w:div>
            <w:div w:id="527989423">
              <w:marLeft w:val="0"/>
              <w:marRight w:val="0"/>
              <w:marTop w:val="0"/>
              <w:marBottom w:val="0"/>
              <w:divBdr>
                <w:top w:val="none" w:sz="0" w:space="0" w:color="auto"/>
                <w:left w:val="none" w:sz="0" w:space="0" w:color="auto"/>
                <w:bottom w:val="none" w:sz="0" w:space="0" w:color="auto"/>
                <w:right w:val="none" w:sz="0" w:space="0" w:color="auto"/>
              </w:divBdr>
            </w:div>
            <w:div w:id="1039892406">
              <w:marLeft w:val="0"/>
              <w:marRight w:val="0"/>
              <w:marTop w:val="0"/>
              <w:marBottom w:val="0"/>
              <w:divBdr>
                <w:top w:val="none" w:sz="0" w:space="0" w:color="auto"/>
                <w:left w:val="none" w:sz="0" w:space="0" w:color="auto"/>
                <w:bottom w:val="none" w:sz="0" w:space="0" w:color="auto"/>
                <w:right w:val="none" w:sz="0" w:space="0" w:color="auto"/>
              </w:divBdr>
            </w:div>
            <w:div w:id="1202086554">
              <w:marLeft w:val="0"/>
              <w:marRight w:val="0"/>
              <w:marTop w:val="0"/>
              <w:marBottom w:val="0"/>
              <w:divBdr>
                <w:top w:val="none" w:sz="0" w:space="0" w:color="auto"/>
                <w:left w:val="none" w:sz="0" w:space="0" w:color="auto"/>
                <w:bottom w:val="none" w:sz="0" w:space="0" w:color="auto"/>
                <w:right w:val="none" w:sz="0" w:space="0" w:color="auto"/>
              </w:divBdr>
            </w:div>
            <w:div w:id="1244679588">
              <w:marLeft w:val="0"/>
              <w:marRight w:val="0"/>
              <w:marTop w:val="0"/>
              <w:marBottom w:val="0"/>
              <w:divBdr>
                <w:top w:val="none" w:sz="0" w:space="0" w:color="auto"/>
                <w:left w:val="none" w:sz="0" w:space="0" w:color="auto"/>
                <w:bottom w:val="none" w:sz="0" w:space="0" w:color="auto"/>
                <w:right w:val="none" w:sz="0" w:space="0" w:color="auto"/>
              </w:divBdr>
            </w:div>
          </w:divsChild>
        </w:div>
        <w:div w:id="1690445334">
          <w:marLeft w:val="0"/>
          <w:marRight w:val="0"/>
          <w:marTop w:val="0"/>
          <w:marBottom w:val="0"/>
          <w:divBdr>
            <w:top w:val="none" w:sz="0" w:space="0" w:color="auto"/>
            <w:left w:val="none" w:sz="0" w:space="0" w:color="auto"/>
            <w:bottom w:val="none" w:sz="0" w:space="0" w:color="auto"/>
            <w:right w:val="none" w:sz="0" w:space="0" w:color="auto"/>
          </w:divBdr>
        </w:div>
      </w:divsChild>
    </w:div>
    <w:div w:id="841050622">
      <w:bodyDiv w:val="1"/>
      <w:marLeft w:val="0"/>
      <w:marRight w:val="0"/>
      <w:marTop w:val="0"/>
      <w:marBottom w:val="0"/>
      <w:divBdr>
        <w:top w:val="none" w:sz="0" w:space="0" w:color="auto"/>
        <w:left w:val="none" w:sz="0" w:space="0" w:color="auto"/>
        <w:bottom w:val="none" w:sz="0" w:space="0" w:color="auto"/>
        <w:right w:val="none" w:sz="0" w:space="0" w:color="auto"/>
      </w:divBdr>
    </w:div>
    <w:div w:id="907766010">
      <w:bodyDiv w:val="1"/>
      <w:marLeft w:val="0"/>
      <w:marRight w:val="0"/>
      <w:marTop w:val="0"/>
      <w:marBottom w:val="0"/>
      <w:divBdr>
        <w:top w:val="none" w:sz="0" w:space="0" w:color="auto"/>
        <w:left w:val="none" w:sz="0" w:space="0" w:color="auto"/>
        <w:bottom w:val="none" w:sz="0" w:space="0" w:color="auto"/>
        <w:right w:val="none" w:sz="0" w:space="0" w:color="auto"/>
      </w:divBdr>
    </w:div>
    <w:div w:id="960959076">
      <w:bodyDiv w:val="1"/>
      <w:marLeft w:val="0"/>
      <w:marRight w:val="0"/>
      <w:marTop w:val="0"/>
      <w:marBottom w:val="0"/>
      <w:divBdr>
        <w:top w:val="none" w:sz="0" w:space="0" w:color="auto"/>
        <w:left w:val="none" w:sz="0" w:space="0" w:color="auto"/>
        <w:bottom w:val="none" w:sz="0" w:space="0" w:color="auto"/>
        <w:right w:val="none" w:sz="0" w:space="0" w:color="auto"/>
      </w:divBdr>
    </w:div>
    <w:div w:id="1028025223">
      <w:bodyDiv w:val="1"/>
      <w:marLeft w:val="0"/>
      <w:marRight w:val="0"/>
      <w:marTop w:val="0"/>
      <w:marBottom w:val="0"/>
      <w:divBdr>
        <w:top w:val="none" w:sz="0" w:space="0" w:color="auto"/>
        <w:left w:val="none" w:sz="0" w:space="0" w:color="auto"/>
        <w:bottom w:val="none" w:sz="0" w:space="0" w:color="auto"/>
        <w:right w:val="none" w:sz="0" w:space="0" w:color="auto"/>
      </w:divBdr>
    </w:div>
    <w:div w:id="1103888806">
      <w:bodyDiv w:val="1"/>
      <w:marLeft w:val="0"/>
      <w:marRight w:val="0"/>
      <w:marTop w:val="0"/>
      <w:marBottom w:val="0"/>
      <w:divBdr>
        <w:top w:val="none" w:sz="0" w:space="0" w:color="auto"/>
        <w:left w:val="none" w:sz="0" w:space="0" w:color="auto"/>
        <w:bottom w:val="none" w:sz="0" w:space="0" w:color="auto"/>
        <w:right w:val="none" w:sz="0" w:space="0" w:color="auto"/>
      </w:divBdr>
    </w:div>
    <w:div w:id="1142311641">
      <w:bodyDiv w:val="1"/>
      <w:marLeft w:val="0"/>
      <w:marRight w:val="0"/>
      <w:marTop w:val="0"/>
      <w:marBottom w:val="0"/>
      <w:divBdr>
        <w:top w:val="none" w:sz="0" w:space="0" w:color="auto"/>
        <w:left w:val="none" w:sz="0" w:space="0" w:color="auto"/>
        <w:bottom w:val="none" w:sz="0" w:space="0" w:color="auto"/>
        <w:right w:val="none" w:sz="0" w:space="0" w:color="auto"/>
      </w:divBdr>
    </w:div>
    <w:div w:id="1298803394">
      <w:bodyDiv w:val="1"/>
      <w:marLeft w:val="0"/>
      <w:marRight w:val="0"/>
      <w:marTop w:val="0"/>
      <w:marBottom w:val="0"/>
      <w:divBdr>
        <w:top w:val="none" w:sz="0" w:space="0" w:color="auto"/>
        <w:left w:val="none" w:sz="0" w:space="0" w:color="auto"/>
        <w:bottom w:val="none" w:sz="0" w:space="0" w:color="auto"/>
        <w:right w:val="none" w:sz="0" w:space="0" w:color="auto"/>
      </w:divBdr>
    </w:div>
    <w:div w:id="1299185682">
      <w:bodyDiv w:val="1"/>
      <w:marLeft w:val="0"/>
      <w:marRight w:val="0"/>
      <w:marTop w:val="0"/>
      <w:marBottom w:val="0"/>
      <w:divBdr>
        <w:top w:val="none" w:sz="0" w:space="0" w:color="auto"/>
        <w:left w:val="none" w:sz="0" w:space="0" w:color="auto"/>
        <w:bottom w:val="none" w:sz="0" w:space="0" w:color="auto"/>
        <w:right w:val="none" w:sz="0" w:space="0" w:color="auto"/>
      </w:divBdr>
    </w:div>
    <w:div w:id="1566532026">
      <w:bodyDiv w:val="1"/>
      <w:marLeft w:val="0"/>
      <w:marRight w:val="0"/>
      <w:marTop w:val="0"/>
      <w:marBottom w:val="0"/>
      <w:divBdr>
        <w:top w:val="none" w:sz="0" w:space="0" w:color="auto"/>
        <w:left w:val="none" w:sz="0" w:space="0" w:color="auto"/>
        <w:bottom w:val="none" w:sz="0" w:space="0" w:color="auto"/>
        <w:right w:val="none" w:sz="0" w:space="0" w:color="auto"/>
      </w:divBdr>
    </w:div>
    <w:div w:id="1622958300">
      <w:bodyDiv w:val="1"/>
      <w:marLeft w:val="0"/>
      <w:marRight w:val="0"/>
      <w:marTop w:val="0"/>
      <w:marBottom w:val="0"/>
      <w:divBdr>
        <w:top w:val="none" w:sz="0" w:space="0" w:color="auto"/>
        <w:left w:val="none" w:sz="0" w:space="0" w:color="auto"/>
        <w:bottom w:val="none" w:sz="0" w:space="0" w:color="auto"/>
        <w:right w:val="none" w:sz="0" w:space="0" w:color="auto"/>
      </w:divBdr>
    </w:div>
    <w:div w:id="1672024826">
      <w:bodyDiv w:val="1"/>
      <w:marLeft w:val="0"/>
      <w:marRight w:val="0"/>
      <w:marTop w:val="0"/>
      <w:marBottom w:val="0"/>
      <w:divBdr>
        <w:top w:val="none" w:sz="0" w:space="0" w:color="auto"/>
        <w:left w:val="none" w:sz="0" w:space="0" w:color="auto"/>
        <w:bottom w:val="none" w:sz="0" w:space="0" w:color="auto"/>
        <w:right w:val="none" w:sz="0" w:space="0" w:color="auto"/>
      </w:divBdr>
    </w:div>
    <w:div w:id="1702970456">
      <w:bodyDiv w:val="1"/>
      <w:marLeft w:val="0"/>
      <w:marRight w:val="0"/>
      <w:marTop w:val="0"/>
      <w:marBottom w:val="0"/>
      <w:divBdr>
        <w:top w:val="none" w:sz="0" w:space="0" w:color="auto"/>
        <w:left w:val="none" w:sz="0" w:space="0" w:color="auto"/>
        <w:bottom w:val="none" w:sz="0" w:space="0" w:color="auto"/>
        <w:right w:val="none" w:sz="0" w:space="0" w:color="auto"/>
      </w:divBdr>
    </w:div>
    <w:div w:id="1708483266">
      <w:bodyDiv w:val="1"/>
      <w:marLeft w:val="0"/>
      <w:marRight w:val="0"/>
      <w:marTop w:val="0"/>
      <w:marBottom w:val="0"/>
      <w:divBdr>
        <w:top w:val="none" w:sz="0" w:space="0" w:color="auto"/>
        <w:left w:val="none" w:sz="0" w:space="0" w:color="auto"/>
        <w:bottom w:val="none" w:sz="0" w:space="0" w:color="auto"/>
        <w:right w:val="none" w:sz="0" w:space="0" w:color="auto"/>
      </w:divBdr>
    </w:div>
    <w:div w:id="1736850484">
      <w:bodyDiv w:val="1"/>
      <w:marLeft w:val="0"/>
      <w:marRight w:val="0"/>
      <w:marTop w:val="0"/>
      <w:marBottom w:val="0"/>
      <w:divBdr>
        <w:top w:val="none" w:sz="0" w:space="0" w:color="auto"/>
        <w:left w:val="none" w:sz="0" w:space="0" w:color="auto"/>
        <w:bottom w:val="none" w:sz="0" w:space="0" w:color="auto"/>
        <w:right w:val="none" w:sz="0" w:space="0" w:color="auto"/>
      </w:divBdr>
    </w:div>
    <w:div w:id="1763842256">
      <w:bodyDiv w:val="1"/>
      <w:marLeft w:val="0"/>
      <w:marRight w:val="0"/>
      <w:marTop w:val="0"/>
      <w:marBottom w:val="0"/>
      <w:divBdr>
        <w:top w:val="none" w:sz="0" w:space="0" w:color="auto"/>
        <w:left w:val="none" w:sz="0" w:space="0" w:color="auto"/>
        <w:bottom w:val="none" w:sz="0" w:space="0" w:color="auto"/>
        <w:right w:val="none" w:sz="0" w:space="0" w:color="auto"/>
      </w:divBdr>
    </w:div>
    <w:div w:id="1870332828">
      <w:bodyDiv w:val="1"/>
      <w:marLeft w:val="0"/>
      <w:marRight w:val="0"/>
      <w:marTop w:val="0"/>
      <w:marBottom w:val="0"/>
      <w:divBdr>
        <w:top w:val="none" w:sz="0" w:space="0" w:color="auto"/>
        <w:left w:val="none" w:sz="0" w:space="0" w:color="auto"/>
        <w:bottom w:val="none" w:sz="0" w:space="0" w:color="auto"/>
        <w:right w:val="none" w:sz="0" w:space="0" w:color="auto"/>
      </w:divBdr>
    </w:div>
    <w:div w:id="1883864249">
      <w:bodyDiv w:val="1"/>
      <w:marLeft w:val="0"/>
      <w:marRight w:val="0"/>
      <w:marTop w:val="0"/>
      <w:marBottom w:val="0"/>
      <w:divBdr>
        <w:top w:val="none" w:sz="0" w:space="0" w:color="auto"/>
        <w:left w:val="none" w:sz="0" w:space="0" w:color="auto"/>
        <w:bottom w:val="none" w:sz="0" w:space="0" w:color="auto"/>
        <w:right w:val="none" w:sz="0" w:space="0" w:color="auto"/>
      </w:divBdr>
    </w:div>
    <w:div w:id="1918127710">
      <w:bodyDiv w:val="1"/>
      <w:marLeft w:val="0"/>
      <w:marRight w:val="0"/>
      <w:marTop w:val="0"/>
      <w:marBottom w:val="0"/>
      <w:divBdr>
        <w:top w:val="none" w:sz="0" w:space="0" w:color="auto"/>
        <w:left w:val="none" w:sz="0" w:space="0" w:color="auto"/>
        <w:bottom w:val="none" w:sz="0" w:space="0" w:color="auto"/>
        <w:right w:val="none" w:sz="0" w:space="0" w:color="auto"/>
      </w:divBdr>
    </w:div>
    <w:div w:id="1926840132">
      <w:bodyDiv w:val="1"/>
      <w:marLeft w:val="0"/>
      <w:marRight w:val="0"/>
      <w:marTop w:val="0"/>
      <w:marBottom w:val="0"/>
      <w:divBdr>
        <w:top w:val="none" w:sz="0" w:space="0" w:color="auto"/>
        <w:left w:val="none" w:sz="0" w:space="0" w:color="auto"/>
        <w:bottom w:val="none" w:sz="0" w:space="0" w:color="auto"/>
        <w:right w:val="none" w:sz="0" w:space="0" w:color="auto"/>
      </w:divBdr>
    </w:div>
    <w:div w:id="1947351058">
      <w:bodyDiv w:val="1"/>
      <w:marLeft w:val="0"/>
      <w:marRight w:val="0"/>
      <w:marTop w:val="0"/>
      <w:marBottom w:val="0"/>
      <w:divBdr>
        <w:top w:val="none" w:sz="0" w:space="0" w:color="auto"/>
        <w:left w:val="none" w:sz="0" w:space="0" w:color="auto"/>
        <w:bottom w:val="none" w:sz="0" w:space="0" w:color="auto"/>
        <w:right w:val="none" w:sz="0" w:space="0" w:color="auto"/>
      </w:divBdr>
    </w:div>
    <w:div w:id="2067679154">
      <w:bodyDiv w:val="1"/>
      <w:marLeft w:val="0"/>
      <w:marRight w:val="0"/>
      <w:marTop w:val="0"/>
      <w:marBottom w:val="0"/>
      <w:divBdr>
        <w:top w:val="none" w:sz="0" w:space="0" w:color="auto"/>
        <w:left w:val="none" w:sz="0" w:space="0" w:color="auto"/>
        <w:bottom w:val="none" w:sz="0" w:space="0" w:color="auto"/>
        <w:right w:val="none" w:sz="0" w:space="0" w:color="auto"/>
      </w:divBdr>
    </w:div>
    <w:div w:id="213833065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51.xml" Id="rId117" /><Relationship Type="http://schemas.openxmlformats.org/officeDocument/2006/relationships/hyperlink" Target="https://gadnr.org/" TargetMode="External" Id="rId21" /><Relationship Type="http://schemas.openxmlformats.org/officeDocument/2006/relationships/header" Target="header16.xml" Id="rId42" /><Relationship Type="http://schemas.openxmlformats.org/officeDocument/2006/relationships/footer" Target="footer24.xml" Id="rId63" /><Relationship Type="http://schemas.openxmlformats.org/officeDocument/2006/relationships/header" Target="header35.xml" Id="rId84" /><Relationship Type="http://schemas.openxmlformats.org/officeDocument/2006/relationships/footer" Target="footer61.xml" Id="rId138" /><Relationship Type="http://schemas.openxmlformats.org/officeDocument/2006/relationships/footer" Target="footer46.xml" Id="rId107" /><Relationship Type="http://schemas.openxmlformats.org/officeDocument/2006/relationships/footer" Target="footer1.xml" Id="rId11" /><Relationship Type="http://schemas.openxmlformats.org/officeDocument/2006/relationships/header" Target="header11.xml" Id="rId32" /><Relationship Type="http://schemas.openxmlformats.org/officeDocument/2006/relationships/footer" Target="footer13.xml" Id="rId37" /><Relationship Type="http://schemas.openxmlformats.org/officeDocument/2006/relationships/footer" Target="footer21.xml" Id="rId53" /><Relationship Type="http://schemas.openxmlformats.org/officeDocument/2006/relationships/image" Target="media/image3.emf" Id="rId58" /><Relationship Type="http://schemas.openxmlformats.org/officeDocument/2006/relationships/footer" Target="footer29.xml" Id="rId74" /><Relationship Type="http://schemas.openxmlformats.org/officeDocument/2006/relationships/header" Target="header33.xml" Id="rId79" /><Relationship Type="http://schemas.openxmlformats.org/officeDocument/2006/relationships/header" Target="header44.xml" Id="rId102" /><Relationship Type="http://schemas.openxmlformats.org/officeDocument/2006/relationships/footer" Target="footer54.xml" Id="rId123" /><Relationship Type="http://schemas.openxmlformats.org/officeDocument/2006/relationships/header" Target="header57.xml" Id="rId128" /><Relationship Type="http://schemas.openxmlformats.org/officeDocument/2006/relationships/settings" Target="settings.xml" Id="rId5" /><Relationship Type="http://schemas.openxmlformats.org/officeDocument/2006/relationships/header" Target="header38.xml" Id="rId90" /><Relationship Type="http://schemas.openxmlformats.org/officeDocument/2006/relationships/footer" Target="footer40.xml" Id="rId95" /><Relationship Type="http://schemas.openxmlformats.org/officeDocument/2006/relationships/header" Target="header6.xml" Id="rId22" /><Relationship Type="http://schemas.openxmlformats.org/officeDocument/2006/relationships/header" Target="header9.xml" Id="rId27" /><Relationship Type="http://schemas.openxmlformats.org/officeDocument/2006/relationships/footer" Target="footer16.xml" Id="rId43" /><Relationship Type="http://schemas.openxmlformats.org/officeDocument/2006/relationships/header" Target="header19.xml" Id="rId48" /><Relationship Type="http://schemas.openxmlformats.org/officeDocument/2006/relationships/header" Target="header25.xml" Id="rId64" /><Relationship Type="http://schemas.openxmlformats.org/officeDocument/2006/relationships/footer" Target="footer27.xml" Id="rId69" /><Relationship Type="http://schemas.openxmlformats.org/officeDocument/2006/relationships/footer" Target="footer49.xml" Id="rId113" /><Relationship Type="http://schemas.openxmlformats.org/officeDocument/2006/relationships/header" Target="header52.xml" Id="rId118" /><Relationship Type="http://schemas.openxmlformats.org/officeDocument/2006/relationships/header" Target="header60.xml" Id="rId134" /><Relationship Type="http://schemas.openxmlformats.org/officeDocument/2006/relationships/header" Target="header62.xml" Id="rId139" /><Relationship Type="http://schemas.openxmlformats.org/officeDocument/2006/relationships/footer" Target="footer32.xml" Id="rId80" /><Relationship Type="http://schemas.openxmlformats.org/officeDocument/2006/relationships/header" Target="header36.xml" Id="rId85" /><Relationship Type="http://schemas.openxmlformats.org/officeDocument/2006/relationships/footer" Target="footer2.xml" Id="rId12" /><Relationship Type="http://schemas.openxmlformats.org/officeDocument/2006/relationships/header" Target="header5.xml" Id="rId17" /><Relationship Type="http://schemas.openxmlformats.org/officeDocument/2006/relationships/header" Target="header12.xml" Id="rId33" /><Relationship Type="http://schemas.openxmlformats.org/officeDocument/2006/relationships/header" Target="header14.xml" Id="rId38" /><Relationship Type="http://schemas.openxmlformats.org/officeDocument/2006/relationships/image" Target="media/image4.emf" Id="rId59" /><Relationship Type="http://schemas.openxmlformats.org/officeDocument/2006/relationships/header" Target="header45.xml" Id="rId103" /><Relationship Type="http://schemas.openxmlformats.org/officeDocument/2006/relationships/header" Target="header47.xml" Id="rId108" /><Relationship Type="http://schemas.openxmlformats.org/officeDocument/2006/relationships/header" Target="header55.xml" Id="rId124" /><Relationship Type="http://schemas.openxmlformats.org/officeDocument/2006/relationships/footer" Target="footer56.xml" Id="rId129" /><Relationship Type="http://schemas.openxmlformats.org/officeDocument/2006/relationships/header" Target="header22.xml" Id="rId54" /><Relationship Type="http://schemas.openxmlformats.org/officeDocument/2006/relationships/header" Target="header28.xml" Id="rId70" /><Relationship Type="http://schemas.openxmlformats.org/officeDocument/2006/relationships/footer" Target="footer30.xml" Id="rId75" /><Relationship Type="http://schemas.openxmlformats.org/officeDocument/2006/relationships/header" Target="header39.xml" Id="rId91" /><Relationship Type="http://schemas.openxmlformats.org/officeDocument/2006/relationships/header" Target="header41.xml" Id="rId96" /><Relationship Type="http://schemas.openxmlformats.org/officeDocument/2006/relationships/fontTable" Target="fontTable.xml" Id="rId14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6.xml" Id="rId23" /><Relationship Type="http://schemas.openxmlformats.org/officeDocument/2006/relationships/footer" Target="footer8.xml" Id="rId28" /><Relationship Type="http://schemas.openxmlformats.org/officeDocument/2006/relationships/footer" Target="footer19.xml" Id="rId49" /><Relationship Type="http://schemas.openxmlformats.org/officeDocument/2006/relationships/header" Target="header50.xml" Id="rId114" /><Relationship Type="http://schemas.openxmlformats.org/officeDocument/2006/relationships/footer" Target="footer52.xml" Id="rId119" /><Relationship Type="http://schemas.openxmlformats.org/officeDocument/2006/relationships/header" Target="header17.xml" Id="rId44" /><Relationship Type="http://schemas.openxmlformats.org/officeDocument/2006/relationships/header" Target="header23.xml" Id="rId60" /><Relationship Type="http://schemas.openxmlformats.org/officeDocument/2006/relationships/footer" Target="footer25.xml" Id="rId65" /><Relationship Type="http://schemas.openxmlformats.org/officeDocument/2006/relationships/footer" Target="footer33.xml" Id="rId81" /><Relationship Type="http://schemas.openxmlformats.org/officeDocument/2006/relationships/footer" Target="footer35.xml" Id="rId86" /><Relationship Type="http://schemas.openxmlformats.org/officeDocument/2006/relationships/footer" Target="footer57.xml" Id="rId130" /><Relationship Type="http://schemas.openxmlformats.org/officeDocument/2006/relationships/footer" Target="footer59.xml" Id="rId135" /><Relationship Type="http://schemas.openxmlformats.org/officeDocument/2006/relationships/header" Target="header3.xml" Id="rId13" /><Relationship Type="http://schemas.openxmlformats.org/officeDocument/2006/relationships/footer" Target="footer5.xml" Id="rId18" /><Relationship Type="http://schemas.openxmlformats.org/officeDocument/2006/relationships/header" Target="header15.xml" Id="rId39" /><Relationship Type="http://schemas.openxmlformats.org/officeDocument/2006/relationships/header" Target="header48.xml" Id="rId109" /><Relationship Type="http://schemas.openxmlformats.org/officeDocument/2006/relationships/footer" Target="footer11.xml" Id="rId34" /><Relationship Type="http://schemas.openxmlformats.org/officeDocument/2006/relationships/header" Target="header20.xml" Id="rId50" /><Relationship Type="http://schemas.openxmlformats.org/officeDocument/2006/relationships/footer" Target="footer22.xml" Id="rId55" /><Relationship Type="http://schemas.openxmlformats.org/officeDocument/2006/relationships/header" Target="header31.xml" Id="rId76" /><Relationship Type="http://schemas.openxmlformats.org/officeDocument/2006/relationships/header" Target="header42.xml" Id="rId97" /><Relationship Type="http://schemas.openxmlformats.org/officeDocument/2006/relationships/footer" Target="footer44.xml" Id="rId104" /><Relationship Type="http://schemas.openxmlformats.org/officeDocument/2006/relationships/header" Target="header53.xml" Id="rId120" /><Relationship Type="http://schemas.openxmlformats.org/officeDocument/2006/relationships/footer" Target="footer55.xml" Id="rId125" /><Relationship Type="http://schemas.openxmlformats.org/officeDocument/2006/relationships/theme" Target="theme/theme1.xml" Id="rId141" /><Relationship Type="http://schemas.openxmlformats.org/officeDocument/2006/relationships/footnotes" Target="footnotes.xml" Id="rId7" /><Relationship Type="http://schemas.openxmlformats.org/officeDocument/2006/relationships/footer" Target="footer28.xml" Id="rId71" /><Relationship Type="http://schemas.openxmlformats.org/officeDocument/2006/relationships/footer" Target="footer38.xml" Id="rId92" /><Relationship Type="http://schemas.openxmlformats.org/officeDocument/2006/relationships/footer" Target="footer9.xml" Id="rId29" /><Relationship Type="http://schemas.openxmlformats.org/officeDocument/2006/relationships/header" Target="header7.xml" Id="rId24" /><Relationship Type="http://schemas.openxmlformats.org/officeDocument/2006/relationships/footer" Target="footer14.xml" Id="rId40" /><Relationship Type="http://schemas.openxmlformats.org/officeDocument/2006/relationships/header" Target="header18.xml" Id="rId45" /><Relationship Type="http://schemas.openxmlformats.org/officeDocument/2006/relationships/header" Target="header26.xml" Id="rId66" /><Relationship Type="http://schemas.openxmlformats.org/officeDocument/2006/relationships/footer" Target="footer36.xml" Id="rId87" /><Relationship Type="http://schemas.openxmlformats.org/officeDocument/2006/relationships/footer" Target="footer47.xml" Id="rId110" /><Relationship Type="http://schemas.openxmlformats.org/officeDocument/2006/relationships/header" Target="header51.xml" Id="rId115" /><Relationship Type="http://schemas.openxmlformats.org/officeDocument/2006/relationships/header" Target="header58.xml" Id="rId131" /><Relationship Type="http://schemas.openxmlformats.org/officeDocument/2006/relationships/footer" Target="footer60.xml" Id="rId136" /><Relationship Type="http://schemas.openxmlformats.org/officeDocument/2006/relationships/header" Target="header24.xml" Id="rId61" /><Relationship Type="http://schemas.openxmlformats.org/officeDocument/2006/relationships/header" Target="header34.xml" Id="rId82" /><Relationship Type="http://schemas.openxmlformats.org/officeDocument/2006/relationships/hyperlink" Target="https://www.nerc.com/pa/Stand/Reliability%20Standards/EOP-012-1.pdf" TargetMode="External" Id="rId19" /><Relationship Type="http://schemas.openxmlformats.org/officeDocument/2006/relationships/footer" Target="footer3.xml" Id="rId14" /><Relationship Type="http://schemas.openxmlformats.org/officeDocument/2006/relationships/header" Target="header10.xml" Id="rId30" /><Relationship Type="http://schemas.openxmlformats.org/officeDocument/2006/relationships/footer" Target="footer12.xml" Id="rId35" /><Relationship Type="http://schemas.openxmlformats.org/officeDocument/2006/relationships/image" Target="media/image1.emf" Id="rId56" /><Relationship Type="http://schemas.openxmlformats.org/officeDocument/2006/relationships/footer" Target="footer31.xml" Id="rId77" /><Relationship Type="http://schemas.openxmlformats.org/officeDocument/2006/relationships/header" Target="header43.xml" Id="rId100" /><Relationship Type="http://schemas.openxmlformats.org/officeDocument/2006/relationships/footer" Target="footer45.xml" Id="rId105" /><Relationship Type="http://schemas.openxmlformats.org/officeDocument/2006/relationships/hyperlink" Target="mailto:G2GPCERG@southernco.com" TargetMode="External" Id="rId126" /><Relationship Type="http://schemas.openxmlformats.org/officeDocument/2006/relationships/endnotes" Target="endnotes.xml" Id="rId8" /><Relationship Type="http://schemas.openxmlformats.org/officeDocument/2006/relationships/header" Target="header21.xml" Id="rId51" /><Relationship Type="http://schemas.openxmlformats.org/officeDocument/2006/relationships/header" Target="header29.xml" Id="rId72" /><Relationship Type="http://schemas.openxmlformats.org/officeDocument/2006/relationships/footer" Target="footer39.xml" Id="rId93" /><Relationship Type="http://schemas.openxmlformats.org/officeDocument/2006/relationships/footer" Target="footer41.xml" Id="rId98" /><Relationship Type="http://schemas.openxmlformats.org/officeDocument/2006/relationships/header" Target="header54.xml" Id="rId121" /><Relationship Type="http://schemas.openxmlformats.org/officeDocument/2006/relationships/numbering" Target="numbering.xml" Id="rId3" /><Relationship Type="http://schemas.openxmlformats.org/officeDocument/2006/relationships/footer" Target="footer7.xml" Id="rId25" /><Relationship Type="http://schemas.openxmlformats.org/officeDocument/2006/relationships/footer" Target="footer17.xml" Id="rId46" /><Relationship Type="http://schemas.openxmlformats.org/officeDocument/2006/relationships/header" Target="header27.xml" Id="rId67" /><Relationship Type="http://schemas.openxmlformats.org/officeDocument/2006/relationships/footer" Target="footer50.xml" Id="rId116" /><Relationship Type="http://schemas.openxmlformats.org/officeDocument/2006/relationships/header" Target="header61.xml" Id="rId137" /><Relationship Type="http://schemas.openxmlformats.org/officeDocument/2006/relationships/hyperlink" Target="https://soco365.sharepoint.com/sites/AllSourceRFP/Shared%20Documents/General/RFP%20Working%20Documents/PPAs/at%20https:/g" TargetMode="External" Id="rId20" /><Relationship Type="http://schemas.openxmlformats.org/officeDocument/2006/relationships/footer" Target="footer15.xml" Id="rId41" /><Relationship Type="http://schemas.openxmlformats.org/officeDocument/2006/relationships/footer" Target="footer23.xml" Id="rId62" /><Relationship Type="http://schemas.openxmlformats.org/officeDocument/2006/relationships/footer" Target="footer34.xml" Id="rId83" /><Relationship Type="http://schemas.openxmlformats.org/officeDocument/2006/relationships/header" Target="header37.xml" Id="rId88" /><Relationship Type="http://schemas.openxmlformats.org/officeDocument/2006/relationships/footer" Target="footer48.xml" Id="rId111" /><Relationship Type="http://schemas.openxmlformats.org/officeDocument/2006/relationships/footer" Target="footer58.xml" Id="rId132" /><Relationship Type="http://schemas.openxmlformats.org/officeDocument/2006/relationships/header" Target="header4.xml" Id="rId15" /><Relationship Type="http://schemas.openxmlformats.org/officeDocument/2006/relationships/header" Target="header13.xml" Id="rId36" /><Relationship Type="http://schemas.openxmlformats.org/officeDocument/2006/relationships/image" Target="media/image2.emf" Id="rId57" /><Relationship Type="http://schemas.openxmlformats.org/officeDocument/2006/relationships/header" Target="header46.xml" Id="rId106" /><Relationship Type="http://schemas.openxmlformats.org/officeDocument/2006/relationships/header" Target="header56.xml" Id="rId127" /><Relationship Type="http://schemas.openxmlformats.org/officeDocument/2006/relationships/header" Target="header2.xml" Id="rId10" /><Relationship Type="http://schemas.openxmlformats.org/officeDocument/2006/relationships/footer" Target="footer10.xml" Id="rId31" /><Relationship Type="http://schemas.openxmlformats.org/officeDocument/2006/relationships/footer" Target="footer20.xml" Id="rId52" /><Relationship Type="http://schemas.openxmlformats.org/officeDocument/2006/relationships/header" Target="header30.xml" Id="rId73" /><Relationship Type="http://schemas.openxmlformats.org/officeDocument/2006/relationships/header" Target="header32.xml" Id="rId78" /><Relationship Type="http://schemas.openxmlformats.org/officeDocument/2006/relationships/header" Target="header40.xml" Id="rId94" /><Relationship Type="http://schemas.openxmlformats.org/officeDocument/2006/relationships/footer" Target="footer42.xml" Id="rId99" /><Relationship Type="http://schemas.openxmlformats.org/officeDocument/2006/relationships/footer" Target="footer43.xml" Id="rId101" /><Relationship Type="http://schemas.openxmlformats.org/officeDocument/2006/relationships/footer" Target="footer53.xml" Id="rId122"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header" Target="header8.xml" Id="rId26" /><Relationship Type="http://schemas.openxmlformats.org/officeDocument/2006/relationships/footer" Target="footer18.xml" Id="rId47" /><Relationship Type="http://schemas.openxmlformats.org/officeDocument/2006/relationships/footer" Target="footer26.xml" Id="rId68" /><Relationship Type="http://schemas.openxmlformats.org/officeDocument/2006/relationships/footer" Target="footer37.xml" Id="rId89" /><Relationship Type="http://schemas.openxmlformats.org/officeDocument/2006/relationships/header" Target="header49.xml" Id="rId112" /><Relationship Type="http://schemas.openxmlformats.org/officeDocument/2006/relationships/header" Target="header59.xml" Id="rId133" /><Relationship Type="http://schemas.openxmlformats.org/officeDocument/2006/relationships/footer" Target="footer4.xml" Id="rId1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1002">
      <vt:variant>
        <vt:i4>4325428</vt:i4>
      </vt:variant>
      <vt:variant>
        <vt:i4>933</vt:i4>
      </vt:variant>
      <vt:variant>
        <vt:i4>0</vt:i4>
      </vt:variant>
      <vt:variant>
        <vt:i4>5</vt:i4>
      </vt:variant>
      <vt:variant>
        <vt:lpwstr>mailto:G2GPCERG@southernco.com</vt:lpwstr>
      </vt:variant>
      <vt:variant>
        <vt:lpwstr/>
      </vt:variant>
      <vt:variant>
        <vt:i4>7143481</vt:i4>
      </vt:variant>
      <vt:variant>
        <vt:i4>926</vt:i4>
      </vt:variant>
      <vt:variant>
        <vt:i4>0</vt:i4>
      </vt:variant>
      <vt:variant>
        <vt:i4>5</vt:i4>
      </vt:variant>
      <vt:variant>
        <vt:lpwstr>https://gadnr.org/</vt:lpwstr>
      </vt:variant>
      <vt:variant>
        <vt:lpwstr/>
      </vt:variant>
      <vt:variant>
        <vt:i4>5373967</vt:i4>
      </vt:variant>
      <vt:variant>
        <vt:i4>924</vt:i4>
      </vt:variant>
      <vt:variant>
        <vt:i4>0</vt:i4>
      </vt:variant>
      <vt:variant>
        <vt:i4>5</vt:i4>
      </vt:variant>
      <vt:variant>
        <vt:lpwstr>https://soco365.sharepoint.com/sites/AllSourceRFP/Shared Documents/General/RFP Working Documents/PPAs/at https:/g</vt:lpwstr>
      </vt:variant>
      <vt:variant>
        <vt:lpwstr/>
      </vt:variant>
      <vt:variant>
        <vt:i4>5767170</vt:i4>
      </vt:variant>
      <vt:variant>
        <vt:i4>921</vt:i4>
      </vt:variant>
      <vt:variant>
        <vt:i4>0</vt:i4>
      </vt:variant>
      <vt:variant>
        <vt:i4>5</vt:i4>
      </vt:variant>
      <vt:variant>
        <vt:lpwstr>https://www.nerc.com/pa/Stand/Reliability Standards/EOP-012-1.pdf</vt:lpwstr>
      </vt:variant>
      <vt:variant>
        <vt:lpwstr/>
      </vt:variant>
      <vt:variant>
        <vt:i4>1048631</vt:i4>
      </vt:variant>
      <vt:variant>
        <vt:i4>914</vt:i4>
      </vt:variant>
      <vt:variant>
        <vt:i4>0</vt:i4>
      </vt:variant>
      <vt:variant>
        <vt:i4>5</vt:i4>
      </vt:variant>
      <vt:variant>
        <vt:lpwstr/>
      </vt:variant>
      <vt:variant>
        <vt:lpwstr>_Toc227451709</vt:lpwstr>
      </vt:variant>
      <vt:variant>
        <vt:i4>1048631</vt:i4>
      </vt:variant>
      <vt:variant>
        <vt:i4>908</vt:i4>
      </vt:variant>
      <vt:variant>
        <vt:i4>0</vt:i4>
      </vt:variant>
      <vt:variant>
        <vt:i4>5</vt:i4>
      </vt:variant>
      <vt:variant>
        <vt:lpwstr/>
      </vt:variant>
      <vt:variant>
        <vt:lpwstr>_Toc227451708</vt:lpwstr>
      </vt:variant>
      <vt:variant>
        <vt:i4>1048631</vt:i4>
      </vt:variant>
      <vt:variant>
        <vt:i4>902</vt:i4>
      </vt:variant>
      <vt:variant>
        <vt:i4>0</vt:i4>
      </vt:variant>
      <vt:variant>
        <vt:i4>5</vt:i4>
      </vt:variant>
      <vt:variant>
        <vt:lpwstr/>
      </vt:variant>
      <vt:variant>
        <vt:lpwstr>_Toc227451707</vt:lpwstr>
      </vt:variant>
      <vt:variant>
        <vt:i4>1048631</vt:i4>
      </vt:variant>
      <vt:variant>
        <vt:i4>896</vt:i4>
      </vt:variant>
      <vt:variant>
        <vt:i4>0</vt:i4>
      </vt:variant>
      <vt:variant>
        <vt:i4>5</vt:i4>
      </vt:variant>
      <vt:variant>
        <vt:lpwstr/>
      </vt:variant>
      <vt:variant>
        <vt:lpwstr>_Toc227451706</vt:lpwstr>
      </vt:variant>
      <vt:variant>
        <vt:i4>1048631</vt:i4>
      </vt:variant>
      <vt:variant>
        <vt:i4>890</vt:i4>
      </vt:variant>
      <vt:variant>
        <vt:i4>0</vt:i4>
      </vt:variant>
      <vt:variant>
        <vt:i4>5</vt:i4>
      </vt:variant>
      <vt:variant>
        <vt:lpwstr/>
      </vt:variant>
      <vt:variant>
        <vt:lpwstr>_Toc227451705</vt:lpwstr>
      </vt:variant>
      <vt:variant>
        <vt:i4>1048631</vt:i4>
      </vt:variant>
      <vt:variant>
        <vt:i4>884</vt:i4>
      </vt:variant>
      <vt:variant>
        <vt:i4>0</vt:i4>
      </vt:variant>
      <vt:variant>
        <vt:i4>5</vt:i4>
      </vt:variant>
      <vt:variant>
        <vt:lpwstr/>
      </vt:variant>
      <vt:variant>
        <vt:lpwstr>_Toc227451704</vt:lpwstr>
      </vt:variant>
      <vt:variant>
        <vt:i4>1048631</vt:i4>
      </vt:variant>
      <vt:variant>
        <vt:i4>878</vt:i4>
      </vt:variant>
      <vt:variant>
        <vt:i4>0</vt:i4>
      </vt:variant>
      <vt:variant>
        <vt:i4>5</vt:i4>
      </vt:variant>
      <vt:variant>
        <vt:lpwstr/>
      </vt:variant>
      <vt:variant>
        <vt:lpwstr>_Toc227451703</vt:lpwstr>
      </vt:variant>
      <vt:variant>
        <vt:i4>1048631</vt:i4>
      </vt:variant>
      <vt:variant>
        <vt:i4>872</vt:i4>
      </vt:variant>
      <vt:variant>
        <vt:i4>0</vt:i4>
      </vt:variant>
      <vt:variant>
        <vt:i4>5</vt:i4>
      </vt:variant>
      <vt:variant>
        <vt:lpwstr/>
      </vt:variant>
      <vt:variant>
        <vt:lpwstr>_Toc227451702</vt:lpwstr>
      </vt:variant>
      <vt:variant>
        <vt:i4>1638454</vt:i4>
      </vt:variant>
      <vt:variant>
        <vt:i4>866</vt:i4>
      </vt:variant>
      <vt:variant>
        <vt:i4>0</vt:i4>
      </vt:variant>
      <vt:variant>
        <vt:i4>5</vt:i4>
      </vt:variant>
      <vt:variant>
        <vt:lpwstr/>
      </vt:variant>
      <vt:variant>
        <vt:lpwstr>_Toc227451693</vt:lpwstr>
      </vt:variant>
      <vt:variant>
        <vt:i4>1638454</vt:i4>
      </vt:variant>
      <vt:variant>
        <vt:i4>860</vt:i4>
      </vt:variant>
      <vt:variant>
        <vt:i4>0</vt:i4>
      </vt:variant>
      <vt:variant>
        <vt:i4>5</vt:i4>
      </vt:variant>
      <vt:variant>
        <vt:lpwstr/>
      </vt:variant>
      <vt:variant>
        <vt:lpwstr>_Toc227451692</vt:lpwstr>
      </vt:variant>
      <vt:variant>
        <vt:i4>1638454</vt:i4>
      </vt:variant>
      <vt:variant>
        <vt:i4>854</vt:i4>
      </vt:variant>
      <vt:variant>
        <vt:i4>0</vt:i4>
      </vt:variant>
      <vt:variant>
        <vt:i4>5</vt:i4>
      </vt:variant>
      <vt:variant>
        <vt:lpwstr/>
      </vt:variant>
      <vt:variant>
        <vt:lpwstr>_Toc227451690</vt:lpwstr>
      </vt:variant>
      <vt:variant>
        <vt:i4>1507382</vt:i4>
      </vt:variant>
      <vt:variant>
        <vt:i4>848</vt:i4>
      </vt:variant>
      <vt:variant>
        <vt:i4>0</vt:i4>
      </vt:variant>
      <vt:variant>
        <vt:i4>5</vt:i4>
      </vt:variant>
      <vt:variant>
        <vt:lpwstr/>
      </vt:variant>
      <vt:variant>
        <vt:lpwstr>_Toc227451676</vt:lpwstr>
      </vt:variant>
      <vt:variant>
        <vt:i4>1507382</vt:i4>
      </vt:variant>
      <vt:variant>
        <vt:i4>842</vt:i4>
      </vt:variant>
      <vt:variant>
        <vt:i4>0</vt:i4>
      </vt:variant>
      <vt:variant>
        <vt:i4>5</vt:i4>
      </vt:variant>
      <vt:variant>
        <vt:lpwstr/>
      </vt:variant>
      <vt:variant>
        <vt:lpwstr>_Toc227451675</vt:lpwstr>
      </vt:variant>
      <vt:variant>
        <vt:i4>1376310</vt:i4>
      </vt:variant>
      <vt:variant>
        <vt:i4>836</vt:i4>
      </vt:variant>
      <vt:variant>
        <vt:i4>0</vt:i4>
      </vt:variant>
      <vt:variant>
        <vt:i4>5</vt:i4>
      </vt:variant>
      <vt:variant>
        <vt:lpwstr/>
      </vt:variant>
      <vt:variant>
        <vt:lpwstr>_Toc227451656</vt:lpwstr>
      </vt:variant>
      <vt:variant>
        <vt:i4>1310774</vt:i4>
      </vt:variant>
      <vt:variant>
        <vt:i4>830</vt:i4>
      </vt:variant>
      <vt:variant>
        <vt:i4>0</vt:i4>
      </vt:variant>
      <vt:variant>
        <vt:i4>5</vt:i4>
      </vt:variant>
      <vt:variant>
        <vt:lpwstr/>
      </vt:variant>
      <vt:variant>
        <vt:lpwstr>_Toc227451643</vt:lpwstr>
      </vt:variant>
      <vt:variant>
        <vt:i4>1310774</vt:i4>
      </vt:variant>
      <vt:variant>
        <vt:i4>824</vt:i4>
      </vt:variant>
      <vt:variant>
        <vt:i4>0</vt:i4>
      </vt:variant>
      <vt:variant>
        <vt:i4>5</vt:i4>
      </vt:variant>
      <vt:variant>
        <vt:lpwstr/>
      </vt:variant>
      <vt:variant>
        <vt:lpwstr>_Toc227451642</vt:lpwstr>
      </vt:variant>
      <vt:variant>
        <vt:i4>1310774</vt:i4>
      </vt:variant>
      <vt:variant>
        <vt:i4>818</vt:i4>
      </vt:variant>
      <vt:variant>
        <vt:i4>0</vt:i4>
      </vt:variant>
      <vt:variant>
        <vt:i4>5</vt:i4>
      </vt:variant>
      <vt:variant>
        <vt:lpwstr/>
      </vt:variant>
      <vt:variant>
        <vt:lpwstr>_Toc227451641</vt:lpwstr>
      </vt:variant>
      <vt:variant>
        <vt:i4>1310774</vt:i4>
      </vt:variant>
      <vt:variant>
        <vt:i4>812</vt:i4>
      </vt:variant>
      <vt:variant>
        <vt:i4>0</vt:i4>
      </vt:variant>
      <vt:variant>
        <vt:i4>5</vt:i4>
      </vt:variant>
      <vt:variant>
        <vt:lpwstr/>
      </vt:variant>
      <vt:variant>
        <vt:lpwstr>_Toc227451640</vt:lpwstr>
      </vt:variant>
      <vt:variant>
        <vt:i4>1245238</vt:i4>
      </vt:variant>
      <vt:variant>
        <vt:i4>806</vt:i4>
      </vt:variant>
      <vt:variant>
        <vt:i4>0</vt:i4>
      </vt:variant>
      <vt:variant>
        <vt:i4>5</vt:i4>
      </vt:variant>
      <vt:variant>
        <vt:lpwstr/>
      </vt:variant>
      <vt:variant>
        <vt:lpwstr>_Toc227451639</vt:lpwstr>
      </vt:variant>
      <vt:variant>
        <vt:i4>1245238</vt:i4>
      </vt:variant>
      <vt:variant>
        <vt:i4>800</vt:i4>
      </vt:variant>
      <vt:variant>
        <vt:i4>0</vt:i4>
      </vt:variant>
      <vt:variant>
        <vt:i4>5</vt:i4>
      </vt:variant>
      <vt:variant>
        <vt:lpwstr/>
      </vt:variant>
      <vt:variant>
        <vt:lpwstr>_Toc227451638</vt:lpwstr>
      </vt:variant>
      <vt:variant>
        <vt:i4>1245238</vt:i4>
      </vt:variant>
      <vt:variant>
        <vt:i4>794</vt:i4>
      </vt:variant>
      <vt:variant>
        <vt:i4>0</vt:i4>
      </vt:variant>
      <vt:variant>
        <vt:i4>5</vt:i4>
      </vt:variant>
      <vt:variant>
        <vt:lpwstr/>
      </vt:variant>
      <vt:variant>
        <vt:lpwstr>_Toc227451637</vt:lpwstr>
      </vt:variant>
      <vt:variant>
        <vt:i4>1245238</vt:i4>
      </vt:variant>
      <vt:variant>
        <vt:i4>788</vt:i4>
      </vt:variant>
      <vt:variant>
        <vt:i4>0</vt:i4>
      </vt:variant>
      <vt:variant>
        <vt:i4>5</vt:i4>
      </vt:variant>
      <vt:variant>
        <vt:lpwstr/>
      </vt:variant>
      <vt:variant>
        <vt:lpwstr>_Toc227451636</vt:lpwstr>
      </vt:variant>
      <vt:variant>
        <vt:i4>1245238</vt:i4>
      </vt:variant>
      <vt:variant>
        <vt:i4>782</vt:i4>
      </vt:variant>
      <vt:variant>
        <vt:i4>0</vt:i4>
      </vt:variant>
      <vt:variant>
        <vt:i4>5</vt:i4>
      </vt:variant>
      <vt:variant>
        <vt:lpwstr/>
      </vt:variant>
      <vt:variant>
        <vt:lpwstr>_Toc227451635</vt:lpwstr>
      </vt:variant>
      <vt:variant>
        <vt:i4>1245238</vt:i4>
      </vt:variant>
      <vt:variant>
        <vt:i4>776</vt:i4>
      </vt:variant>
      <vt:variant>
        <vt:i4>0</vt:i4>
      </vt:variant>
      <vt:variant>
        <vt:i4>5</vt:i4>
      </vt:variant>
      <vt:variant>
        <vt:lpwstr/>
      </vt:variant>
      <vt:variant>
        <vt:lpwstr>_Toc227451634</vt:lpwstr>
      </vt:variant>
      <vt:variant>
        <vt:i4>1245238</vt:i4>
      </vt:variant>
      <vt:variant>
        <vt:i4>770</vt:i4>
      </vt:variant>
      <vt:variant>
        <vt:i4>0</vt:i4>
      </vt:variant>
      <vt:variant>
        <vt:i4>5</vt:i4>
      </vt:variant>
      <vt:variant>
        <vt:lpwstr/>
      </vt:variant>
      <vt:variant>
        <vt:lpwstr>_Toc227451633</vt:lpwstr>
      </vt:variant>
      <vt:variant>
        <vt:i4>1245238</vt:i4>
      </vt:variant>
      <vt:variant>
        <vt:i4>764</vt:i4>
      </vt:variant>
      <vt:variant>
        <vt:i4>0</vt:i4>
      </vt:variant>
      <vt:variant>
        <vt:i4>5</vt:i4>
      </vt:variant>
      <vt:variant>
        <vt:lpwstr/>
      </vt:variant>
      <vt:variant>
        <vt:lpwstr>_Toc227451632</vt:lpwstr>
      </vt:variant>
      <vt:variant>
        <vt:i4>1245238</vt:i4>
      </vt:variant>
      <vt:variant>
        <vt:i4>758</vt:i4>
      </vt:variant>
      <vt:variant>
        <vt:i4>0</vt:i4>
      </vt:variant>
      <vt:variant>
        <vt:i4>5</vt:i4>
      </vt:variant>
      <vt:variant>
        <vt:lpwstr/>
      </vt:variant>
      <vt:variant>
        <vt:lpwstr>_Toc227451631</vt:lpwstr>
      </vt:variant>
      <vt:variant>
        <vt:i4>1245238</vt:i4>
      </vt:variant>
      <vt:variant>
        <vt:i4>752</vt:i4>
      </vt:variant>
      <vt:variant>
        <vt:i4>0</vt:i4>
      </vt:variant>
      <vt:variant>
        <vt:i4>5</vt:i4>
      </vt:variant>
      <vt:variant>
        <vt:lpwstr/>
      </vt:variant>
      <vt:variant>
        <vt:lpwstr>_Toc227451630</vt:lpwstr>
      </vt:variant>
      <vt:variant>
        <vt:i4>1179702</vt:i4>
      </vt:variant>
      <vt:variant>
        <vt:i4>746</vt:i4>
      </vt:variant>
      <vt:variant>
        <vt:i4>0</vt:i4>
      </vt:variant>
      <vt:variant>
        <vt:i4>5</vt:i4>
      </vt:variant>
      <vt:variant>
        <vt:lpwstr/>
      </vt:variant>
      <vt:variant>
        <vt:lpwstr>_Toc227451629</vt:lpwstr>
      </vt:variant>
      <vt:variant>
        <vt:i4>1179702</vt:i4>
      </vt:variant>
      <vt:variant>
        <vt:i4>740</vt:i4>
      </vt:variant>
      <vt:variant>
        <vt:i4>0</vt:i4>
      </vt:variant>
      <vt:variant>
        <vt:i4>5</vt:i4>
      </vt:variant>
      <vt:variant>
        <vt:lpwstr/>
      </vt:variant>
      <vt:variant>
        <vt:lpwstr>_Toc227451628</vt:lpwstr>
      </vt:variant>
      <vt:variant>
        <vt:i4>1179702</vt:i4>
      </vt:variant>
      <vt:variant>
        <vt:i4>734</vt:i4>
      </vt:variant>
      <vt:variant>
        <vt:i4>0</vt:i4>
      </vt:variant>
      <vt:variant>
        <vt:i4>5</vt:i4>
      </vt:variant>
      <vt:variant>
        <vt:lpwstr/>
      </vt:variant>
      <vt:variant>
        <vt:lpwstr>_Toc227451627</vt:lpwstr>
      </vt:variant>
      <vt:variant>
        <vt:i4>1179702</vt:i4>
      </vt:variant>
      <vt:variant>
        <vt:i4>728</vt:i4>
      </vt:variant>
      <vt:variant>
        <vt:i4>0</vt:i4>
      </vt:variant>
      <vt:variant>
        <vt:i4>5</vt:i4>
      </vt:variant>
      <vt:variant>
        <vt:lpwstr/>
      </vt:variant>
      <vt:variant>
        <vt:lpwstr>_Toc227451626</vt:lpwstr>
      </vt:variant>
      <vt:variant>
        <vt:i4>1179702</vt:i4>
      </vt:variant>
      <vt:variant>
        <vt:i4>722</vt:i4>
      </vt:variant>
      <vt:variant>
        <vt:i4>0</vt:i4>
      </vt:variant>
      <vt:variant>
        <vt:i4>5</vt:i4>
      </vt:variant>
      <vt:variant>
        <vt:lpwstr/>
      </vt:variant>
      <vt:variant>
        <vt:lpwstr>_Toc227451625</vt:lpwstr>
      </vt:variant>
      <vt:variant>
        <vt:i4>1179702</vt:i4>
      </vt:variant>
      <vt:variant>
        <vt:i4>716</vt:i4>
      </vt:variant>
      <vt:variant>
        <vt:i4>0</vt:i4>
      </vt:variant>
      <vt:variant>
        <vt:i4>5</vt:i4>
      </vt:variant>
      <vt:variant>
        <vt:lpwstr/>
      </vt:variant>
      <vt:variant>
        <vt:lpwstr>_Toc227451624</vt:lpwstr>
      </vt:variant>
      <vt:variant>
        <vt:i4>1179702</vt:i4>
      </vt:variant>
      <vt:variant>
        <vt:i4>710</vt:i4>
      </vt:variant>
      <vt:variant>
        <vt:i4>0</vt:i4>
      </vt:variant>
      <vt:variant>
        <vt:i4>5</vt:i4>
      </vt:variant>
      <vt:variant>
        <vt:lpwstr/>
      </vt:variant>
      <vt:variant>
        <vt:lpwstr>_Toc227451623</vt:lpwstr>
      </vt:variant>
      <vt:variant>
        <vt:i4>1179702</vt:i4>
      </vt:variant>
      <vt:variant>
        <vt:i4>704</vt:i4>
      </vt:variant>
      <vt:variant>
        <vt:i4>0</vt:i4>
      </vt:variant>
      <vt:variant>
        <vt:i4>5</vt:i4>
      </vt:variant>
      <vt:variant>
        <vt:lpwstr/>
      </vt:variant>
      <vt:variant>
        <vt:lpwstr>_Toc227451622</vt:lpwstr>
      </vt:variant>
      <vt:variant>
        <vt:i4>1179702</vt:i4>
      </vt:variant>
      <vt:variant>
        <vt:i4>698</vt:i4>
      </vt:variant>
      <vt:variant>
        <vt:i4>0</vt:i4>
      </vt:variant>
      <vt:variant>
        <vt:i4>5</vt:i4>
      </vt:variant>
      <vt:variant>
        <vt:lpwstr/>
      </vt:variant>
      <vt:variant>
        <vt:lpwstr>_Toc227451621</vt:lpwstr>
      </vt:variant>
      <vt:variant>
        <vt:i4>1179702</vt:i4>
      </vt:variant>
      <vt:variant>
        <vt:i4>692</vt:i4>
      </vt:variant>
      <vt:variant>
        <vt:i4>0</vt:i4>
      </vt:variant>
      <vt:variant>
        <vt:i4>5</vt:i4>
      </vt:variant>
      <vt:variant>
        <vt:lpwstr/>
      </vt:variant>
      <vt:variant>
        <vt:lpwstr>_Toc227451620</vt:lpwstr>
      </vt:variant>
      <vt:variant>
        <vt:i4>1114166</vt:i4>
      </vt:variant>
      <vt:variant>
        <vt:i4>686</vt:i4>
      </vt:variant>
      <vt:variant>
        <vt:i4>0</vt:i4>
      </vt:variant>
      <vt:variant>
        <vt:i4>5</vt:i4>
      </vt:variant>
      <vt:variant>
        <vt:lpwstr/>
      </vt:variant>
      <vt:variant>
        <vt:lpwstr>_Toc227451619</vt:lpwstr>
      </vt:variant>
      <vt:variant>
        <vt:i4>1114166</vt:i4>
      </vt:variant>
      <vt:variant>
        <vt:i4>680</vt:i4>
      </vt:variant>
      <vt:variant>
        <vt:i4>0</vt:i4>
      </vt:variant>
      <vt:variant>
        <vt:i4>5</vt:i4>
      </vt:variant>
      <vt:variant>
        <vt:lpwstr/>
      </vt:variant>
      <vt:variant>
        <vt:lpwstr>_Toc227451618</vt:lpwstr>
      </vt:variant>
      <vt:variant>
        <vt:i4>1114166</vt:i4>
      </vt:variant>
      <vt:variant>
        <vt:i4>674</vt:i4>
      </vt:variant>
      <vt:variant>
        <vt:i4>0</vt:i4>
      </vt:variant>
      <vt:variant>
        <vt:i4>5</vt:i4>
      </vt:variant>
      <vt:variant>
        <vt:lpwstr/>
      </vt:variant>
      <vt:variant>
        <vt:lpwstr>_Toc227451617</vt:lpwstr>
      </vt:variant>
      <vt:variant>
        <vt:i4>1114166</vt:i4>
      </vt:variant>
      <vt:variant>
        <vt:i4>668</vt:i4>
      </vt:variant>
      <vt:variant>
        <vt:i4>0</vt:i4>
      </vt:variant>
      <vt:variant>
        <vt:i4>5</vt:i4>
      </vt:variant>
      <vt:variant>
        <vt:lpwstr/>
      </vt:variant>
      <vt:variant>
        <vt:lpwstr>_Toc227451616</vt:lpwstr>
      </vt:variant>
      <vt:variant>
        <vt:i4>1114166</vt:i4>
      </vt:variant>
      <vt:variant>
        <vt:i4>662</vt:i4>
      </vt:variant>
      <vt:variant>
        <vt:i4>0</vt:i4>
      </vt:variant>
      <vt:variant>
        <vt:i4>5</vt:i4>
      </vt:variant>
      <vt:variant>
        <vt:lpwstr/>
      </vt:variant>
      <vt:variant>
        <vt:lpwstr>_Toc227451615</vt:lpwstr>
      </vt:variant>
      <vt:variant>
        <vt:i4>1114166</vt:i4>
      </vt:variant>
      <vt:variant>
        <vt:i4>656</vt:i4>
      </vt:variant>
      <vt:variant>
        <vt:i4>0</vt:i4>
      </vt:variant>
      <vt:variant>
        <vt:i4>5</vt:i4>
      </vt:variant>
      <vt:variant>
        <vt:lpwstr/>
      </vt:variant>
      <vt:variant>
        <vt:lpwstr>_Toc227451614</vt:lpwstr>
      </vt:variant>
      <vt:variant>
        <vt:i4>1114166</vt:i4>
      </vt:variant>
      <vt:variant>
        <vt:i4>650</vt:i4>
      </vt:variant>
      <vt:variant>
        <vt:i4>0</vt:i4>
      </vt:variant>
      <vt:variant>
        <vt:i4>5</vt:i4>
      </vt:variant>
      <vt:variant>
        <vt:lpwstr/>
      </vt:variant>
      <vt:variant>
        <vt:lpwstr>_Toc227451613</vt:lpwstr>
      </vt:variant>
      <vt:variant>
        <vt:i4>1114166</vt:i4>
      </vt:variant>
      <vt:variant>
        <vt:i4>644</vt:i4>
      </vt:variant>
      <vt:variant>
        <vt:i4>0</vt:i4>
      </vt:variant>
      <vt:variant>
        <vt:i4>5</vt:i4>
      </vt:variant>
      <vt:variant>
        <vt:lpwstr/>
      </vt:variant>
      <vt:variant>
        <vt:lpwstr>_Toc227451612</vt:lpwstr>
      </vt:variant>
      <vt:variant>
        <vt:i4>1114166</vt:i4>
      </vt:variant>
      <vt:variant>
        <vt:i4>638</vt:i4>
      </vt:variant>
      <vt:variant>
        <vt:i4>0</vt:i4>
      </vt:variant>
      <vt:variant>
        <vt:i4>5</vt:i4>
      </vt:variant>
      <vt:variant>
        <vt:lpwstr/>
      </vt:variant>
      <vt:variant>
        <vt:lpwstr>_Toc227451611</vt:lpwstr>
      </vt:variant>
      <vt:variant>
        <vt:i4>1114166</vt:i4>
      </vt:variant>
      <vt:variant>
        <vt:i4>632</vt:i4>
      </vt:variant>
      <vt:variant>
        <vt:i4>0</vt:i4>
      </vt:variant>
      <vt:variant>
        <vt:i4>5</vt:i4>
      </vt:variant>
      <vt:variant>
        <vt:lpwstr/>
      </vt:variant>
      <vt:variant>
        <vt:lpwstr>_Toc227451610</vt:lpwstr>
      </vt:variant>
      <vt:variant>
        <vt:i4>1048630</vt:i4>
      </vt:variant>
      <vt:variant>
        <vt:i4>626</vt:i4>
      </vt:variant>
      <vt:variant>
        <vt:i4>0</vt:i4>
      </vt:variant>
      <vt:variant>
        <vt:i4>5</vt:i4>
      </vt:variant>
      <vt:variant>
        <vt:lpwstr/>
      </vt:variant>
      <vt:variant>
        <vt:lpwstr>_Toc227451609</vt:lpwstr>
      </vt:variant>
      <vt:variant>
        <vt:i4>1048630</vt:i4>
      </vt:variant>
      <vt:variant>
        <vt:i4>620</vt:i4>
      </vt:variant>
      <vt:variant>
        <vt:i4>0</vt:i4>
      </vt:variant>
      <vt:variant>
        <vt:i4>5</vt:i4>
      </vt:variant>
      <vt:variant>
        <vt:lpwstr/>
      </vt:variant>
      <vt:variant>
        <vt:lpwstr>_Toc227451608</vt:lpwstr>
      </vt:variant>
      <vt:variant>
        <vt:i4>1048630</vt:i4>
      </vt:variant>
      <vt:variant>
        <vt:i4>614</vt:i4>
      </vt:variant>
      <vt:variant>
        <vt:i4>0</vt:i4>
      </vt:variant>
      <vt:variant>
        <vt:i4>5</vt:i4>
      </vt:variant>
      <vt:variant>
        <vt:lpwstr/>
      </vt:variant>
      <vt:variant>
        <vt:lpwstr>_Toc227451607</vt:lpwstr>
      </vt:variant>
      <vt:variant>
        <vt:i4>1048630</vt:i4>
      </vt:variant>
      <vt:variant>
        <vt:i4>608</vt:i4>
      </vt:variant>
      <vt:variant>
        <vt:i4>0</vt:i4>
      </vt:variant>
      <vt:variant>
        <vt:i4>5</vt:i4>
      </vt:variant>
      <vt:variant>
        <vt:lpwstr/>
      </vt:variant>
      <vt:variant>
        <vt:lpwstr>_Toc227451606</vt:lpwstr>
      </vt:variant>
      <vt:variant>
        <vt:i4>1048630</vt:i4>
      </vt:variant>
      <vt:variant>
        <vt:i4>602</vt:i4>
      </vt:variant>
      <vt:variant>
        <vt:i4>0</vt:i4>
      </vt:variant>
      <vt:variant>
        <vt:i4>5</vt:i4>
      </vt:variant>
      <vt:variant>
        <vt:lpwstr/>
      </vt:variant>
      <vt:variant>
        <vt:lpwstr>_Toc227451605</vt:lpwstr>
      </vt:variant>
      <vt:variant>
        <vt:i4>1048630</vt:i4>
      </vt:variant>
      <vt:variant>
        <vt:i4>596</vt:i4>
      </vt:variant>
      <vt:variant>
        <vt:i4>0</vt:i4>
      </vt:variant>
      <vt:variant>
        <vt:i4>5</vt:i4>
      </vt:variant>
      <vt:variant>
        <vt:lpwstr/>
      </vt:variant>
      <vt:variant>
        <vt:lpwstr>_Toc227451604</vt:lpwstr>
      </vt:variant>
      <vt:variant>
        <vt:i4>1048630</vt:i4>
      </vt:variant>
      <vt:variant>
        <vt:i4>590</vt:i4>
      </vt:variant>
      <vt:variant>
        <vt:i4>0</vt:i4>
      </vt:variant>
      <vt:variant>
        <vt:i4>5</vt:i4>
      </vt:variant>
      <vt:variant>
        <vt:lpwstr/>
      </vt:variant>
      <vt:variant>
        <vt:lpwstr>_Toc227451603</vt:lpwstr>
      </vt:variant>
      <vt:variant>
        <vt:i4>1048630</vt:i4>
      </vt:variant>
      <vt:variant>
        <vt:i4>584</vt:i4>
      </vt:variant>
      <vt:variant>
        <vt:i4>0</vt:i4>
      </vt:variant>
      <vt:variant>
        <vt:i4>5</vt:i4>
      </vt:variant>
      <vt:variant>
        <vt:lpwstr/>
      </vt:variant>
      <vt:variant>
        <vt:lpwstr>_Toc227451602</vt:lpwstr>
      </vt:variant>
      <vt:variant>
        <vt:i4>1048630</vt:i4>
      </vt:variant>
      <vt:variant>
        <vt:i4>578</vt:i4>
      </vt:variant>
      <vt:variant>
        <vt:i4>0</vt:i4>
      </vt:variant>
      <vt:variant>
        <vt:i4>5</vt:i4>
      </vt:variant>
      <vt:variant>
        <vt:lpwstr/>
      </vt:variant>
      <vt:variant>
        <vt:lpwstr>_Toc227451601</vt:lpwstr>
      </vt:variant>
      <vt:variant>
        <vt:i4>1048630</vt:i4>
      </vt:variant>
      <vt:variant>
        <vt:i4>572</vt:i4>
      </vt:variant>
      <vt:variant>
        <vt:i4>0</vt:i4>
      </vt:variant>
      <vt:variant>
        <vt:i4>5</vt:i4>
      </vt:variant>
      <vt:variant>
        <vt:lpwstr/>
      </vt:variant>
      <vt:variant>
        <vt:lpwstr>_Toc227451600</vt:lpwstr>
      </vt:variant>
      <vt:variant>
        <vt:i4>1638453</vt:i4>
      </vt:variant>
      <vt:variant>
        <vt:i4>566</vt:i4>
      </vt:variant>
      <vt:variant>
        <vt:i4>0</vt:i4>
      </vt:variant>
      <vt:variant>
        <vt:i4>5</vt:i4>
      </vt:variant>
      <vt:variant>
        <vt:lpwstr/>
      </vt:variant>
      <vt:variant>
        <vt:lpwstr>_Toc227451599</vt:lpwstr>
      </vt:variant>
      <vt:variant>
        <vt:i4>1638453</vt:i4>
      </vt:variant>
      <vt:variant>
        <vt:i4>560</vt:i4>
      </vt:variant>
      <vt:variant>
        <vt:i4>0</vt:i4>
      </vt:variant>
      <vt:variant>
        <vt:i4>5</vt:i4>
      </vt:variant>
      <vt:variant>
        <vt:lpwstr/>
      </vt:variant>
      <vt:variant>
        <vt:lpwstr>_Toc227451598</vt:lpwstr>
      </vt:variant>
      <vt:variant>
        <vt:i4>1638453</vt:i4>
      </vt:variant>
      <vt:variant>
        <vt:i4>554</vt:i4>
      </vt:variant>
      <vt:variant>
        <vt:i4>0</vt:i4>
      </vt:variant>
      <vt:variant>
        <vt:i4>5</vt:i4>
      </vt:variant>
      <vt:variant>
        <vt:lpwstr/>
      </vt:variant>
      <vt:variant>
        <vt:lpwstr>_Toc227451597</vt:lpwstr>
      </vt:variant>
      <vt:variant>
        <vt:i4>1638453</vt:i4>
      </vt:variant>
      <vt:variant>
        <vt:i4>548</vt:i4>
      </vt:variant>
      <vt:variant>
        <vt:i4>0</vt:i4>
      </vt:variant>
      <vt:variant>
        <vt:i4>5</vt:i4>
      </vt:variant>
      <vt:variant>
        <vt:lpwstr/>
      </vt:variant>
      <vt:variant>
        <vt:lpwstr>_Toc227451596</vt:lpwstr>
      </vt:variant>
      <vt:variant>
        <vt:i4>1638453</vt:i4>
      </vt:variant>
      <vt:variant>
        <vt:i4>542</vt:i4>
      </vt:variant>
      <vt:variant>
        <vt:i4>0</vt:i4>
      </vt:variant>
      <vt:variant>
        <vt:i4>5</vt:i4>
      </vt:variant>
      <vt:variant>
        <vt:lpwstr/>
      </vt:variant>
      <vt:variant>
        <vt:lpwstr>_Toc227451595</vt:lpwstr>
      </vt:variant>
      <vt:variant>
        <vt:i4>1638453</vt:i4>
      </vt:variant>
      <vt:variant>
        <vt:i4>536</vt:i4>
      </vt:variant>
      <vt:variant>
        <vt:i4>0</vt:i4>
      </vt:variant>
      <vt:variant>
        <vt:i4>5</vt:i4>
      </vt:variant>
      <vt:variant>
        <vt:lpwstr/>
      </vt:variant>
      <vt:variant>
        <vt:lpwstr>_Toc227451594</vt:lpwstr>
      </vt:variant>
      <vt:variant>
        <vt:i4>1638453</vt:i4>
      </vt:variant>
      <vt:variant>
        <vt:i4>530</vt:i4>
      </vt:variant>
      <vt:variant>
        <vt:i4>0</vt:i4>
      </vt:variant>
      <vt:variant>
        <vt:i4>5</vt:i4>
      </vt:variant>
      <vt:variant>
        <vt:lpwstr/>
      </vt:variant>
      <vt:variant>
        <vt:lpwstr>_Toc227451593</vt:lpwstr>
      </vt:variant>
      <vt:variant>
        <vt:i4>1638453</vt:i4>
      </vt:variant>
      <vt:variant>
        <vt:i4>524</vt:i4>
      </vt:variant>
      <vt:variant>
        <vt:i4>0</vt:i4>
      </vt:variant>
      <vt:variant>
        <vt:i4>5</vt:i4>
      </vt:variant>
      <vt:variant>
        <vt:lpwstr/>
      </vt:variant>
      <vt:variant>
        <vt:lpwstr>_Toc227451592</vt:lpwstr>
      </vt:variant>
      <vt:variant>
        <vt:i4>1638453</vt:i4>
      </vt:variant>
      <vt:variant>
        <vt:i4>518</vt:i4>
      </vt:variant>
      <vt:variant>
        <vt:i4>0</vt:i4>
      </vt:variant>
      <vt:variant>
        <vt:i4>5</vt:i4>
      </vt:variant>
      <vt:variant>
        <vt:lpwstr/>
      </vt:variant>
      <vt:variant>
        <vt:lpwstr>_Toc227451591</vt:lpwstr>
      </vt:variant>
      <vt:variant>
        <vt:i4>1638453</vt:i4>
      </vt:variant>
      <vt:variant>
        <vt:i4>512</vt:i4>
      </vt:variant>
      <vt:variant>
        <vt:i4>0</vt:i4>
      </vt:variant>
      <vt:variant>
        <vt:i4>5</vt:i4>
      </vt:variant>
      <vt:variant>
        <vt:lpwstr/>
      </vt:variant>
      <vt:variant>
        <vt:lpwstr>_Toc227451590</vt:lpwstr>
      </vt:variant>
      <vt:variant>
        <vt:i4>1572917</vt:i4>
      </vt:variant>
      <vt:variant>
        <vt:i4>506</vt:i4>
      </vt:variant>
      <vt:variant>
        <vt:i4>0</vt:i4>
      </vt:variant>
      <vt:variant>
        <vt:i4>5</vt:i4>
      </vt:variant>
      <vt:variant>
        <vt:lpwstr/>
      </vt:variant>
      <vt:variant>
        <vt:lpwstr>_Toc227451589</vt:lpwstr>
      </vt:variant>
      <vt:variant>
        <vt:i4>1572917</vt:i4>
      </vt:variant>
      <vt:variant>
        <vt:i4>500</vt:i4>
      </vt:variant>
      <vt:variant>
        <vt:i4>0</vt:i4>
      </vt:variant>
      <vt:variant>
        <vt:i4>5</vt:i4>
      </vt:variant>
      <vt:variant>
        <vt:lpwstr/>
      </vt:variant>
      <vt:variant>
        <vt:lpwstr>_Toc227451588</vt:lpwstr>
      </vt:variant>
      <vt:variant>
        <vt:i4>1572917</vt:i4>
      </vt:variant>
      <vt:variant>
        <vt:i4>494</vt:i4>
      </vt:variant>
      <vt:variant>
        <vt:i4>0</vt:i4>
      </vt:variant>
      <vt:variant>
        <vt:i4>5</vt:i4>
      </vt:variant>
      <vt:variant>
        <vt:lpwstr/>
      </vt:variant>
      <vt:variant>
        <vt:lpwstr>_Toc227451587</vt:lpwstr>
      </vt:variant>
      <vt:variant>
        <vt:i4>1572917</vt:i4>
      </vt:variant>
      <vt:variant>
        <vt:i4>488</vt:i4>
      </vt:variant>
      <vt:variant>
        <vt:i4>0</vt:i4>
      </vt:variant>
      <vt:variant>
        <vt:i4>5</vt:i4>
      </vt:variant>
      <vt:variant>
        <vt:lpwstr/>
      </vt:variant>
      <vt:variant>
        <vt:lpwstr>_Toc227451586</vt:lpwstr>
      </vt:variant>
      <vt:variant>
        <vt:i4>1572917</vt:i4>
      </vt:variant>
      <vt:variant>
        <vt:i4>482</vt:i4>
      </vt:variant>
      <vt:variant>
        <vt:i4>0</vt:i4>
      </vt:variant>
      <vt:variant>
        <vt:i4>5</vt:i4>
      </vt:variant>
      <vt:variant>
        <vt:lpwstr/>
      </vt:variant>
      <vt:variant>
        <vt:lpwstr>_Toc227451585</vt:lpwstr>
      </vt:variant>
      <vt:variant>
        <vt:i4>1572917</vt:i4>
      </vt:variant>
      <vt:variant>
        <vt:i4>476</vt:i4>
      </vt:variant>
      <vt:variant>
        <vt:i4>0</vt:i4>
      </vt:variant>
      <vt:variant>
        <vt:i4>5</vt:i4>
      </vt:variant>
      <vt:variant>
        <vt:lpwstr/>
      </vt:variant>
      <vt:variant>
        <vt:lpwstr>_Toc227451584</vt:lpwstr>
      </vt:variant>
      <vt:variant>
        <vt:i4>1572917</vt:i4>
      </vt:variant>
      <vt:variant>
        <vt:i4>470</vt:i4>
      </vt:variant>
      <vt:variant>
        <vt:i4>0</vt:i4>
      </vt:variant>
      <vt:variant>
        <vt:i4>5</vt:i4>
      </vt:variant>
      <vt:variant>
        <vt:lpwstr/>
      </vt:variant>
      <vt:variant>
        <vt:lpwstr>_Toc227451583</vt:lpwstr>
      </vt:variant>
      <vt:variant>
        <vt:i4>1572917</vt:i4>
      </vt:variant>
      <vt:variant>
        <vt:i4>464</vt:i4>
      </vt:variant>
      <vt:variant>
        <vt:i4>0</vt:i4>
      </vt:variant>
      <vt:variant>
        <vt:i4>5</vt:i4>
      </vt:variant>
      <vt:variant>
        <vt:lpwstr/>
      </vt:variant>
      <vt:variant>
        <vt:lpwstr>_Toc227451582</vt:lpwstr>
      </vt:variant>
      <vt:variant>
        <vt:i4>1572917</vt:i4>
      </vt:variant>
      <vt:variant>
        <vt:i4>458</vt:i4>
      </vt:variant>
      <vt:variant>
        <vt:i4>0</vt:i4>
      </vt:variant>
      <vt:variant>
        <vt:i4>5</vt:i4>
      </vt:variant>
      <vt:variant>
        <vt:lpwstr/>
      </vt:variant>
      <vt:variant>
        <vt:lpwstr>_Toc227451581</vt:lpwstr>
      </vt:variant>
      <vt:variant>
        <vt:i4>1572917</vt:i4>
      </vt:variant>
      <vt:variant>
        <vt:i4>452</vt:i4>
      </vt:variant>
      <vt:variant>
        <vt:i4>0</vt:i4>
      </vt:variant>
      <vt:variant>
        <vt:i4>5</vt:i4>
      </vt:variant>
      <vt:variant>
        <vt:lpwstr/>
      </vt:variant>
      <vt:variant>
        <vt:lpwstr>_Toc227451580</vt:lpwstr>
      </vt:variant>
      <vt:variant>
        <vt:i4>1507381</vt:i4>
      </vt:variant>
      <vt:variant>
        <vt:i4>446</vt:i4>
      </vt:variant>
      <vt:variant>
        <vt:i4>0</vt:i4>
      </vt:variant>
      <vt:variant>
        <vt:i4>5</vt:i4>
      </vt:variant>
      <vt:variant>
        <vt:lpwstr/>
      </vt:variant>
      <vt:variant>
        <vt:lpwstr>_Toc227451579</vt:lpwstr>
      </vt:variant>
      <vt:variant>
        <vt:i4>1507381</vt:i4>
      </vt:variant>
      <vt:variant>
        <vt:i4>440</vt:i4>
      </vt:variant>
      <vt:variant>
        <vt:i4>0</vt:i4>
      </vt:variant>
      <vt:variant>
        <vt:i4>5</vt:i4>
      </vt:variant>
      <vt:variant>
        <vt:lpwstr/>
      </vt:variant>
      <vt:variant>
        <vt:lpwstr>_Toc227451578</vt:lpwstr>
      </vt:variant>
      <vt:variant>
        <vt:i4>1507381</vt:i4>
      </vt:variant>
      <vt:variant>
        <vt:i4>434</vt:i4>
      </vt:variant>
      <vt:variant>
        <vt:i4>0</vt:i4>
      </vt:variant>
      <vt:variant>
        <vt:i4>5</vt:i4>
      </vt:variant>
      <vt:variant>
        <vt:lpwstr/>
      </vt:variant>
      <vt:variant>
        <vt:lpwstr>_Toc227451577</vt:lpwstr>
      </vt:variant>
      <vt:variant>
        <vt:i4>1507381</vt:i4>
      </vt:variant>
      <vt:variant>
        <vt:i4>428</vt:i4>
      </vt:variant>
      <vt:variant>
        <vt:i4>0</vt:i4>
      </vt:variant>
      <vt:variant>
        <vt:i4>5</vt:i4>
      </vt:variant>
      <vt:variant>
        <vt:lpwstr/>
      </vt:variant>
      <vt:variant>
        <vt:lpwstr>_Toc227451576</vt:lpwstr>
      </vt:variant>
      <vt:variant>
        <vt:i4>1507381</vt:i4>
      </vt:variant>
      <vt:variant>
        <vt:i4>422</vt:i4>
      </vt:variant>
      <vt:variant>
        <vt:i4>0</vt:i4>
      </vt:variant>
      <vt:variant>
        <vt:i4>5</vt:i4>
      </vt:variant>
      <vt:variant>
        <vt:lpwstr/>
      </vt:variant>
      <vt:variant>
        <vt:lpwstr>_Toc227451575</vt:lpwstr>
      </vt:variant>
      <vt:variant>
        <vt:i4>1507381</vt:i4>
      </vt:variant>
      <vt:variant>
        <vt:i4>416</vt:i4>
      </vt:variant>
      <vt:variant>
        <vt:i4>0</vt:i4>
      </vt:variant>
      <vt:variant>
        <vt:i4>5</vt:i4>
      </vt:variant>
      <vt:variant>
        <vt:lpwstr/>
      </vt:variant>
      <vt:variant>
        <vt:lpwstr>_Toc227451574</vt:lpwstr>
      </vt:variant>
      <vt:variant>
        <vt:i4>1507381</vt:i4>
      </vt:variant>
      <vt:variant>
        <vt:i4>410</vt:i4>
      </vt:variant>
      <vt:variant>
        <vt:i4>0</vt:i4>
      </vt:variant>
      <vt:variant>
        <vt:i4>5</vt:i4>
      </vt:variant>
      <vt:variant>
        <vt:lpwstr/>
      </vt:variant>
      <vt:variant>
        <vt:lpwstr>_Toc227451573</vt:lpwstr>
      </vt:variant>
      <vt:variant>
        <vt:i4>1507381</vt:i4>
      </vt:variant>
      <vt:variant>
        <vt:i4>404</vt:i4>
      </vt:variant>
      <vt:variant>
        <vt:i4>0</vt:i4>
      </vt:variant>
      <vt:variant>
        <vt:i4>5</vt:i4>
      </vt:variant>
      <vt:variant>
        <vt:lpwstr/>
      </vt:variant>
      <vt:variant>
        <vt:lpwstr>_Toc227451572</vt:lpwstr>
      </vt:variant>
      <vt:variant>
        <vt:i4>1507381</vt:i4>
      </vt:variant>
      <vt:variant>
        <vt:i4>398</vt:i4>
      </vt:variant>
      <vt:variant>
        <vt:i4>0</vt:i4>
      </vt:variant>
      <vt:variant>
        <vt:i4>5</vt:i4>
      </vt:variant>
      <vt:variant>
        <vt:lpwstr/>
      </vt:variant>
      <vt:variant>
        <vt:lpwstr>_Toc227451571</vt:lpwstr>
      </vt:variant>
      <vt:variant>
        <vt:i4>1507381</vt:i4>
      </vt:variant>
      <vt:variant>
        <vt:i4>392</vt:i4>
      </vt:variant>
      <vt:variant>
        <vt:i4>0</vt:i4>
      </vt:variant>
      <vt:variant>
        <vt:i4>5</vt:i4>
      </vt:variant>
      <vt:variant>
        <vt:lpwstr/>
      </vt:variant>
      <vt:variant>
        <vt:lpwstr>_Toc227451570</vt:lpwstr>
      </vt:variant>
      <vt:variant>
        <vt:i4>1441845</vt:i4>
      </vt:variant>
      <vt:variant>
        <vt:i4>386</vt:i4>
      </vt:variant>
      <vt:variant>
        <vt:i4>0</vt:i4>
      </vt:variant>
      <vt:variant>
        <vt:i4>5</vt:i4>
      </vt:variant>
      <vt:variant>
        <vt:lpwstr/>
      </vt:variant>
      <vt:variant>
        <vt:lpwstr>_Toc227451569</vt:lpwstr>
      </vt:variant>
      <vt:variant>
        <vt:i4>1441845</vt:i4>
      </vt:variant>
      <vt:variant>
        <vt:i4>380</vt:i4>
      </vt:variant>
      <vt:variant>
        <vt:i4>0</vt:i4>
      </vt:variant>
      <vt:variant>
        <vt:i4>5</vt:i4>
      </vt:variant>
      <vt:variant>
        <vt:lpwstr/>
      </vt:variant>
      <vt:variant>
        <vt:lpwstr>_Toc227451568</vt:lpwstr>
      </vt:variant>
      <vt:variant>
        <vt:i4>1441845</vt:i4>
      </vt:variant>
      <vt:variant>
        <vt:i4>374</vt:i4>
      </vt:variant>
      <vt:variant>
        <vt:i4>0</vt:i4>
      </vt:variant>
      <vt:variant>
        <vt:i4>5</vt:i4>
      </vt:variant>
      <vt:variant>
        <vt:lpwstr/>
      </vt:variant>
      <vt:variant>
        <vt:lpwstr>_Toc227451567</vt:lpwstr>
      </vt:variant>
      <vt:variant>
        <vt:i4>1441845</vt:i4>
      </vt:variant>
      <vt:variant>
        <vt:i4>368</vt:i4>
      </vt:variant>
      <vt:variant>
        <vt:i4>0</vt:i4>
      </vt:variant>
      <vt:variant>
        <vt:i4>5</vt:i4>
      </vt:variant>
      <vt:variant>
        <vt:lpwstr/>
      </vt:variant>
      <vt:variant>
        <vt:lpwstr>_Toc227451566</vt:lpwstr>
      </vt:variant>
      <vt:variant>
        <vt:i4>1441845</vt:i4>
      </vt:variant>
      <vt:variant>
        <vt:i4>362</vt:i4>
      </vt:variant>
      <vt:variant>
        <vt:i4>0</vt:i4>
      </vt:variant>
      <vt:variant>
        <vt:i4>5</vt:i4>
      </vt:variant>
      <vt:variant>
        <vt:lpwstr/>
      </vt:variant>
      <vt:variant>
        <vt:lpwstr>_Toc227451565</vt:lpwstr>
      </vt:variant>
      <vt:variant>
        <vt:i4>1441845</vt:i4>
      </vt:variant>
      <vt:variant>
        <vt:i4>356</vt:i4>
      </vt:variant>
      <vt:variant>
        <vt:i4>0</vt:i4>
      </vt:variant>
      <vt:variant>
        <vt:i4>5</vt:i4>
      </vt:variant>
      <vt:variant>
        <vt:lpwstr/>
      </vt:variant>
      <vt:variant>
        <vt:lpwstr>_Toc227451564</vt:lpwstr>
      </vt:variant>
      <vt:variant>
        <vt:i4>1441845</vt:i4>
      </vt:variant>
      <vt:variant>
        <vt:i4>350</vt:i4>
      </vt:variant>
      <vt:variant>
        <vt:i4>0</vt:i4>
      </vt:variant>
      <vt:variant>
        <vt:i4>5</vt:i4>
      </vt:variant>
      <vt:variant>
        <vt:lpwstr/>
      </vt:variant>
      <vt:variant>
        <vt:lpwstr>_Toc227451563</vt:lpwstr>
      </vt:variant>
      <vt:variant>
        <vt:i4>1441845</vt:i4>
      </vt:variant>
      <vt:variant>
        <vt:i4>344</vt:i4>
      </vt:variant>
      <vt:variant>
        <vt:i4>0</vt:i4>
      </vt:variant>
      <vt:variant>
        <vt:i4>5</vt:i4>
      </vt:variant>
      <vt:variant>
        <vt:lpwstr/>
      </vt:variant>
      <vt:variant>
        <vt:lpwstr>_Toc227451562</vt:lpwstr>
      </vt:variant>
      <vt:variant>
        <vt:i4>1441845</vt:i4>
      </vt:variant>
      <vt:variant>
        <vt:i4>338</vt:i4>
      </vt:variant>
      <vt:variant>
        <vt:i4>0</vt:i4>
      </vt:variant>
      <vt:variant>
        <vt:i4>5</vt:i4>
      </vt:variant>
      <vt:variant>
        <vt:lpwstr/>
      </vt:variant>
      <vt:variant>
        <vt:lpwstr>_Toc227451561</vt:lpwstr>
      </vt:variant>
      <vt:variant>
        <vt:i4>1441845</vt:i4>
      </vt:variant>
      <vt:variant>
        <vt:i4>332</vt:i4>
      </vt:variant>
      <vt:variant>
        <vt:i4>0</vt:i4>
      </vt:variant>
      <vt:variant>
        <vt:i4>5</vt:i4>
      </vt:variant>
      <vt:variant>
        <vt:lpwstr/>
      </vt:variant>
      <vt:variant>
        <vt:lpwstr>_Toc227451560</vt:lpwstr>
      </vt:variant>
      <vt:variant>
        <vt:i4>1376309</vt:i4>
      </vt:variant>
      <vt:variant>
        <vt:i4>326</vt:i4>
      </vt:variant>
      <vt:variant>
        <vt:i4>0</vt:i4>
      </vt:variant>
      <vt:variant>
        <vt:i4>5</vt:i4>
      </vt:variant>
      <vt:variant>
        <vt:lpwstr/>
      </vt:variant>
      <vt:variant>
        <vt:lpwstr>_Toc227451559</vt:lpwstr>
      </vt:variant>
      <vt:variant>
        <vt:i4>1376309</vt:i4>
      </vt:variant>
      <vt:variant>
        <vt:i4>320</vt:i4>
      </vt:variant>
      <vt:variant>
        <vt:i4>0</vt:i4>
      </vt:variant>
      <vt:variant>
        <vt:i4>5</vt:i4>
      </vt:variant>
      <vt:variant>
        <vt:lpwstr/>
      </vt:variant>
      <vt:variant>
        <vt:lpwstr>_Toc227451558</vt:lpwstr>
      </vt:variant>
      <vt:variant>
        <vt:i4>1376309</vt:i4>
      </vt:variant>
      <vt:variant>
        <vt:i4>314</vt:i4>
      </vt:variant>
      <vt:variant>
        <vt:i4>0</vt:i4>
      </vt:variant>
      <vt:variant>
        <vt:i4>5</vt:i4>
      </vt:variant>
      <vt:variant>
        <vt:lpwstr/>
      </vt:variant>
      <vt:variant>
        <vt:lpwstr>_Toc227451557</vt:lpwstr>
      </vt:variant>
      <vt:variant>
        <vt:i4>1376309</vt:i4>
      </vt:variant>
      <vt:variant>
        <vt:i4>308</vt:i4>
      </vt:variant>
      <vt:variant>
        <vt:i4>0</vt:i4>
      </vt:variant>
      <vt:variant>
        <vt:i4>5</vt:i4>
      </vt:variant>
      <vt:variant>
        <vt:lpwstr/>
      </vt:variant>
      <vt:variant>
        <vt:lpwstr>_Toc227451556</vt:lpwstr>
      </vt:variant>
      <vt:variant>
        <vt:i4>1376309</vt:i4>
      </vt:variant>
      <vt:variant>
        <vt:i4>302</vt:i4>
      </vt:variant>
      <vt:variant>
        <vt:i4>0</vt:i4>
      </vt:variant>
      <vt:variant>
        <vt:i4>5</vt:i4>
      </vt:variant>
      <vt:variant>
        <vt:lpwstr/>
      </vt:variant>
      <vt:variant>
        <vt:lpwstr>_Toc227451555</vt:lpwstr>
      </vt:variant>
      <vt:variant>
        <vt:i4>1376309</vt:i4>
      </vt:variant>
      <vt:variant>
        <vt:i4>296</vt:i4>
      </vt:variant>
      <vt:variant>
        <vt:i4>0</vt:i4>
      </vt:variant>
      <vt:variant>
        <vt:i4>5</vt:i4>
      </vt:variant>
      <vt:variant>
        <vt:lpwstr/>
      </vt:variant>
      <vt:variant>
        <vt:lpwstr>_Toc227451554</vt:lpwstr>
      </vt:variant>
      <vt:variant>
        <vt:i4>1376309</vt:i4>
      </vt:variant>
      <vt:variant>
        <vt:i4>290</vt:i4>
      </vt:variant>
      <vt:variant>
        <vt:i4>0</vt:i4>
      </vt:variant>
      <vt:variant>
        <vt:i4>5</vt:i4>
      </vt:variant>
      <vt:variant>
        <vt:lpwstr/>
      </vt:variant>
      <vt:variant>
        <vt:lpwstr>_Toc227451553</vt:lpwstr>
      </vt:variant>
      <vt:variant>
        <vt:i4>1376309</vt:i4>
      </vt:variant>
      <vt:variant>
        <vt:i4>284</vt:i4>
      </vt:variant>
      <vt:variant>
        <vt:i4>0</vt:i4>
      </vt:variant>
      <vt:variant>
        <vt:i4>5</vt:i4>
      </vt:variant>
      <vt:variant>
        <vt:lpwstr/>
      </vt:variant>
      <vt:variant>
        <vt:lpwstr>_Toc227451552</vt:lpwstr>
      </vt:variant>
      <vt:variant>
        <vt:i4>1376309</vt:i4>
      </vt:variant>
      <vt:variant>
        <vt:i4>278</vt:i4>
      </vt:variant>
      <vt:variant>
        <vt:i4>0</vt:i4>
      </vt:variant>
      <vt:variant>
        <vt:i4>5</vt:i4>
      </vt:variant>
      <vt:variant>
        <vt:lpwstr/>
      </vt:variant>
      <vt:variant>
        <vt:lpwstr>_Toc227451551</vt:lpwstr>
      </vt:variant>
      <vt:variant>
        <vt:i4>1376309</vt:i4>
      </vt:variant>
      <vt:variant>
        <vt:i4>272</vt:i4>
      </vt:variant>
      <vt:variant>
        <vt:i4>0</vt:i4>
      </vt:variant>
      <vt:variant>
        <vt:i4>5</vt:i4>
      </vt:variant>
      <vt:variant>
        <vt:lpwstr/>
      </vt:variant>
      <vt:variant>
        <vt:lpwstr>_Toc227451550</vt:lpwstr>
      </vt:variant>
      <vt:variant>
        <vt:i4>1310773</vt:i4>
      </vt:variant>
      <vt:variant>
        <vt:i4>266</vt:i4>
      </vt:variant>
      <vt:variant>
        <vt:i4>0</vt:i4>
      </vt:variant>
      <vt:variant>
        <vt:i4>5</vt:i4>
      </vt:variant>
      <vt:variant>
        <vt:lpwstr/>
      </vt:variant>
      <vt:variant>
        <vt:lpwstr>_Toc227451549</vt:lpwstr>
      </vt:variant>
      <vt:variant>
        <vt:i4>1310773</vt:i4>
      </vt:variant>
      <vt:variant>
        <vt:i4>260</vt:i4>
      </vt:variant>
      <vt:variant>
        <vt:i4>0</vt:i4>
      </vt:variant>
      <vt:variant>
        <vt:i4>5</vt:i4>
      </vt:variant>
      <vt:variant>
        <vt:lpwstr/>
      </vt:variant>
      <vt:variant>
        <vt:lpwstr>_Toc227451548</vt:lpwstr>
      </vt:variant>
      <vt:variant>
        <vt:i4>1310773</vt:i4>
      </vt:variant>
      <vt:variant>
        <vt:i4>254</vt:i4>
      </vt:variant>
      <vt:variant>
        <vt:i4>0</vt:i4>
      </vt:variant>
      <vt:variant>
        <vt:i4>5</vt:i4>
      </vt:variant>
      <vt:variant>
        <vt:lpwstr/>
      </vt:variant>
      <vt:variant>
        <vt:lpwstr>_Toc227451547</vt:lpwstr>
      </vt:variant>
      <vt:variant>
        <vt:i4>1310773</vt:i4>
      </vt:variant>
      <vt:variant>
        <vt:i4>248</vt:i4>
      </vt:variant>
      <vt:variant>
        <vt:i4>0</vt:i4>
      </vt:variant>
      <vt:variant>
        <vt:i4>5</vt:i4>
      </vt:variant>
      <vt:variant>
        <vt:lpwstr/>
      </vt:variant>
      <vt:variant>
        <vt:lpwstr>_Toc227451546</vt:lpwstr>
      </vt:variant>
      <vt:variant>
        <vt:i4>1310773</vt:i4>
      </vt:variant>
      <vt:variant>
        <vt:i4>242</vt:i4>
      </vt:variant>
      <vt:variant>
        <vt:i4>0</vt:i4>
      </vt:variant>
      <vt:variant>
        <vt:i4>5</vt:i4>
      </vt:variant>
      <vt:variant>
        <vt:lpwstr/>
      </vt:variant>
      <vt:variant>
        <vt:lpwstr>_Toc227451545</vt:lpwstr>
      </vt:variant>
      <vt:variant>
        <vt:i4>1310773</vt:i4>
      </vt:variant>
      <vt:variant>
        <vt:i4>236</vt:i4>
      </vt:variant>
      <vt:variant>
        <vt:i4>0</vt:i4>
      </vt:variant>
      <vt:variant>
        <vt:i4>5</vt:i4>
      </vt:variant>
      <vt:variant>
        <vt:lpwstr/>
      </vt:variant>
      <vt:variant>
        <vt:lpwstr>_Toc227451544</vt:lpwstr>
      </vt:variant>
      <vt:variant>
        <vt:i4>1310773</vt:i4>
      </vt:variant>
      <vt:variant>
        <vt:i4>230</vt:i4>
      </vt:variant>
      <vt:variant>
        <vt:i4>0</vt:i4>
      </vt:variant>
      <vt:variant>
        <vt:i4>5</vt:i4>
      </vt:variant>
      <vt:variant>
        <vt:lpwstr/>
      </vt:variant>
      <vt:variant>
        <vt:lpwstr>_Toc227451543</vt:lpwstr>
      </vt:variant>
      <vt:variant>
        <vt:i4>1310773</vt:i4>
      </vt:variant>
      <vt:variant>
        <vt:i4>224</vt:i4>
      </vt:variant>
      <vt:variant>
        <vt:i4>0</vt:i4>
      </vt:variant>
      <vt:variant>
        <vt:i4>5</vt:i4>
      </vt:variant>
      <vt:variant>
        <vt:lpwstr/>
      </vt:variant>
      <vt:variant>
        <vt:lpwstr>_Toc227451542</vt:lpwstr>
      </vt:variant>
      <vt:variant>
        <vt:i4>1310773</vt:i4>
      </vt:variant>
      <vt:variant>
        <vt:i4>218</vt:i4>
      </vt:variant>
      <vt:variant>
        <vt:i4>0</vt:i4>
      </vt:variant>
      <vt:variant>
        <vt:i4>5</vt:i4>
      </vt:variant>
      <vt:variant>
        <vt:lpwstr/>
      </vt:variant>
      <vt:variant>
        <vt:lpwstr>_Toc227451541</vt:lpwstr>
      </vt:variant>
      <vt:variant>
        <vt:i4>1310773</vt:i4>
      </vt:variant>
      <vt:variant>
        <vt:i4>212</vt:i4>
      </vt:variant>
      <vt:variant>
        <vt:i4>0</vt:i4>
      </vt:variant>
      <vt:variant>
        <vt:i4>5</vt:i4>
      </vt:variant>
      <vt:variant>
        <vt:lpwstr/>
      </vt:variant>
      <vt:variant>
        <vt:lpwstr>_Toc227451540</vt:lpwstr>
      </vt:variant>
      <vt:variant>
        <vt:i4>1245237</vt:i4>
      </vt:variant>
      <vt:variant>
        <vt:i4>206</vt:i4>
      </vt:variant>
      <vt:variant>
        <vt:i4>0</vt:i4>
      </vt:variant>
      <vt:variant>
        <vt:i4>5</vt:i4>
      </vt:variant>
      <vt:variant>
        <vt:lpwstr/>
      </vt:variant>
      <vt:variant>
        <vt:lpwstr>_Toc227451539</vt:lpwstr>
      </vt:variant>
      <vt:variant>
        <vt:i4>1245237</vt:i4>
      </vt:variant>
      <vt:variant>
        <vt:i4>200</vt:i4>
      </vt:variant>
      <vt:variant>
        <vt:i4>0</vt:i4>
      </vt:variant>
      <vt:variant>
        <vt:i4>5</vt:i4>
      </vt:variant>
      <vt:variant>
        <vt:lpwstr/>
      </vt:variant>
      <vt:variant>
        <vt:lpwstr>_Toc227451538</vt:lpwstr>
      </vt:variant>
      <vt:variant>
        <vt:i4>1245237</vt:i4>
      </vt:variant>
      <vt:variant>
        <vt:i4>194</vt:i4>
      </vt:variant>
      <vt:variant>
        <vt:i4>0</vt:i4>
      </vt:variant>
      <vt:variant>
        <vt:i4>5</vt:i4>
      </vt:variant>
      <vt:variant>
        <vt:lpwstr/>
      </vt:variant>
      <vt:variant>
        <vt:lpwstr>_Toc227451537</vt:lpwstr>
      </vt:variant>
      <vt:variant>
        <vt:i4>1245237</vt:i4>
      </vt:variant>
      <vt:variant>
        <vt:i4>188</vt:i4>
      </vt:variant>
      <vt:variant>
        <vt:i4>0</vt:i4>
      </vt:variant>
      <vt:variant>
        <vt:i4>5</vt:i4>
      </vt:variant>
      <vt:variant>
        <vt:lpwstr/>
      </vt:variant>
      <vt:variant>
        <vt:lpwstr>_Toc227451536</vt:lpwstr>
      </vt:variant>
      <vt:variant>
        <vt:i4>1245237</vt:i4>
      </vt:variant>
      <vt:variant>
        <vt:i4>182</vt:i4>
      </vt:variant>
      <vt:variant>
        <vt:i4>0</vt:i4>
      </vt:variant>
      <vt:variant>
        <vt:i4>5</vt:i4>
      </vt:variant>
      <vt:variant>
        <vt:lpwstr/>
      </vt:variant>
      <vt:variant>
        <vt:lpwstr>_Toc227451535</vt:lpwstr>
      </vt:variant>
      <vt:variant>
        <vt:i4>1245237</vt:i4>
      </vt:variant>
      <vt:variant>
        <vt:i4>176</vt:i4>
      </vt:variant>
      <vt:variant>
        <vt:i4>0</vt:i4>
      </vt:variant>
      <vt:variant>
        <vt:i4>5</vt:i4>
      </vt:variant>
      <vt:variant>
        <vt:lpwstr/>
      </vt:variant>
      <vt:variant>
        <vt:lpwstr>_Toc227451534</vt:lpwstr>
      </vt:variant>
      <vt:variant>
        <vt:i4>1245237</vt:i4>
      </vt:variant>
      <vt:variant>
        <vt:i4>170</vt:i4>
      </vt:variant>
      <vt:variant>
        <vt:i4>0</vt:i4>
      </vt:variant>
      <vt:variant>
        <vt:i4>5</vt:i4>
      </vt:variant>
      <vt:variant>
        <vt:lpwstr/>
      </vt:variant>
      <vt:variant>
        <vt:lpwstr>_Toc227451533</vt:lpwstr>
      </vt:variant>
      <vt:variant>
        <vt:i4>1245237</vt:i4>
      </vt:variant>
      <vt:variant>
        <vt:i4>164</vt:i4>
      </vt:variant>
      <vt:variant>
        <vt:i4>0</vt:i4>
      </vt:variant>
      <vt:variant>
        <vt:i4>5</vt:i4>
      </vt:variant>
      <vt:variant>
        <vt:lpwstr/>
      </vt:variant>
      <vt:variant>
        <vt:lpwstr>_Toc227451532</vt:lpwstr>
      </vt:variant>
      <vt:variant>
        <vt:i4>1245237</vt:i4>
      </vt:variant>
      <vt:variant>
        <vt:i4>158</vt:i4>
      </vt:variant>
      <vt:variant>
        <vt:i4>0</vt:i4>
      </vt:variant>
      <vt:variant>
        <vt:i4>5</vt:i4>
      </vt:variant>
      <vt:variant>
        <vt:lpwstr/>
      </vt:variant>
      <vt:variant>
        <vt:lpwstr>_Toc227451531</vt:lpwstr>
      </vt:variant>
      <vt:variant>
        <vt:i4>1245237</vt:i4>
      </vt:variant>
      <vt:variant>
        <vt:i4>152</vt:i4>
      </vt:variant>
      <vt:variant>
        <vt:i4>0</vt:i4>
      </vt:variant>
      <vt:variant>
        <vt:i4>5</vt:i4>
      </vt:variant>
      <vt:variant>
        <vt:lpwstr/>
      </vt:variant>
      <vt:variant>
        <vt:lpwstr>_Toc227451530</vt:lpwstr>
      </vt:variant>
      <vt:variant>
        <vt:i4>1179701</vt:i4>
      </vt:variant>
      <vt:variant>
        <vt:i4>146</vt:i4>
      </vt:variant>
      <vt:variant>
        <vt:i4>0</vt:i4>
      </vt:variant>
      <vt:variant>
        <vt:i4>5</vt:i4>
      </vt:variant>
      <vt:variant>
        <vt:lpwstr/>
      </vt:variant>
      <vt:variant>
        <vt:lpwstr>_Toc227451529</vt:lpwstr>
      </vt:variant>
      <vt:variant>
        <vt:i4>1179701</vt:i4>
      </vt:variant>
      <vt:variant>
        <vt:i4>140</vt:i4>
      </vt:variant>
      <vt:variant>
        <vt:i4>0</vt:i4>
      </vt:variant>
      <vt:variant>
        <vt:i4>5</vt:i4>
      </vt:variant>
      <vt:variant>
        <vt:lpwstr/>
      </vt:variant>
      <vt:variant>
        <vt:lpwstr>_Toc227451528</vt:lpwstr>
      </vt:variant>
      <vt:variant>
        <vt:i4>1179701</vt:i4>
      </vt:variant>
      <vt:variant>
        <vt:i4>134</vt:i4>
      </vt:variant>
      <vt:variant>
        <vt:i4>0</vt:i4>
      </vt:variant>
      <vt:variant>
        <vt:i4>5</vt:i4>
      </vt:variant>
      <vt:variant>
        <vt:lpwstr/>
      </vt:variant>
      <vt:variant>
        <vt:lpwstr>_Toc227451527</vt:lpwstr>
      </vt:variant>
      <vt:variant>
        <vt:i4>1179701</vt:i4>
      </vt:variant>
      <vt:variant>
        <vt:i4>128</vt:i4>
      </vt:variant>
      <vt:variant>
        <vt:i4>0</vt:i4>
      </vt:variant>
      <vt:variant>
        <vt:i4>5</vt:i4>
      </vt:variant>
      <vt:variant>
        <vt:lpwstr/>
      </vt:variant>
      <vt:variant>
        <vt:lpwstr>_Toc227451526</vt:lpwstr>
      </vt:variant>
      <vt:variant>
        <vt:i4>1179701</vt:i4>
      </vt:variant>
      <vt:variant>
        <vt:i4>122</vt:i4>
      </vt:variant>
      <vt:variant>
        <vt:i4>0</vt:i4>
      </vt:variant>
      <vt:variant>
        <vt:i4>5</vt:i4>
      </vt:variant>
      <vt:variant>
        <vt:lpwstr/>
      </vt:variant>
      <vt:variant>
        <vt:lpwstr>_Toc227451525</vt:lpwstr>
      </vt:variant>
      <vt:variant>
        <vt:i4>1179701</vt:i4>
      </vt:variant>
      <vt:variant>
        <vt:i4>116</vt:i4>
      </vt:variant>
      <vt:variant>
        <vt:i4>0</vt:i4>
      </vt:variant>
      <vt:variant>
        <vt:i4>5</vt:i4>
      </vt:variant>
      <vt:variant>
        <vt:lpwstr/>
      </vt:variant>
      <vt:variant>
        <vt:lpwstr>_Toc227451524</vt:lpwstr>
      </vt:variant>
      <vt:variant>
        <vt:i4>1179701</vt:i4>
      </vt:variant>
      <vt:variant>
        <vt:i4>110</vt:i4>
      </vt:variant>
      <vt:variant>
        <vt:i4>0</vt:i4>
      </vt:variant>
      <vt:variant>
        <vt:i4>5</vt:i4>
      </vt:variant>
      <vt:variant>
        <vt:lpwstr/>
      </vt:variant>
      <vt:variant>
        <vt:lpwstr>_Toc227451523</vt:lpwstr>
      </vt:variant>
      <vt:variant>
        <vt:i4>1179701</vt:i4>
      </vt:variant>
      <vt:variant>
        <vt:i4>104</vt:i4>
      </vt:variant>
      <vt:variant>
        <vt:i4>0</vt:i4>
      </vt:variant>
      <vt:variant>
        <vt:i4>5</vt:i4>
      </vt:variant>
      <vt:variant>
        <vt:lpwstr/>
      </vt:variant>
      <vt:variant>
        <vt:lpwstr>_Toc227451522</vt:lpwstr>
      </vt:variant>
      <vt:variant>
        <vt:i4>1179701</vt:i4>
      </vt:variant>
      <vt:variant>
        <vt:i4>98</vt:i4>
      </vt:variant>
      <vt:variant>
        <vt:i4>0</vt:i4>
      </vt:variant>
      <vt:variant>
        <vt:i4>5</vt:i4>
      </vt:variant>
      <vt:variant>
        <vt:lpwstr/>
      </vt:variant>
      <vt:variant>
        <vt:lpwstr>_Toc227451521</vt:lpwstr>
      </vt:variant>
      <vt:variant>
        <vt:i4>1179701</vt:i4>
      </vt:variant>
      <vt:variant>
        <vt:i4>92</vt:i4>
      </vt:variant>
      <vt:variant>
        <vt:i4>0</vt:i4>
      </vt:variant>
      <vt:variant>
        <vt:i4>5</vt:i4>
      </vt:variant>
      <vt:variant>
        <vt:lpwstr/>
      </vt:variant>
      <vt:variant>
        <vt:lpwstr>_Toc227451520</vt:lpwstr>
      </vt:variant>
      <vt:variant>
        <vt:i4>1114165</vt:i4>
      </vt:variant>
      <vt:variant>
        <vt:i4>86</vt:i4>
      </vt:variant>
      <vt:variant>
        <vt:i4>0</vt:i4>
      </vt:variant>
      <vt:variant>
        <vt:i4>5</vt:i4>
      </vt:variant>
      <vt:variant>
        <vt:lpwstr/>
      </vt:variant>
      <vt:variant>
        <vt:lpwstr>_Toc227451519</vt:lpwstr>
      </vt:variant>
      <vt:variant>
        <vt:i4>1114165</vt:i4>
      </vt:variant>
      <vt:variant>
        <vt:i4>80</vt:i4>
      </vt:variant>
      <vt:variant>
        <vt:i4>0</vt:i4>
      </vt:variant>
      <vt:variant>
        <vt:i4>5</vt:i4>
      </vt:variant>
      <vt:variant>
        <vt:lpwstr/>
      </vt:variant>
      <vt:variant>
        <vt:lpwstr>_Toc227451518</vt:lpwstr>
      </vt:variant>
      <vt:variant>
        <vt:i4>1114165</vt:i4>
      </vt:variant>
      <vt:variant>
        <vt:i4>74</vt:i4>
      </vt:variant>
      <vt:variant>
        <vt:i4>0</vt:i4>
      </vt:variant>
      <vt:variant>
        <vt:i4>5</vt:i4>
      </vt:variant>
      <vt:variant>
        <vt:lpwstr/>
      </vt:variant>
      <vt:variant>
        <vt:lpwstr>_Toc227451517</vt:lpwstr>
      </vt:variant>
      <vt:variant>
        <vt:i4>1114165</vt:i4>
      </vt:variant>
      <vt:variant>
        <vt:i4>68</vt:i4>
      </vt:variant>
      <vt:variant>
        <vt:i4>0</vt:i4>
      </vt:variant>
      <vt:variant>
        <vt:i4>5</vt:i4>
      </vt:variant>
      <vt:variant>
        <vt:lpwstr/>
      </vt:variant>
      <vt:variant>
        <vt:lpwstr>_Toc227451516</vt:lpwstr>
      </vt:variant>
      <vt:variant>
        <vt:i4>1114165</vt:i4>
      </vt:variant>
      <vt:variant>
        <vt:i4>62</vt:i4>
      </vt:variant>
      <vt:variant>
        <vt:i4>0</vt:i4>
      </vt:variant>
      <vt:variant>
        <vt:i4>5</vt:i4>
      </vt:variant>
      <vt:variant>
        <vt:lpwstr/>
      </vt:variant>
      <vt:variant>
        <vt:lpwstr>_Toc227451515</vt:lpwstr>
      </vt:variant>
      <vt:variant>
        <vt:i4>1114165</vt:i4>
      </vt:variant>
      <vt:variant>
        <vt:i4>56</vt:i4>
      </vt:variant>
      <vt:variant>
        <vt:i4>0</vt:i4>
      </vt:variant>
      <vt:variant>
        <vt:i4>5</vt:i4>
      </vt:variant>
      <vt:variant>
        <vt:lpwstr/>
      </vt:variant>
      <vt:variant>
        <vt:lpwstr>_Toc227451514</vt:lpwstr>
      </vt:variant>
      <vt:variant>
        <vt:i4>1114165</vt:i4>
      </vt:variant>
      <vt:variant>
        <vt:i4>50</vt:i4>
      </vt:variant>
      <vt:variant>
        <vt:i4>0</vt:i4>
      </vt:variant>
      <vt:variant>
        <vt:i4>5</vt:i4>
      </vt:variant>
      <vt:variant>
        <vt:lpwstr/>
      </vt:variant>
      <vt:variant>
        <vt:lpwstr>_Toc227451513</vt:lpwstr>
      </vt:variant>
      <vt:variant>
        <vt:i4>1114165</vt:i4>
      </vt:variant>
      <vt:variant>
        <vt:i4>44</vt:i4>
      </vt:variant>
      <vt:variant>
        <vt:i4>0</vt:i4>
      </vt:variant>
      <vt:variant>
        <vt:i4>5</vt:i4>
      </vt:variant>
      <vt:variant>
        <vt:lpwstr/>
      </vt:variant>
      <vt:variant>
        <vt:lpwstr>_Toc227451512</vt:lpwstr>
      </vt:variant>
      <vt:variant>
        <vt:i4>1114165</vt:i4>
      </vt:variant>
      <vt:variant>
        <vt:i4>38</vt:i4>
      </vt:variant>
      <vt:variant>
        <vt:i4>0</vt:i4>
      </vt:variant>
      <vt:variant>
        <vt:i4>5</vt:i4>
      </vt:variant>
      <vt:variant>
        <vt:lpwstr/>
      </vt:variant>
      <vt:variant>
        <vt:lpwstr>_Toc227451511</vt:lpwstr>
      </vt:variant>
      <vt:variant>
        <vt:i4>1114165</vt:i4>
      </vt:variant>
      <vt:variant>
        <vt:i4>32</vt:i4>
      </vt:variant>
      <vt:variant>
        <vt:i4>0</vt:i4>
      </vt:variant>
      <vt:variant>
        <vt:i4>5</vt:i4>
      </vt:variant>
      <vt:variant>
        <vt:lpwstr/>
      </vt:variant>
      <vt:variant>
        <vt:lpwstr>_Toc227451510</vt:lpwstr>
      </vt:variant>
      <vt:variant>
        <vt:i4>1048629</vt:i4>
      </vt:variant>
      <vt:variant>
        <vt:i4>26</vt:i4>
      </vt:variant>
      <vt:variant>
        <vt:i4>0</vt:i4>
      </vt:variant>
      <vt:variant>
        <vt:i4>5</vt:i4>
      </vt:variant>
      <vt:variant>
        <vt:lpwstr/>
      </vt:variant>
      <vt:variant>
        <vt:lpwstr>_Toc227451509</vt:lpwstr>
      </vt:variant>
      <vt:variant>
        <vt:i4>1048629</vt:i4>
      </vt:variant>
      <vt:variant>
        <vt:i4>20</vt:i4>
      </vt:variant>
      <vt:variant>
        <vt:i4>0</vt:i4>
      </vt:variant>
      <vt:variant>
        <vt:i4>5</vt:i4>
      </vt:variant>
      <vt:variant>
        <vt:lpwstr/>
      </vt:variant>
      <vt:variant>
        <vt:lpwstr>_Toc227451508</vt:lpwstr>
      </vt:variant>
      <vt:variant>
        <vt:i4>1048629</vt:i4>
      </vt:variant>
      <vt:variant>
        <vt:i4>14</vt:i4>
      </vt:variant>
      <vt:variant>
        <vt:i4>0</vt:i4>
      </vt:variant>
      <vt:variant>
        <vt:i4>5</vt:i4>
      </vt:variant>
      <vt:variant>
        <vt:lpwstr/>
      </vt:variant>
      <vt:variant>
        <vt:lpwstr>_Toc227451507</vt:lpwstr>
      </vt:variant>
      <vt:variant>
        <vt:i4>1048629</vt:i4>
      </vt:variant>
      <vt:variant>
        <vt:i4>8</vt:i4>
      </vt:variant>
      <vt:variant>
        <vt:i4>0</vt:i4>
      </vt:variant>
      <vt:variant>
        <vt:i4>5</vt:i4>
      </vt:variant>
      <vt:variant>
        <vt:lpwstr/>
      </vt:variant>
      <vt:variant>
        <vt:lpwstr>_Toc227451506</vt:lpwstr>
      </vt:variant>
      <vt:variant>
        <vt:i4>1048629</vt:i4>
      </vt:variant>
      <vt:variant>
        <vt:i4>2</vt:i4>
      </vt:variant>
      <vt:variant>
        <vt:i4>0</vt:i4>
      </vt:variant>
      <vt:variant>
        <vt:i4>5</vt:i4>
      </vt:variant>
      <vt:variant>
        <vt:lpwstr/>
      </vt:variant>
      <vt:variant>
        <vt:lpwstr>_Toc227451505</vt:lpwstr>
      </vt:variant>
      <vt:variant>
        <vt:i4>4587562</vt:i4>
      </vt:variant>
      <vt:variant>
        <vt:i4>27</vt:i4>
      </vt:variant>
      <vt:variant>
        <vt:i4>0</vt:i4>
      </vt:variant>
      <vt:variant>
        <vt:i4>5</vt:i4>
      </vt:variant>
      <vt:variant>
        <vt:lpwstr>mailto:X2KBELL@southernco.com</vt:lpwstr>
      </vt:variant>
      <vt:variant>
        <vt:lpwstr/>
      </vt:variant>
      <vt:variant>
        <vt:i4>4587562</vt:i4>
      </vt:variant>
      <vt:variant>
        <vt:i4>24</vt:i4>
      </vt:variant>
      <vt:variant>
        <vt:i4>0</vt:i4>
      </vt:variant>
      <vt:variant>
        <vt:i4>5</vt:i4>
      </vt:variant>
      <vt:variant>
        <vt:lpwstr>mailto:X2KBELL@southernco.com</vt:lpwstr>
      </vt:variant>
      <vt:variant>
        <vt:lpwstr/>
      </vt:variant>
      <vt:variant>
        <vt:i4>4587562</vt:i4>
      </vt:variant>
      <vt:variant>
        <vt:i4>21</vt:i4>
      </vt:variant>
      <vt:variant>
        <vt:i4>0</vt:i4>
      </vt:variant>
      <vt:variant>
        <vt:i4>5</vt:i4>
      </vt:variant>
      <vt:variant>
        <vt:lpwstr>mailto:X2KBELL@southernco.com</vt:lpwstr>
      </vt:variant>
      <vt:variant>
        <vt:lpwstr/>
      </vt:variant>
      <vt:variant>
        <vt:i4>4587562</vt:i4>
      </vt:variant>
      <vt:variant>
        <vt:i4>18</vt:i4>
      </vt:variant>
      <vt:variant>
        <vt:i4>0</vt:i4>
      </vt:variant>
      <vt:variant>
        <vt:i4>5</vt:i4>
      </vt:variant>
      <vt:variant>
        <vt:lpwstr>mailto:X2KBELL@southernco.com</vt:lpwstr>
      </vt:variant>
      <vt:variant>
        <vt:lpwstr/>
      </vt:variant>
      <vt:variant>
        <vt:i4>4587562</vt:i4>
      </vt:variant>
      <vt:variant>
        <vt:i4>15</vt:i4>
      </vt:variant>
      <vt:variant>
        <vt:i4>0</vt:i4>
      </vt:variant>
      <vt:variant>
        <vt:i4>5</vt:i4>
      </vt:variant>
      <vt:variant>
        <vt:lpwstr>mailto:X2KBELL@southernco.com</vt:lpwstr>
      </vt:variant>
      <vt:variant>
        <vt:lpwstr/>
      </vt:variant>
      <vt:variant>
        <vt:i4>4587562</vt:i4>
      </vt:variant>
      <vt:variant>
        <vt:i4>12</vt:i4>
      </vt:variant>
      <vt:variant>
        <vt:i4>0</vt:i4>
      </vt:variant>
      <vt:variant>
        <vt:i4>5</vt:i4>
      </vt:variant>
      <vt:variant>
        <vt:lpwstr>mailto:X2KBELL@southernco.com</vt:lpwstr>
      </vt:variant>
      <vt:variant>
        <vt:lpwstr/>
      </vt:variant>
      <vt:variant>
        <vt:i4>4587562</vt:i4>
      </vt:variant>
      <vt:variant>
        <vt:i4>9</vt:i4>
      </vt:variant>
      <vt:variant>
        <vt:i4>0</vt:i4>
      </vt:variant>
      <vt:variant>
        <vt:i4>5</vt:i4>
      </vt:variant>
      <vt:variant>
        <vt:lpwstr>mailto:X2KBELL@southernco.com</vt:lpwstr>
      </vt:variant>
      <vt:variant>
        <vt:lpwstr/>
      </vt:variant>
      <vt:variant>
        <vt:i4>4587562</vt:i4>
      </vt:variant>
      <vt:variant>
        <vt:i4>6</vt:i4>
      </vt:variant>
      <vt:variant>
        <vt:i4>0</vt:i4>
      </vt:variant>
      <vt:variant>
        <vt:i4>5</vt:i4>
      </vt:variant>
      <vt:variant>
        <vt:lpwstr>mailto:X2KBELL@southernco.com</vt:lpwstr>
      </vt:variant>
      <vt:variant>
        <vt:lpwstr/>
      </vt:variant>
      <vt:variant>
        <vt:i4>4587562</vt:i4>
      </vt:variant>
      <vt:variant>
        <vt:i4>3</vt:i4>
      </vt:variant>
      <vt:variant>
        <vt:i4>0</vt:i4>
      </vt:variant>
      <vt:variant>
        <vt:i4>5</vt:i4>
      </vt:variant>
      <vt:variant>
        <vt:lpwstr>mailto:X2KBELL@southernco.com</vt:lpwstr>
      </vt:variant>
      <vt:variant>
        <vt:lpwstr/>
      </vt:variant>
      <vt:variant>
        <vt:i4>4587562</vt:i4>
      </vt:variant>
      <vt:variant>
        <vt:i4>0</vt:i4>
      </vt:variant>
      <vt:variant>
        <vt:i4>0</vt:i4>
      </vt:variant>
      <vt:variant>
        <vt:i4>5</vt:i4>
      </vt:variant>
      <vt:variant>
        <vt:lpwstr>mailto:X2KBELL@southernco.com</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